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71" w:rsidRPr="000A171B" w:rsidRDefault="00BA26AD" w:rsidP="000F7BED">
      <w:pPr>
        <w:spacing w:after="0" w:line="235" w:lineRule="auto"/>
        <w:jc w:val="center"/>
        <w:rPr>
          <w:rFonts w:ascii="TH SarabunPSK" w:eastAsia="Symbol" w:hAnsi="TH SarabunPSK" w:cs="TH SarabunPSK"/>
          <w:b/>
          <w:bCs/>
          <w:sz w:val="30"/>
          <w:szCs w:val="30"/>
        </w:rPr>
      </w:pPr>
      <w:r w:rsidRPr="005A0C7B">
        <w:rPr>
          <w:rFonts w:ascii="TH SarabunPSK" w:eastAsia="Sarabu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A4717" wp14:editId="41A5F733">
                <wp:simplePos x="0" y="0"/>
                <wp:positionH relativeFrom="column">
                  <wp:posOffset>4905374</wp:posOffset>
                </wp:positionH>
                <wp:positionV relativeFrom="paragraph">
                  <wp:posOffset>-628650</wp:posOffset>
                </wp:positionV>
                <wp:extent cx="1461135" cy="571500"/>
                <wp:effectExtent l="0" t="0" r="2476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AD" w:rsidRDefault="00BA26AD" w:rsidP="00BA26A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B6C29" w:rsidRPr="007B6C29" w:rsidRDefault="007B6C29" w:rsidP="007B6C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6C2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ยา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somatropin</w:t>
                            </w:r>
                            <w:proofErr w:type="spellEnd"/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7B6C29" w:rsidRPr="007B6C29" w:rsidRDefault="007B6C29" w:rsidP="007B6C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B6C2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ข้อบ่งใช้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growth hormone deficiency </w:t>
                            </w:r>
                            <w:r w:rsidRPr="007B6C2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ในทารกแรกเกิดหรือเด็กเล็กอายุน้อยกว่า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B6C2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ปี</w:t>
                            </w:r>
                            <w:r w:rsidRPr="007B6C29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BA26AD" w:rsidRPr="00653BB0" w:rsidRDefault="007B6C29" w:rsidP="007B6C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B6C29"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ร่วมกับมีภาวะน้ำตาลต่ำในเลือด</w:t>
                            </w:r>
                            <w:r w:rsidR="00BA26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NMOSD </w:t>
                            </w:r>
                            <w:r w:rsidR="00BA26AD"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47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6.25pt;margin-top:-49.5pt;width:115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">
                <v:textbox>
                  <w:txbxContent>
                    <w:p w:rsidR="00BA26AD" w:rsidRDefault="00BA26AD" w:rsidP="00BA26A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7B6C29" w:rsidRPr="007B6C29" w:rsidRDefault="007B6C29" w:rsidP="007B6C29">
                      <w:pPr>
                        <w:spacing w:after="0" w:line="240" w:lineRule="auto"/>
                        <w:jc w:val="center"/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B6C29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ยา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somatropin</w:t>
                      </w:r>
                      <w:proofErr w:type="spellEnd"/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:rsidR="007B6C29" w:rsidRPr="007B6C29" w:rsidRDefault="007B6C29" w:rsidP="007B6C29">
                      <w:pPr>
                        <w:spacing w:after="0" w:line="240" w:lineRule="auto"/>
                        <w:jc w:val="center"/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B6C29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ข้อบ่งใช้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growth hormone deficiency </w:t>
                      </w:r>
                      <w:r w:rsidRPr="007B6C29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ในทารกแรกเกิดหรือเด็กเล็กอายุน้อยกว่า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7B6C29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ปี</w:t>
                      </w:r>
                      <w:r w:rsidRPr="007B6C29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BA26AD" w:rsidRPr="00653BB0" w:rsidRDefault="007B6C29" w:rsidP="007B6C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B6C29"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ร่วมกับมีภาวะน้ำตาลต่ำในเลือด</w:t>
                      </w:r>
                      <w:r w:rsidR="00BA26AD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NMOSD </w:t>
                      </w:r>
                      <w:r w:rsidR="00BA26AD"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Pr="00B10973">
        <w:rPr>
          <w:rFonts w:ascii="TH SarabunPSK" w:eastAsia="Sarabun" w:hAnsi="TH SarabunPSK" w:cs="TH SarabunPSK"/>
          <w:b/>
          <w:bCs/>
          <w:sz w:val="30"/>
          <w:szCs w:val="30"/>
          <w:cs/>
        </w:rPr>
        <w:t>แบบฟอร์มกำกับการใช้</w:t>
      </w:r>
      <w:r w:rsidR="00ED6F71" w:rsidRPr="000A171B">
        <w:rPr>
          <w:rFonts w:ascii="TH SarabunPSK" w:eastAsia="Symbol" w:hAnsi="TH SarabunPSK" w:cs="TH SarabunPSK"/>
          <w:b/>
          <w:bCs/>
          <w:sz w:val="30"/>
          <w:szCs w:val="30"/>
          <w:cs/>
        </w:rPr>
        <w:t xml:space="preserve">ยา </w:t>
      </w:r>
      <w:proofErr w:type="spellStart"/>
      <w:r w:rsidR="00ED6F71" w:rsidRPr="000A171B">
        <w:rPr>
          <w:rFonts w:ascii="TH SarabunPSK" w:eastAsia="Symbol" w:hAnsi="TH SarabunPSK" w:cs="TH SarabunPSK"/>
          <w:b/>
          <w:bCs/>
          <w:sz w:val="30"/>
          <w:szCs w:val="30"/>
        </w:rPr>
        <w:t>somatropin</w:t>
      </w:r>
      <w:proofErr w:type="spellEnd"/>
      <w:r w:rsidR="00ED6F71" w:rsidRPr="000A171B">
        <w:rPr>
          <w:rFonts w:ascii="TH SarabunPSK" w:eastAsia="Symbol" w:hAnsi="TH SarabunPSK" w:cs="TH SarabunPSK"/>
          <w:b/>
          <w:bCs/>
          <w:sz w:val="30"/>
          <w:szCs w:val="30"/>
        </w:rPr>
        <w:t xml:space="preserve"> </w:t>
      </w:r>
      <w:r w:rsidR="00ED6F71" w:rsidRPr="000A171B">
        <w:rPr>
          <w:rFonts w:ascii="TH SarabunPSK" w:eastAsia="Symbol" w:hAnsi="TH SarabunPSK" w:cs="TH SarabunPSK"/>
          <w:b/>
          <w:bCs/>
          <w:sz w:val="30"/>
          <w:szCs w:val="30"/>
          <w:cs/>
        </w:rPr>
        <w:t>หรือ</w:t>
      </w:r>
      <w:r w:rsidR="00ED6F71" w:rsidRPr="000A171B">
        <w:rPr>
          <w:rFonts w:ascii="TH SarabunPSK" w:eastAsia="Symbol" w:hAnsi="TH SarabunPSK" w:cs="TH SarabunPSK"/>
          <w:b/>
          <w:bCs/>
          <w:sz w:val="30"/>
          <w:szCs w:val="30"/>
        </w:rPr>
        <w:t xml:space="preserve"> growth hormone (GH) </w:t>
      </w:r>
    </w:p>
    <w:p w:rsidR="00ED6F71" w:rsidRPr="000A171B" w:rsidRDefault="00ED6F71" w:rsidP="000F7BED">
      <w:pPr>
        <w:spacing w:after="0" w:line="235" w:lineRule="auto"/>
        <w:jc w:val="center"/>
        <w:rPr>
          <w:rFonts w:ascii="TH SarabunPSK" w:eastAsia="Symbol" w:hAnsi="TH SarabunPSK" w:cs="TH SarabunPSK"/>
          <w:b/>
          <w:bCs/>
          <w:sz w:val="30"/>
          <w:szCs w:val="30"/>
        </w:rPr>
      </w:pPr>
      <w:r w:rsidRPr="000A171B">
        <w:rPr>
          <w:rFonts w:ascii="TH SarabunPSK" w:eastAsia="Symbol" w:hAnsi="TH SarabunPSK" w:cs="TH SarabunPSK"/>
          <w:b/>
          <w:bCs/>
          <w:sz w:val="30"/>
          <w:szCs w:val="30"/>
          <w:cs/>
        </w:rPr>
        <w:t xml:space="preserve">ข้อบ่งใช้ </w:t>
      </w:r>
      <w:r w:rsidRPr="000A171B">
        <w:rPr>
          <w:rFonts w:ascii="TH SarabunPSK" w:eastAsia="Symbol" w:hAnsi="TH SarabunPSK" w:cs="TH SarabunPSK"/>
          <w:b/>
          <w:bCs/>
          <w:sz w:val="30"/>
          <w:szCs w:val="30"/>
        </w:rPr>
        <w:t>growth hormone deficiency</w:t>
      </w:r>
      <w:r w:rsidRPr="000A171B">
        <w:rPr>
          <w:rFonts w:ascii="TH SarabunPSK" w:eastAsia="Symbol" w:hAnsi="TH SarabunPSK" w:cs="TH SarabunPSK"/>
          <w:b/>
          <w:bCs/>
          <w:sz w:val="30"/>
          <w:szCs w:val="30"/>
          <w:cs/>
        </w:rPr>
        <w:t xml:space="preserve"> ในทารกแรกเกิดหรือเด็กเล็กอายุน้อยกว่า 2 ปี </w:t>
      </w:r>
      <w:r w:rsidRPr="000A171B">
        <w:rPr>
          <w:rFonts w:ascii="TH SarabunPSK" w:eastAsia="Symbol" w:hAnsi="TH SarabunPSK" w:cs="TH SarabunPSK"/>
          <w:b/>
          <w:bCs/>
          <w:sz w:val="30"/>
          <w:szCs w:val="30"/>
          <w:cs/>
        </w:rPr>
        <w:br/>
        <w:t>ร่วมกับมีภาวะน้ำตาลต่ำในเลือด</w:t>
      </w:r>
    </w:p>
    <w:p w:rsidR="00BA26AD" w:rsidRPr="007B6C29" w:rsidRDefault="00BA26AD" w:rsidP="000D3631">
      <w:pPr>
        <w:spacing w:after="0" w:line="235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9D2B7E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tbl>
      <w:tblPr>
        <w:tblW w:w="10751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392"/>
      </w:tblGrid>
      <w:tr w:rsidR="00BA26AD" w:rsidRPr="009D2B7E" w:rsidTr="006622C6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:rsidR="00BA26AD" w:rsidRPr="009D2B7E" w:rsidRDefault="00BA26AD" w:rsidP="000F7BED">
            <w:pPr>
              <w:spacing w:after="0" w:line="235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6AD" w:rsidRPr="009D2B7E" w:rsidRDefault="00BA26AD" w:rsidP="000F7BED">
            <w:pPr>
              <w:spacing w:after="0" w:line="235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A26AD" w:rsidRPr="009D2B7E" w:rsidRDefault="00BA26AD" w:rsidP="000F7BED">
            <w:pPr>
              <w:spacing w:after="0" w:line="235" w:lineRule="auto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9D2B7E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9D2B7E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BA26AD" w:rsidRPr="009D2B7E" w:rsidTr="006622C6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3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BA26AD" w:rsidRPr="009D2B7E" w:rsidTr="006622C6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695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BA26AD" w:rsidRPr="009D2B7E" w:rsidTr="006622C6">
        <w:tc>
          <w:tcPr>
            <w:tcW w:w="107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9D2B7E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BA26AD" w:rsidRPr="009D2B7E" w:rsidTr="006622C6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</w:t>
            </w:r>
            <w:proofErr w:type="gramStart"/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ปีเกิด  ..........</w:t>
            </w:r>
            <w:proofErr w:type="gramEnd"/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/.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........./..............      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น้ำหนัก................กิโลกรัม</w:t>
            </w:r>
          </w:p>
        </w:tc>
      </w:tr>
      <w:tr w:rsidR="00BA26AD" w:rsidRPr="009D2B7E" w:rsidTr="006622C6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9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สปสช</w:t>
            </w:r>
            <w:proofErr w:type="spellEnd"/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BA26AD" w:rsidRPr="009D2B7E" w:rsidTr="006622C6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26AD" w:rsidRPr="009D2B7E" w:rsidRDefault="00BA26AD" w:rsidP="000F7BED">
            <w:pPr>
              <w:spacing w:after="0" w:line="235" w:lineRule="auto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9D2B7E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9D2B7E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 ๆ</w:t>
            </w:r>
          </w:p>
        </w:tc>
      </w:tr>
    </w:tbl>
    <w:p w:rsidR="00BA26AD" w:rsidRPr="007C0425" w:rsidRDefault="00BA26AD" w:rsidP="000F7BED">
      <w:pPr>
        <w:spacing w:after="0" w:line="235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W w:w="10776" w:type="dxa"/>
        <w:jc w:val="center"/>
        <w:tblLayout w:type="fixed"/>
        <w:tblLook w:val="0400" w:firstRow="0" w:lastRow="0" w:firstColumn="0" w:lastColumn="0" w:noHBand="0" w:noVBand="1"/>
      </w:tblPr>
      <w:tblGrid>
        <w:gridCol w:w="450"/>
        <w:gridCol w:w="450"/>
        <w:gridCol w:w="2134"/>
        <w:gridCol w:w="2702"/>
        <w:gridCol w:w="3633"/>
        <w:gridCol w:w="171"/>
        <w:gridCol w:w="540"/>
        <w:gridCol w:w="696"/>
      </w:tblGrid>
      <w:tr w:rsidR="00BA26AD" w:rsidRPr="00B76C0F" w:rsidTr="006622C6">
        <w:trPr>
          <w:jc w:val="center"/>
        </w:trPr>
        <w:tc>
          <w:tcPr>
            <w:tcW w:w="30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BA26AD" w:rsidRPr="00B76C0F" w:rsidRDefault="00BA26AD" w:rsidP="000F7BED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ข้อมูลประกอบการอนุมัติและข้อมูลการใช้ยา </w:t>
            </w:r>
          </w:p>
        </w:tc>
      </w:tr>
      <w:tr w:rsidR="00BA26AD" w:rsidRPr="00B76C0F" w:rsidTr="009F0F9D">
        <w:trPr>
          <w:trHeight w:val="76"/>
          <w:jc w:val="center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696" w:type="dxa"/>
            <w:tcBorders>
              <w:top w:val="single" w:sz="4" w:space="0" w:color="auto"/>
              <w:righ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BA26AD" w:rsidRPr="00B76C0F" w:rsidTr="009F0F9D">
        <w:trPr>
          <w:trHeight w:val="76"/>
          <w:jc w:val="center"/>
        </w:trPr>
        <w:tc>
          <w:tcPr>
            <w:tcW w:w="9540" w:type="dxa"/>
            <w:gridSpan w:val="6"/>
            <w:tcBorders>
              <w:lef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540" w:type="dxa"/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BA26AD" w:rsidRPr="00B76C0F" w:rsidTr="009F0F9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8919" w:type="dxa"/>
            <w:gridSpan w:val="4"/>
          </w:tcPr>
          <w:p w:rsidR="00BA26AD" w:rsidRPr="00B76C0F" w:rsidRDefault="00BA26AD" w:rsidP="000F7BED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711" w:type="dxa"/>
            <w:gridSpan w:val="2"/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BA26AD" w:rsidRPr="00B76C0F" w:rsidRDefault="00BA26A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0F7BED" w:rsidRPr="00B76C0F" w:rsidTr="009F0F9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8919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ผู้ป่วยอายุน้อยกว่า 2 ปี</w:t>
            </w:r>
          </w:p>
        </w:tc>
        <w:tc>
          <w:tcPr>
            <w:tcW w:w="711" w:type="dxa"/>
            <w:gridSpan w:val="2"/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0F7BED" w:rsidRPr="00B76C0F" w:rsidTr="009F0F9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color w:val="221E1F"/>
                <w:sz w:val="30"/>
                <w:szCs w:val="30"/>
                <w:cs/>
              </w:rPr>
              <w:t>3</w:t>
            </w:r>
            <w:r w:rsidRPr="00B76C0F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.</w:t>
            </w:r>
          </w:p>
        </w:tc>
        <w:tc>
          <w:tcPr>
            <w:tcW w:w="8919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ทารกและเด็กเล็กที่มีภาวะ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growth hormone deficiency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ร่วมกับมีภาวะน้ำตาลต่ำในเลือด </w:t>
            </w:r>
          </w:p>
          <w:p w:rsidR="000F7BED" w:rsidRPr="00B76C0F" w:rsidRDefault="000F7BED" w:rsidP="000F7BED">
            <w:pPr>
              <w:spacing w:after="0" w:line="235" w:lineRule="auto"/>
              <w:rPr>
                <w:rFonts w:ascii="TH SarabunPSK" w:eastAsia="Sarabun" w:hAnsi="TH SarabunPSK" w:cs="TH SarabunPSK"/>
                <w:color w:val="221E1F"/>
                <w:w w:val="90"/>
                <w:sz w:val="30"/>
                <w:szCs w:val="30"/>
                <w:cs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มีเกณฑ์ดังต่อไปนี้ทุกข้อ</w:t>
            </w:r>
          </w:p>
        </w:tc>
        <w:tc>
          <w:tcPr>
            <w:tcW w:w="711" w:type="dxa"/>
            <w:gridSpan w:val="2"/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B76C0F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0F7BED" w:rsidRPr="00B76C0F" w:rsidTr="009F0F9D">
        <w:trPr>
          <w:jc w:val="center"/>
        </w:trPr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right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B76C0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469" w:type="dxa"/>
            <w:gridSpan w:val="3"/>
          </w:tcPr>
          <w:p w:rsidR="009F0F9D" w:rsidRPr="00B76C0F" w:rsidRDefault="000F7BED" w:rsidP="009F0F9D">
            <w:pPr>
              <w:spacing w:after="0" w:line="235" w:lineRule="auto"/>
              <w:ind w:left="345" w:hanging="360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3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.1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ทารกหรือเด็กเล็กที่มีภาวะน้ำตาลต่ำในเลือด (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blood glucose &lt;50 mg/</w:t>
            </w:r>
            <w:proofErr w:type="spellStart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dL</w:t>
            </w:r>
            <w:proofErr w:type="spellEnd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)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และในเวลาเดียวกัน</w:t>
            </w:r>
            <w:r w:rsidR="009F0F9D"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</w:p>
          <w:p w:rsidR="000F7BED" w:rsidRPr="00B76C0F" w:rsidRDefault="000F7BED" w:rsidP="00B76C0F">
            <w:pPr>
              <w:spacing w:after="0" w:line="235" w:lineRule="auto"/>
              <w:ind w:left="345" w:hanging="360"/>
              <w:jc w:val="thaiDistribute"/>
              <w:rPr>
                <w:rFonts w:ascii="TH SarabunPSK" w:eastAsia="Sarabun" w:hAnsi="TH SarabunPSK" w:cs="TH SarabunPSK"/>
                <w:spacing w:val="-4"/>
                <w:sz w:val="30"/>
                <w:szCs w:val="30"/>
                <w:cs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มีระดับ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growth hormone &lt;7 ng/mL </w:t>
            </w:r>
            <w:r w:rsidR="009F0F9D"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โดย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ทารกอาจมีภาวะ </w:t>
            </w:r>
            <w:r w:rsidR="009F0F9D" w:rsidRPr="00B76C0F">
              <w:rPr>
                <w:rFonts w:ascii="TH SarabunPSK" w:eastAsia="Sarabun" w:hAnsi="TH SarabunPSK" w:cs="TH SarabunPSK"/>
                <w:sz w:val="30"/>
                <w:szCs w:val="30"/>
              </w:rPr>
              <w:t>congenital hypopituitarism</w:t>
            </w:r>
            <w:r w:rsidR="00B76C0F" w:rsidRPr="00B76C0F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 xml:space="preserve">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ร่วมด้วย</w:t>
            </w:r>
          </w:p>
        </w:tc>
        <w:tc>
          <w:tcPr>
            <w:tcW w:w="711" w:type="dxa"/>
            <w:gridSpan w:val="2"/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0F7BED" w:rsidRPr="00B76C0F" w:rsidTr="009F0F9D">
        <w:trPr>
          <w:jc w:val="center"/>
        </w:trPr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right"/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</w:pPr>
            <w:r w:rsidRPr="00B76C0F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469" w:type="dxa"/>
            <w:gridSpan w:val="3"/>
          </w:tcPr>
          <w:p w:rsidR="00B76C0F" w:rsidRDefault="000F7BED" w:rsidP="000F7BED">
            <w:pPr>
              <w:spacing w:after="0" w:line="235" w:lineRule="auto"/>
              <w:ind w:left="345" w:hanging="360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3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.2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ทารกต้องไม่มีภาวะน้ำตาลต่ำในเลือดจากสาเหตุอื่น ๆ เช่น </w:t>
            </w:r>
            <w:proofErr w:type="spellStart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hyperinsulinemic</w:t>
            </w:r>
            <w:proofErr w:type="spellEnd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 hypoglycemia, </w:t>
            </w:r>
          </w:p>
          <w:p w:rsidR="000F7BED" w:rsidRPr="00B76C0F" w:rsidRDefault="000F7BED" w:rsidP="00B76C0F">
            <w:pPr>
              <w:spacing w:after="0" w:line="235" w:lineRule="auto"/>
              <w:ind w:left="345" w:hanging="360"/>
              <w:jc w:val="thaiDistribute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inborn error of metabolism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เป็นต้น</w:t>
            </w:r>
          </w:p>
        </w:tc>
        <w:tc>
          <w:tcPr>
            <w:tcW w:w="711" w:type="dxa"/>
            <w:gridSpan w:val="2"/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0F7BED" w:rsidRPr="00B76C0F" w:rsidTr="009F0F9D">
        <w:trPr>
          <w:jc w:val="center"/>
        </w:trPr>
        <w:tc>
          <w:tcPr>
            <w:tcW w:w="450" w:type="dxa"/>
            <w:tcBorders>
              <w:lef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both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color w:val="221E1F"/>
                <w:sz w:val="30"/>
                <w:szCs w:val="30"/>
                <w:cs/>
              </w:rPr>
              <w:t>4</w:t>
            </w:r>
            <w:r w:rsidRPr="00B76C0F"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  <w:t>.</w:t>
            </w:r>
          </w:p>
        </w:tc>
        <w:tc>
          <w:tcPr>
            <w:tcW w:w="8919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jc w:val="both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ขนาดยา </w:t>
            </w:r>
            <w:proofErr w:type="spellStart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>somatropin</w:t>
            </w:r>
            <w:proofErr w:type="spellEnd"/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ที่</w:t>
            </w:r>
            <w:r w:rsidR="00AF5611"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แนะนำ คือ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</w:p>
          <w:p w:rsidR="000F7BED" w:rsidRPr="00B76C0F" w:rsidRDefault="000F7BED" w:rsidP="009F0F9D">
            <w:pPr>
              <w:spacing w:after="0" w:line="235" w:lineRule="auto"/>
              <w:ind w:firstLine="720"/>
              <w:jc w:val="thaiDistribute"/>
              <w:rPr>
                <w:rFonts w:ascii="TH SarabunPSK" w:eastAsia="Symbol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ขนาดเริ่มต้น 20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>(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15-30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) mcg/kg/day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และปรับตามการตอบสนอง</w:t>
            </w:r>
            <w:r w:rsidR="009F0F9D"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เพื่อควบคุมน้ำตาลในเลือดให้ปกติ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โดยขนาดสูงสุดไม่เกิน 40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mcg/kg/day </w:t>
            </w:r>
          </w:p>
          <w:p w:rsidR="000F7BED" w:rsidRPr="00B76C0F" w:rsidRDefault="000F7BED" w:rsidP="000F7BED">
            <w:pPr>
              <w:spacing w:after="0" w:line="235" w:lineRule="auto"/>
              <w:ind w:firstLine="720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สำหรับเด็กอ้วนให้คำนวณขนาดยาตาม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body surface area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โดยให้ขนาดเริ่มต้น 0.5-0.7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>mg/m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vertAlign w:val="superscript"/>
              </w:rPr>
              <w:t>2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/day 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และขนาดสูงสุดไม่เกิน 1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 mg/m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  <w:vertAlign w:val="superscript"/>
              </w:rPr>
              <w:t>2</w:t>
            </w:r>
            <w:r w:rsidRPr="00B76C0F">
              <w:rPr>
                <w:rFonts w:ascii="TH SarabunPSK" w:eastAsia="Symbol" w:hAnsi="TH SarabunPSK" w:cs="TH SarabunPSK"/>
                <w:sz w:val="30"/>
                <w:szCs w:val="30"/>
              </w:rPr>
              <w:t xml:space="preserve">/day </w:t>
            </w:r>
          </w:p>
        </w:tc>
        <w:tc>
          <w:tcPr>
            <w:tcW w:w="711" w:type="dxa"/>
            <w:gridSpan w:val="2"/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0F7BED" w:rsidRPr="00B76C0F" w:rsidTr="000F7BED">
        <w:trPr>
          <w:jc w:val="center"/>
        </w:trPr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both"/>
              <w:rPr>
                <w:rFonts w:ascii="TH SarabunPSK" w:eastAsia="Sarabun" w:hAnsi="TH SarabunPSK" w:cs="TH SarabunPSK"/>
                <w:color w:val="221E1F"/>
                <w:sz w:val="30"/>
                <w:szCs w:val="30"/>
              </w:rPr>
            </w:pPr>
          </w:p>
        </w:tc>
        <w:tc>
          <w:tcPr>
            <w:tcW w:w="1032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0F7BED" w:rsidRPr="00B76C0F" w:rsidRDefault="000F7BED" w:rsidP="000F7BED">
            <w:pPr>
              <w:spacing w:after="0" w:line="235" w:lineRule="auto"/>
              <w:jc w:val="right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bookmarkStart w:id="0" w:name="_GoBack"/>
            <w:bookmarkEnd w:id="0"/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(อนุมัติให้ยาทุก 12 เดือน)</w:t>
            </w:r>
          </w:p>
        </w:tc>
      </w:tr>
      <w:tr w:rsidR="000F7BED" w:rsidRPr="00B76C0F" w:rsidTr="006622C6">
        <w:trPr>
          <w:trHeight w:val="349"/>
          <w:jc w:val="center"/>
        </w:trPr>
        <w:tc>
          <w:tcPr>
            <w:tcW w:w="5736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040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0F7BED" w:rsidRPr="00B76C0F" w:rsidTr="000F7BED">
        <w:trPr>
          <w:trHeight w:val="630"/>
          <w:jc w:val="center"/>
        </w:trPr>
        <w:tc>
          <w:tcPr>
            <w:tcW w:w="5736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040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B76C0F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0F7BED" w:rsidRPr="00B76C0F" w:rsidTr="006622C6">
        <w:trPr>
          <w:trHeight w:val="140"/>
          <w:jc w:val="center"/>
        </w:trPr>
        <w:tc>
          <w:tcPr>
            <w:tcW w:w="5736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040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0F7BED" w:rsidRPr="00B76C0F" w:rsidTr="006622C6">
        <w:trPr>
          <w:jc w:val="center"/>
        </w:trPr>
        <w:tc>
          <w:tcPr>
            <w:tcW w:w="5736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040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(…………………...............……………..)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0F7BED" w:rsidRPr="00B76C0F" w:rsidTr="006622C6">
        <w:trPr>
          <w:trHeight w:val="304"/>
          <w:jc w:val="center"/>
        </w:trPr>
        <w:tc>
          <w:tcPr>
            <w:tcW w:w="5736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040" w:type="dxa"/>
            <w:gridSpan w:val="4"/>
          </w:tcPr>
          <w:p w:rsidR="000F7BED" w:rsidRPr="00B76C0F" w:rsidRDefault="000F7BED" w:rsidP="000F7BED">
            <w:pPr>
              <w:spacing w:after="0" w:line="235" w:lineRule="auto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B76C0F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B76C0F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</w:tbl>
    <w:p w:rsidR="00210CE7" w:rsidRPr="000F7BED" w:rsidRDefault="003E40A6" w:rsidP="000F7BED">
      <w:pPr>
        <w:spacing w:after="0" w:line="240" w:lineRule="auto"/>
        <w:rPr>
          <w:rFonts w:cstheme="minorBidi"/>
        </w:rPr>
      </w:pPr>
    </w:p>
    <w:sectPr w:rsidR="00210CE7" w:rsidRPr="000F7BED" w:rsidSect="00502883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A6" w:rsidRDefault="003E40A6" w:rsidP="00BA26AD">
      <w:pPr>
        <w:spacing w:after="0" w:line="240" w:lineRule="auto"/>
      </w:pPr>
      <w:r>
        <w:separator/>
      </w:r>
    </w:p>
  </w:endnote>
  <w:endnote w:type="continuationSeparator" w:id="0">
    <w:p w:rsidR="003E40A6" w:rsidRDefault="003E40A6" w:rsidP="00BA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A6" w:rsidRDefault="003E40A6" w:rsidP="00BA26AD">
      <w:pPr>
        <w:spacing w:after="0" w:line="240" w:lineRule="auto"/>
      </w:pPr>
      <w:r>
        <w:separator/>
      </w:r>
    </w:p>
  </w:footnote>
  <w:footnote w:type="continuationSeparator" w:id="0">
    <w:p w:rsidR="003E40A6" w:rsidRDefault="003E40A6" w:rsidP="00BA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E3" w:rsidRPr="00462EE3" w:rsidRDefault="00462EE3" w:rsidP="00462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H SarabunPSK" w:eastAsia="Sarabun" w:hAnsi="TH SarabunPSK" w:cs="TH SarabunPSK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AD"/>
    <w:rsid w:val="000D3631"/>
    <w:rsid w:val="000F7BED"/>
    <w:rsid w:val="00147D4E"/>
    <w:rsid w:val="001B7B3C"/>
    <w:rsid w:val="001C2F80"/>
    <w:rsid w:val="001F5D13"/>
    <w:rsid w:val="002E06BE"/>
    <w:rsid w:val="003A7ED7"/>
    <w:rsid w:val="003E40A6"/>
    <w:rsid w:val="00462EE3"/>
    <w:rsid w:val="004F7181"/>
    <w:rsid w:val="00604218"/>
    <w:rsid w:val="00781CE4"/>
    <w:rsid w:val="007B6C29"/>
    <w:rsid w:val="00854D42"/>
    <w:rsid w:val="009F0F9D"/>
    <w:rsid w:val="00AF5611"/>
    <w:rsid w:val="00B76C0F"/>
    <w:rsid w:val="00BA26AD"/>
    <w:rsid w:val="00C67CEE"/>
    <w:rsid w:val="00D648BD"/>
    <w:rsid w:val="00ED6F71"/>
    <w:rsid w:val="00F2240B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CD06"/>
  <w15:chartTrackingRefBased/>
  <w15:docId w15:val="{53D50D74-C4A1-4085-B16A-24ED8CCC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26AD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6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BA26AD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BA26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BA26AD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1805</Characters>
  <Application>Microsoft Office Word</Application>
  <DocSecurity>0</DocSecurity>
  <Lines>29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</cp:revision>
  <cp:lastPrinted>2023-06-28T04:09:00Z</cp:lastPrinted>
  <dcterms:created xsi:type="dcterms:W3CDTF">2023-08-03T05:42:00Z</dcterms:created>
  <dcterms:modified xsi:type="dcterms:W3CDTF">2023-08-03T05:42:00Z</dcterms:modified>
</cp:coreProperties>
</file>