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ED1C" w14:textId="77777777" w:rsidR="00D87BDF" w:rsidRPr="000A1286" w:rsidRDefault="00D87BDF" w:rsidP="00D87BDF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4B8011C1" w14:textId="77777777" w:rsidR="00D87BDF" w:rsidRDefault="00D87BDF" w:rsidP="00D87BDF">
      <w:pPr>
        <w:pStyle w:val="HEADING1SMPC"/>
      </w:pPr>
      <w:r w:rsidRPr="008F5678">
        <w:t>NAME OF THE MEDICINAL PRODUCT</w:t>
      </w:r>
    </w:p>
    <w:p w14:paraId="0B35F701" w14:textId="4E9C46C6" w:rsidR="00D87BDF" w:rsidRPr="00A4294B" w:rsidRDefault="00D87BDF" w:rsidP="00D87BDF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D87BDF">
        <w:rPr>
          <w:rFonts w:ascii="Times New Roman" w:hAnsi="Times New Roman" w:cs="Times New Roman"/>
          <w:color w:val="FF0000"/>
          <w:sz w:val="28"/>
        </w:rPr>
        <w:t>&lt;Trade Name&gt;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D87BDF">
        <w:rPr>
          <w:rFonts w:ascii="Times New Roman" w:hAnsi="Times New Roman" w:cs="Times New Roman"/>
          <w:color w:val="FF0000"/>
          <w:sz w:val="28"/>
        </w:rPr>
        <w:t xml:space="preserve">&lt;Strength&gt; </w:t>
      </w:r>
      <w:r w:rsidR="003F07E1">
        <w:rPr>
          <w:rFonts w:ascii="Times New Roman" w:hAnsi="Times New Roman" w:cs="Times New Roman"/>
          <w:sz w:val="28"/>
        </w:rPr>
        <w:t>t</w:t>
      </w:r>
      <w:r w:rsidRPr="00D87BDF">
        <w:rPr>
          <w:rFonts w:ascii="Times New Roman" w:hAnsi="Times New Roman" w:cs="Times New Roman"/>
          <w:sz w:val="28"/>
        </w:rPr>
        <w:t>ablets</w:t>
      </w:r>
    </w:p>
    <w:p w14:paraId="30518555" w14:textId="77777777" w:rsidR="00D87BDF" w:rsidRDefault="00D87BDF" w:rsidP="00D87BDF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68457D6C" w14:textId="3841F598" w:rsidR="00D87BDF" w:rsidRDefault="00D87BDF" w:rsidP="00D87BDF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D87BDF">
        <w:rPr>
          <w:rFonts w:ascii="Times New Roman" w:hAnsi="Times New Roman" w:cs="Times New Roman"/>
          <w:sz w:val="28"/>
        </w:rPr>
        <w:t xml:space="preserve">Each tablet contains 50 micrograms </w:t>
      </w:r>
      <w:r>
        <w:rPr>
          <w:rFonts w:ascii="Times New Roman" w:hAnsi="Times New Roman" w:cs="Times New Roman"/>
          <w:sz w:val="28"/>
        </w:rPr>
        <w:t>c</w:t>
      </w:r>
      <w:r w:rsidRPr="00D87BDF">
        <w:rPr>
          <w:rFonts w:ascii="Times New Roman" w:hAnsi="Times New Roman" w:cs="Times New Roman"/>
          <w:sz w:val="28"/>
        </w:rPr>
        <w:t>yanocobalamin BP.</w:t>
      </w:r>
    </w:p>
    <w:p w14:paraId="153E8551" w14:textId="3F061AF8" w:rsidR="00D87BDF" w:rsidRPr="00097939" w:rsidRDefault="00D87BDF" w:rsidP="00D87BDF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097939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1A8D41D4" w14:textId="77777777" w:rsidR="00D87BDF" w:rsidRPr="0085460F" w:rsidRDefault="00D87BDF" w:rsidP="00D87BDF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8232DD8" w14:textId="77777777" w:rsidR="00D87BDF" w:rsidRPr="000A1286" w:rsidRDefault="00D87BDF" w:rsidP="00D87BDF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38A28A6A" w14:textId="77777777" w:rsidR="00D87BDF" w:rsidRDefault="00D87BDF" w:rsidP="00D87BDF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4EA4E145" w14:textId="77777777" w:rsidR="00D87BDF" w:rsidRDefault="00D87BDF" w:rsidP="00D87BDF">
      <w:pPr>
        <w:pStyle w:val="ae"/>
        <w:spacing w:line="360" w:lineRule="auto"/>
        <w:ind w:left="567"/>
        <w:rPr>
          <w:rFonts w:ascii="Times New Roman" w:hAnsi="Times New Roman" w:cs="Times New Roman"/>
          <w:color w:val="FF0000"/>
          <w:sz w:val="28"/>
        </w:rPr>
      </w:pPr>
      <w:r w:rsidRPr="004E6B0A">
        <w:rPr>
          <w:rFonts w:ascii="Times New Roman" w:hAnsi="Times New Roman" w:cs="Times New Roman"/>
          <w:sz w:val="28"/>
        </w:rPr>
        <w:t>Tablets</w:t>
      </w:r>
    </w:p>
    <w:p w14:paraId="2662E8F6" w14:textId="77777777" w:rsidR="00D87BDF" w:rsidRPr="0085460F" w:rsidRDefault="00D87BDF" w:rsidP="00D87BDF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3B8FF77D" w14:textId="77777777" w:rsidR="00D87BDF" w:rsidRPr="008F5678" w:rsidRDefault="00D87BDF" w:rsidP="00D87BDF">
      <w:pPr>
        <w:pStyle w:val="HEADING1SMPC"/>
        <w:rPr>
          <w:szCs w:val="28"/>
        </w:rPr>
      </w:pPr>
      <w:r w:rsidRPr="008F5678">
        <w:t>CLINICAL PARTICULARS</w:t>
      </w:r>
    </w:p>
    <w:p w14:paraId="1D165340" w14:textId="77777777" w:rsidR="00D87BDF" w:rsidRDefault="00D87BDF" w:rsidP="00D87BDF">
      <w:pPr>
        <w:pStyle w:val="SubHeafingSMPC"/>
        <w:spacing w:before="0"/>
        <w:ind w:left="0" w:firstLine="0"/>
      </w:pPr>
      <w:r w:rsidRPr="007F158B">
        <w:t>Therapeutic indications</w:t>
      </w:r>
    </w:p>
    <w:p w14:paraId="5043C0A9" w14:textId="77777777" w:rsidR="00D87BDF" w:rsidRPr="00D87BDF" w:rsidRDefault="00D87BDF" w:rsidP="00D87BDF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u w:val="single"/>
        </w:rPr>
      </w:pPr>
      <w:r>
        <w:tab/>
      </w:r>
      <w:r w:rsidRPr="00D87BDF">
        <w:rPr>
          <w:rFonts w:cstheme="minorBidi"/>
          <w:b w:val="0"/>
          <w:bCs w:val="0"/>
          <w:u w:val="single"/>
        </w:rPr>
        <w:t>Recommended Clinical Indications</w:t>
      </w:r>
    </w:p>
    <w:p w14:paraId="49EB54DA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Treatment of nutritional Vitamin B12 deficiency. </w:t>
      </w:r>
    </w:p>
    <w:p w14:paraId="31CADAEF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>Treatment of vitamin</w:t>
      </w:r>
      <w:r>
        <w:rPr>
          <w:rFonts w:cstheme="minorBidi"/>
          <w:b w:val="0"/>
          <w:bCs w:val="0"/>
        </w:rPr>
        <w:t xml:space="preserve"> </w:t>
      </w:r>
      <w:r w:rsidRPr="00D87BDF">
        <w:rPr>
          <w:rFonts w:cstheme="minorBidi"/>
          <w:b w:val="0"/>
          <w:bCs w:val="0"/>
        </w:rPr>
        <w:t xml:space="preserve">B 12 deficiency following partial gastrectomy. </w:t>
      </w:r>
    </w:p>
    <w:p w14:paraId="3DCD6465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>Treatment of tropical</w:t>
      </w:r>
      <w:r>
        <w:rPr>
          <w:rFonts w:cstheme="minorBidi"/>
          <w:b w:val="0"/>
          <w:bCs w:val="0"/>
        </w:rPr>
        <w:t xml:space="preserve"> </w:t>
      </w:r>
      <w:r w:rsidRPr="00D87BDF">
        <w:rPr>
          <w:rFonts w:cstheme="minorBidi"/>
          <w:b w:val="0"/>
          <w:bCs w:val="0"/>
        </w:rPr>
        <w:t>sprue, alone or with folic acid.</w:t>
      </w:r>
    </w:p>
    <w:p w14:paraId="7C8473BF" w14:textId="7893DD04" w:rsidR="00D87BDF" w:rsidRPr="00A27C5D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Treatment of pernicious anaemia when parenteral administration is not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>possible or not advised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00595AC1" w14:textId="77777777" w:rsidR="00D87BDF" w:rsidRPr="00E26561" w:rsidRDefault="00D87BDF" w:rsidP="00D87BDF">
      <w:pPr>
        <w:pStyle w:val="SubHeafingSMPC"/>
        <w:spacing w:before="0"/>
        <w:ind w:left="57"/>
      </w:pPr>
      <w:r w:rsidRPr="008F5678">
        <w:t>Posology and method of administration</w:t>
      </w:r>
    </w:p>
    <w:p w14:paraId="7EFB5508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rPr>
          <w:rFonts w:cstheme="minorBidi"/>
          <w:u w:val="single"/>
        </w:rPr>
      </w:pPr>
      <w:r>
        <w:rPr>
          <w:rFonts w:cstheme="minorBidi"/>
          <w:cs/>
        </w:rPr>
        <w:tab/>
      </w:r>
      <w:r w:rsidRPr="00E26561">
        <w:rPr>
          <w:b w:val="0"/>
          <w:bCs w:val="0"/>
          <w:u w:val="single"/>
        </w:rPr>
        <w:t>Posology</w:t>
      </w:r>
    </w:p>
    <w:p w14:paraId="1E414352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b w:val="0"/>
          <w:bCs w:val="0"/>
        </w:rPr>
        <w:tab/>
      </w:r>
      <w:r w:rsidRPr="00D87BDF">
        <w:rPr>
          <w:b w:val="0"/>
          <w:bCs w:val="0"/>
          <w:i/>
          <w:iCs/>
        </w:rPr>
        <w:t>Elderly:</w:t>
      </w:r>
    </w:p>
    <w:p w14:paraId="32832F65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  <w:r>
        <w:rPr>
          <w:b w:val="0"/>
          <w:bCs w:val="0"/>
          <w:i/>
          <w:iCs/>
        </w:rPr>
        <w:tab/>
      </w:r>
      <w:r w:rsidRPr="00D87BDF">
        <w:rPr>
          <w:b w:val="0"/>
          <w:bCs w:val="0"/>
        </w:rPr>
        <w:t>The normal dose for adults is appropriate for the elderly.</w:t>
      </w:r>
    </w:p>
    <w:p w14:paraId="347DD86B" w14:textId="77777777" w:rsidR="00097939" w:rsidRDefault="00097939" w:rsidP="00D87BDF">
      <w:pPr>
        <w:pStyle w:val="SubHeafingSMPC"/>
        <w:numPr>
          <w:ilvl w:val="0"/>
          <w:numId w:val="0"/>
        </w:numPr>
        <w:spacing w:before="0"/>
        <w:rPr>
          <w:b w:val="0"/>
          <w:bCs w:val="0"/>
        </w:rPr>
      </w:pPr>
    </w:p>
    <w:p w14:paraId="4C0DBCC2" w14:textId="77777777" w:rsidR="00D87BDF" w:rsidRPr="00D87BDF" w:rsidRDefault="00D87BDF" w:rsidP="00D87BDF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i/>
          <w:iCs/>
        </w:rPr>
      </w:pPr>
      <w:r>
        <w:rPr>
          <w:b w:val="0"/>
          <w:bCs w:val="0"/>
        </w:rPr>
        <w:lastRenderedPageBreak/>
        <w:tab/>
      </w:r>
      <w:r w:rsidRPr="00D87BDF">
        <w:rPr>
          <w:rFonts w:cstheme="minorBidi"/>
          <w:b w:val="0"/>
          <w:bCs w:val="0"/>
          <w:i/>
          <w:iCs/>
        </w:rPr>
        <w:t>Adults:</w:t>
      </w:r>
    </w:p>
    <w:p w14:paraId="5BAD4548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One to three tablets (50 to 150 micrograms) or more daily at the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>discretion of the physician.</w:t>
      </w:r>
    </w:p>
    <w:p w14:paraId="04A9D31B" w14:textId="77777777" w:rsidR="00097939" w:rsidRPr="00097939" w:rsidRDefault="00097939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5484E708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In pernicious anaemia intramuscular therapy is preferable for initial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correction of vitamin B12 deficiency. However, if necessary, the oral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route may be used to follow this, in which case at least 300 micrograms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>should be given daily</w:t>
      </w:r>
    </w:p>
    <w:p w14:paraId="620CA28E" w14:textId="77777777" w:rsidR="00097939" w:rsidRPr="00097939" w:rsidRDefault="00097939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882DC2D" w14:textId="77777777" w:rsidR="00D87BDF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  <w:i/>
          <w:iCs/>
        </w:rPr>
        <w:t>Paediatric population:</w:t>
      </w:r>
    </w:p>
    <w:p w14:paraId="3652DD3D" w14:textId="71DAEDB0" w:rsidR="00097939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>One tablet (50 micrograms) daily at the discretion of the physician.</w:t>
      </w:r>
    </w:p>
    <w:p w14:paraId="1D15540D" w14:textId="4378CDB8" w:rsidR="00D87BDF" w:rsidRPr="00D87BDF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u w:val="single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When possible, </w:t>
      </w:r>
      <w:r>
        <w:rPr>
          <w:rFonts w:cstheme="minorBidi"/>
          <w:b w:val="0"/>
          <w:bCs w:val="0"/>
        </w:rPr>
        <w:t>t</w:t>
      </w:r>
      <w:r w:rsidRPr="00D87BDF">
        <w:rPr>
          <w:rFonts w:cstheme="minorBidi"/>
          <w:b w:val="0"/>
          <w:bCs w:val="0"/>
        </w:rPr>
        <w:t>his medicine doses should be taken between meals.</w:t>
      </w:r>
    </w:p>
    <w:p w14:paraId="16271C0D" w14:textId="77777777" w:rsidR="00D87BDF" w:rsidRPr="004E6B0A" w:rsidRDefault="00D87BDF" w:rsidP="00D87BDF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756BC9F4" w14:textId="77777777" w:rsidR="00D87BDF" w:rsidRDefault="00D87BDF" w:rsidP="00D87BDF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tab/>
      </w:r>
      <w:r w:rsidRPr="00E26561">
        <w:rPr>
          <w:b w:val="0"/>
          <w:bCs w:val="0"/>
          <w:u w:val="single"/>
        </w:rPr>
        <w:t>Method of administration</w:t>
      </w:r>
    </w:p>
    <w:p w14:paraId="432F8E6D" w14:textId="77777777" w:rsidR="00D87BDF" w:rsidRPr="004E6B0A" w:rsidRDefault="00D87BDF" w:rsidP="00D87BDF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>
        <w:rPr>
          <w:b w:val="0"/>
          <w:bCs w:val="0"/>
        </w:rPr>
        <w:t>Oral</w:t>
      </w:r>
    </w:p>
    <w:p w14:paraId="1277BDF2" w14:textId="77777777" w:rsidR="00D87BDF" w:rsidRDefault="00D87BDF" w:rsidP="00D87BDF">
      <w:pPr>
        <w:pStyle w:val="SubHeafingSMPC"/>
        <w:ind w:left="57"/>
      </w:pPr>
      <w:r w:rsidRPr="008F5678">
        <w:t>Contraindications</w:t>
      </w:r>
    </w:p>
    <w:p w14:paraId="647629E0" w14:textId="77777777" w:rsidR="00097939" w:rsidRDefault="00097939" w:rsidP="00097939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D87BDF" w:rsidRPr="00D87BDF">
        <w:rPr>
          <w:b w:val="0"/>
          <w:bCs w:val="0"/>
          <w:lang w:eastAsia="zh-CN"/>
        </w:rPr>
        <w:t xml:space="preserve">Hypersensitivity to the active substance or to any of the </w:t>
      </w:r>
      <w:r>
        <w:rPr>
          <w:b w:val="0"/>
          <w:bCs w:val="0"/>
          <w:lang w:eastAsia="zh-CN"/>
        </w:rPr>
        <w:tab/>
      </w:r>
      <w:r w:rsidR="00D87BDF" w:rsidRPr="00D87BDF">
        <w:rPr>
          <w:b w:val="0"/>
          <w:bCs w:val="0"/>
          <w:lang w:eastAsia="zh-CN"/>
        </w:rPr>
        <w:t>excipients listed</w:t>
      </w:r>
      <w:r w:rsidR="00D87BDF">
        <w:rPr>
          <w:b w:val="0"/>
          <w:bCs w:val="0"/>
          <w:lang w:eastAsia="zh-CN"/>
        </w:rPr>
        <w:t xml:space="preserve"> </w:t>
      </w:r>
      <w:r w:rsidR="00D87BDF" w:rsidRPr="00D87BDF">
        <w:rPr>
          <w:b w:val="0"/>
          <w:bCs w:val="0"/>
          <w:lang w:eastAsia="zh-CN"/>
        </w:rPr>
        <w:t>in section 6.1.</w:t>
      </w:r>
    </w:p>
    <w:p w14:paraId="5970401C" w14:textId="77777777" w:rsidR="00097939" w:rsidRPr="00097939" w:rsidRDefault="00097939" w:rsidP="00097939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sz w:val="10"/>
          <w:szCs w:val="10"/>
          <w:lang w:eastAsia="zh-CN"/>
        </w:rPr>
      </w:pPr>
    </w:p>
    <w:p w14:paraId="2DB0E4BF" w14:textId="24315BD4" w:rsidR="00D87BDF" w:rsidRPr="004E6B0A" w:rsidRDefault="00097939" w:rsidP="00097939">
      <w:pPr>
        <w:pStyle w:val="SubHeafingSMPC"/>
        <w:numPr>
          <w:ilvl w:val="0"/>
          <w:numId w:val="0"/>
        </w:numPr>
        <w:jc w:val="mediumKashida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="00D87BDF" w:rsidRPr="00D87BDF">
        <w:rPr>
          <w:b w:val="0"/>
          <w:bCs w:val="0"/>
          <w:lang w:eastAsia="zh-CN"/>
        </w:rPr>
        <w:t>Hypersensitivity to the product or any of the excipients</w:t>
      </w:r>
      <w:r w:rsidR="00D87BDF" w:rsidRPr="004E6B0A">
        <w:rPr>
          <w:b w:val="0"/>
          <w:bCs w:val="0"/>
          <w:lang w:eastAsia="zh-CN"/>
        </w:rPr>
        <w:t>.</w:t>
      </w:r>
    </w:p>
    <w:p w14:paraId="76444282" w14:textId="77777777" w:rsidR="00D87BDF" w:rsidRDefault="00D87BDF" w:rsidP="00D87BDF">
      <w:pPr>
        <w:pStyle w:val="SubHeafingSMPC"/>
        <w:ind w:left="57"/>
      </w:pPr>
      <w:r w:rsidRPr="008F5678">
        <w:t>Special warnings and precautions for use</w:t>
      </w:r>
    </w:p>
    <w:p w14:paraId="4C92AF58" w14:textId="77777777" w:rsidR="00D87BDF" w:rsidRDefault="00D87BDF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For pernicious anaemia, an adequate dose must be used and the blood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picture must be examined regularly at least every three months for 18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months until stabilised, and then annually. </w:t>
      </w:r>
    </w:p>
    <w:p w14:paraId="519F52CB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063A7DF3" w14:textId="77777777" w:rsidR="00D87BDF" w:rsidRDefault="00D87BDF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Indiscriminate administration of this medicine may mask precise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diagnosis. </w:t>
      </w:r>
    </w:p>
    <w:p w14:paraId="4BF3E58F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CE6FC48" w14:textId="0E84A1D4" w:rsidR="00D87BDF" w:rsidRPr="00091200" w:rsidRDefault="00D87BDF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Patients with rare hereditary problems of galactose intolerance, total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lactase deficiency or glucose-galactose malabsorption should not take </w:t>
      </w:r>
      <w:r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>this medicine</w:t>
      </w:r>
      <w:r w:rsidRPr="00091200">
        <w:rPr>
          <w:rFonts w:cstheme="minorBidi"/>
          <w:b w:val="0"/>
          <w:bCs w:val="0"/>
        </w:rPr>
        <w:t>.</w:t>
      </w:r>
      <w:r w:rsidRPr="00091200">
        <w:rPr>
          <w:rFonts w:cstheme="minorBidi"/>
          <w:b w:val="0"/>
          <w:bCs w:val="0"/>
          <w:cs/>
        </w:rPr>
        <w:tab/>
      </w:r>
    </w:p>
    <w:p w14:paraId="54693431" w14:textId="77777777" w:rsidR="00D87BDF" w:rsidRPr="002C2ECF" w:rsidRDefault="00D87BDF" w:rsidP="00D87BDF">
      <w:pPr>
        <w:pStyle w:val="SubHeafingSMPC"/>
        <w:ind w:left="57"/>
        <w:jc w:val="thaiDistribute"/>
      </w:pPr>
      <w:r w:rsidRPr="008F5678">
        <w:lastRenderedPageBreak/>
        <w:t>Interaction with other medicinal products and other forms of</w:t>
      </w:r>
      <w:r>
        <w:t xml:space="preserve"> </w:t>
      </w:r>
      <w:r w:rsidRPr="008F5678">
        <w:t>interaction</w:t>
      </w:r>
    </w:p>
    <w:p w14:paraId="3A08DB34" w14:textId="77777777" w:rsidR="00D87BDF" w:rsidRDefault="00D87BDF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7BDF">
        <w:rPr>
          <w:b w:val="0"/>
          <w:bCs w:val="0"/>
        </w:rPr>
        <w:t xml:space="preserve">Absorption may be reduced by Para-aminosalicylic acid, colchinine, </w:t>
      </w:r>
      <w:r>
        <w:rPr>
          <w:b w:val="0"/>
          <w:bCs w:val="0"/>
        </w:rPr>
        <w:tab/>
      </w:r>
      <w:r w:rsidRPr="00D87BDF">
        <w:rPr>
          <w:b w:val="0"/>
          <w:bCs w:val="0"/>
        </w:rPr>
        <w:t xml:space="preserve">biguanides, neomycin, cholestyramine, potassium chloride, methyldopa, </w:t>
      </w:r>
      <w:r>
        <w:rPr>
          <w:b w:val="0"/>
          <w:bCs w:val="0"/>
        </w:rPr>
        <w:tab/>
      </w:r>
      <w:r w:rsidRPr="00D87BDF">
        <w:rPr>
          <w:b w:val="0"/>
          <w:bCs w:val="0"/>
        </w:rPr>
        <w:t xml:space="preserve">and cimetidine. </w:t>
      </w:r>
    </w:p>
    <w:p w14:paraId="191AC1AE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D742A22" w14:textId="31C04A59" w:rsidR="00D87BDF" w:rsidRDefault="00D87BDF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7BDF">
        <w:rPr>
          <w:b w:val="0"/>
          <w:bCs w:val="0"/>
        </w:rPr>
        <w:t xml:space="preserve">Patients treated with chloramphenicol may respond poorly to this </w:t>
      </w:r>
      <w:r>
        <w:rPr>
          <w:b w:val="0"/>
          <w:bCs w:val="0"/>
        </w:rPr>
        <w:tab/>
      </w:r>
      <w:r w:rsidRPr="00D87BDF">
        <w:rPr>
          <w:b w:val="0"/>
          <w:bCs w:val="0"/>
        </w:rPr>
        <w:t>medicine.</w:t>
      </w:r>
    </w:p>
    <w:p w14:paraId="12787D7D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5A94813D" w14:textId="77777777" w:rsidR="00D87BDF" w:rsidRDefault="00D87BDF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7BDF">
        <w:rPr>
          <w:b w:val="0"/>
          <w:bCs w:val="0"/>
        </w:rPr>
        <w:t xml:space="preserve">Serum levels of this medicine may be lowered by oral contraceptives. </w:t>
      </w:r>
      <w:r>
        <w:rPr>
          <w:b w:val="0"/>
          <w:bCs w:val="0"/>
        </w:rPr>
        <w:tab/>
      </w:r>
      <w:r w:rsidRPr="00D87BDF">
        <w:rPr>
          <w:b w:val="0"/>
          <w:bCs w:val="0"/>
        </w:rPr>
        <w:t xml:space="preserve">These interactions are unlikely to have clinical significance. </w:t>
      </w:r>
    </w:p>
    <w:p w14:paraId="58B1270C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1AA5CEF2" w14:textId="3DFB9F45" w:rsidR="00D87BDF" w:rsidRPr="006722FC" w:rsidRDefault="00D87BDF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7BDF">
        <w:rPr>
          <w:b w:val="0"/>
          <w:bCs w:val="0"/>
        </w:rPr>
        <w:t xml:space="preserve">Anti-metabolities and most antibiotics invalidate vitamins B12 assays by </w:t>
      </w:r>
      <w:r>
        <w:rPr>
          <w:b w:val="0"/>
          <w:bCs w:val="0"/>
        </w:rPr>
        <w:tab/>
      </w:r>
      <w:r w:rsidRPr="00D87BDF">
        <w:rPr>
          <w:b w:val="0"/>
          <w:bCs w:val="0"/>
        </w:rPr>
        <w:t>microbiological techniques.</w:t>
      </w:r>
    </w:p>
    <w:p w14:paraId="2E82A8F8" w14:textId="77777777" w:rsidR="00D87BDF" w:rsidRDefault="00D87BDF" w:rsidP="00D87BDF">
      <w:pPr>
        <w:pStyle w:val="SubHeafingSMPC"/>
        <w:ind w:left="57"/>
      </w:pPr>
      <w:r w:rsidRPr="008F5678">
        <w:t>Fertility, pregnancy and lactation</w:t>
      </w:r>
    </w:p>
    <w:p w14:paraId="6598EEEF" w14:textId="77777777" w:rsidR="00D87BDF" w:rsidRPr="00091200" w:rsidRDefault="00D87BDF" w:rsidP="00D87BDF">
      <w:pPr>
        <w:pStyle w:val="SubHeafingSMPC"/>
        <w:numPr>
          <w:ilvl w:val="0"/>
          <w:numId w:val="0"/>
        </w:numPr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  <w:u w:val="single"/>
        </w:rPr>
        <w:t>Pregnancy</w:t>
      </w:r>
    </w:p>
    <w:p w14:paraId="30381B70" w14:textId="07CA610D" w:rsidR="00D87BDF" w:rsidRPr="009126B5" w:rsidRDefault="00D87BDF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D87BDF">
        <w:rPr>
          <w:b w:val="0"/>
          <w:bCs w:val="0"/>
        </w:rPr>
        <w:t>This medicine should not be used to treat megaloblastic anaemia of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D87BDF">
        <w:rPr>
          <w:b w:val="0"/>
          <w:bCs w:val="0"/>
        </w:rPr>
        <w:t>pregnancy because this is due to folate deficiency</w:t>
      </w:r>
      <w:r w:rsidRPr="00091200">
        <w:rPr>
          <w:b w:val="0"/>
          <w:bCs w:val="0"/>
        </w:rPr>
        <w:t>.</w:t>
      </w:r>
    </w:p>
    <w:p w14:paraId="73815EDE" w14:textId="77777777" w:rsidR="00D87BDF" w:rsidRPr="009126B5" w:rsidRDefault="00D87BDF" w:rsidP="00D87BDF">
      <w:pPr>
        <w:pStyle w:val="SubHeafingSMPC"/>
        <w:ind w:left="57"/>
      </w:pPr>
      <w:r w:rsidRPr="008F5678">
        <w:t>Effects on ability to drive and use machines</w:t>
      </w:r>
    </w:p>
    <w:p w14:paraId="452159EB" w14:textId="4D91D3D4" w:rsidR="00D87BDF" w:rsidRPr="002D59FE" w:rsidRDefault="00D87BDF" w:rsidP="00D87BDF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>None.</w:t>
      </w:r>
      <w:r>
        <w:rPr>
          <w:b w:val="0"/>
          <w:bCs w:val="0"/>
          <w:lang w:eastAsia="zh-CN"/>
        </w:rPr>
        <w:tab/>
      </w:r>
    </w:p>
    <w:p w14:paraId="2B835C2C" w14:textId="77777777" w:rsidR="00D87BDF" w:rsidRDefault="00D87BDF" w:rsidP="00D87BDF">
      <w:pPr>
        <w:pStyle w:val="SubHeafingSMPC"/>
        <w:ind w:left="57"/>
      </w:pPr>
      <w:r w:rsidRPr="008F5678">
        <w:t>Undesirable effects</w:t>
      </w:r>
    </w:p>
    <w:p w14:paraId="6B5A4B89" w14:textId="77777777" w:rsidR="00B119E5" w:rsidRDefault="00D87BDF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D87BDF">
        <w:rPr>
          <w:rFonts w:cstheme="minorBidi"/>
          <w:b w:val="0"/>
          <w:bCs w:val="0"/>
        </w:rPr>
        <w:t xml:space="preserve">Sensitisation to this medicine is rare, but may present as an itching </w:t>
      </w:r>
      <w:r w:rsidR="00B119E5">
        <w:rPr>
          <w:rFonts w:cstheme="minorBidi"/>
          <w:b w:val="0"/>
          <w:bCs w:val="0"/>
        </w:rPr>
        <w:tab/>
      </w:r>
      <w:r w:rsidRPr="00D87BDF">
        <w:rPr>
          <w:rFonts w:cstheme="minorBidi"/>
          <w:b w:val="0"/>
          <w:bCs w:val="0"/>
        </w:rPr>
        <w:t xml:space="preserve">exanthema, and exceptionally as anaphylactic shock. </w:t>
      </w:r>
    </w:p>
    <w:p w14:paraId="256E3ADA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4858D448" w14:textId="77777777" w:rsidR="00B119E5" w:rsidRDefault="00B119E5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D87BDF" w:rsidRPr="00D87BDF">
        <w:rPr>
          <w:rFonts w:cstheme="minorBidi"/>
          <w:b w:val="0"/>
          <w:bCs w:val="0"/>
        </w:rPr>
        <w:t>Acneform and bullous eruptions have been reported rarely.</w:t>
      </w:r>
    </w:p>
    <w:p w14:paraId="43AAE8DC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70E6617D" w14:textId="16A03922" w:rsidR="00B119E5" w:rsidRDefault="00B119E5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="00D87BDF" w:rsidRPr="00D87BDF">
        <w:rPr>
          <w:rFonts w:cstheme="minorBidi"/>
          <w:b w:val="0"/>
          <w:bCs w:val="0"/>
        </w:rPr>
        <w:t xml:space="preserve">Patients who have become sensitised to this medicine by injection are </w:t>
      </w:r>
      <w:r>
        <w:rPr>
          <w:rFonts w:cstheme="minorBidi"/>
          <w:b w:val="0"/>
          <w:bCs w:val="0"/>
        </w:rPr>
        <w:tab/>
      </w:r>
      <w:r w:rsidR="00D87BDF" w:rsidRPr="00D87BDF">
        <w:rPr>
          <w:rFonts w:cstheme="minorBidi"/>
          <w:b w:val="0"/>
          <w:bCs w:val="0"/>
        </w:rPr>
        <w:t xml:space="preserve">often able to tolerate the oral route without trouble. </w:t>
      </w:r>
    </w:p>
    <w:p w14:paraId="2E41A008" w14:textId="77777777" w:rsidR="00097939" w:rsidRPr="00097939" w:rsidRDefault="00097939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sz w:val="10"/>
          <w:szCs w:val="10"/>
        </w:rPr>
      </w:pPr>
    </w:p>
    <w:p w14:paraId="2D056FE4" w14:textId="77777777" w:rsidR="00B119E5" w:rsidRPr="00B119E5" w:rsidRDefault="00B119E5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</w:rPr>
        <w:tab/>
      </w:r>
      <w:r w:rsidR="00D87BDF" w:rsidRPr="00B119E5">
        <w:rPr>
          <w:rFonts w:cstheme="minorBidi"/>
          <w:b w:val="0"/>
          <w:bCs w:val="0"/>
          <w:u w:val="single"/>
        </w:rPr>
        <w:t xml:space="preserve">Reporting of suspected adverse reactions </w:t>
      </w:r>
    </w:p>
    <w:p w14:paraId="7E49BF56" w14:textId="79578918" w:rsidR="00D87BDF" w:rsidRPr="00D87BDF" w:rsidRDefault="00B119E5" w:rsidP="00D87BDF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  <w:cs/>
        </w:rPr>
      </w:pPr>
      <w:r>
        <w:rPr>
          <w:rFonts w:cstheme="minorBidi"/>
          <w:b w:val="0"/>
          <w:bCs w:val="0"/>
        </w:rPr>
        <w:tab/>
      </w:r>
      <w:r w:rsidR="00097939" w:rsidRPr="00097939">
        <w:rPr>
          <w:rFonts w:cstheme="minorBidi"/>
          <w:b w:val="0"/>
          <w:bCs w:val="0"/>
        </w:rPr>
        <w:t xml:space="preserve">Reporting suspected adverse reactions after authorisation of the </w:t>
      </w:r>
      <w:r w:rsidR="00097939">
        <w:rPr>
          <w:rFonts w:cstheme="minorBidi"/>
          <w:b w:val="0"/>
          <w:bCs w:val="0"/>
        </w:rPr>
        <w:tab/>
      </w:r>
      <w:r w:rsidR="00097939" w:rsidRPr="00097939">
        <w:rPr>
          <w:rFonts w:cstheme="minorBidi"/>
          <w:b w:val="0"/>
          <w:bCs w:val="0"/>
        </w:rPr>
        <w:t xml:space="preserve">medicinal product is important. It allows continued monitoring of the </w:t>
      </w:r>
      <w:r w:rsidR="00097939">
        <w:rPr>
          <w:rFonts w:cstheme="minorBidi"/>
          <w:b w:val="0"/>
          <w:bCs w:val="0"/>
        </w:rPr>
        <w:lastRenderedPageBreak/>
        <w:tab/>
      </w:r>
      <w:r w:rsidR="00097939" w:rsidRPr="00097939">
        <w:rPr>
          <w:rFonts w:cstheme="minorBidi"/>
          <w:b w:val="0"/>
          <w:bCs w:val="0"/>
        </w:rPr>
        <w:t xml:space="preserve">benefit/risk balance of the medicinal product. Healthcare professionals </w:t>
      </w:r>
      <w:r w:rsidR="00097939">
        <w:rPr>
          <w:rFonts w:cstheme="minorBidi"/>
          <w:b w:val="0"/>
          <w:bCs w:val="0"/>
        </w:rPr>
        <w:tab/>
      </w:r>
      <w:r w:rsidR="00097939" w:rsidRPr="00097939">
        <w:rPr>
          <w:rFonts w:cstheme="minorBidi"/>
          <w:b w:val="0"/>
          <w:bCs w:val="0"/>
        </w:rPr>
        <w:t xml:space="preserve">are asked to report any suspected adverse reactions via Health Product </w:t>
      </w:r>
      <w:r w:rsidR="00097939">
        <w:rPr>
          <w:rFonts w:cstheme="minorBidi"/>
          <w:b w:val="0"/>
          <w:bCs w:val="0"/>
        </w:rPr>
        <w:tab/>
      </w:r>
      <w:r w:rsidR="00097939" w:rsidRPr="00097939">
        <w:rPr>
          <w:rFonts w:cstheme="minorBidi"/>
          <w:b w:val="0"/>
          <w:bCs w:val="0"/>
        </w:rPr>
        <w:t>Vigilance Center; HPVC, Thai FDA</w:t>
      </w:r>
      <w:r w:rsidR="00D87BDF" w:rsidRPr="00D87BDF">
        <w:rPr>
          <w:rFonts w:cstheme="minorBidi"/>
          <w:b w:val="0"/>
          <w:bCs w:val="0"/>
        </w:rPr>
        <w:t>.</w:t>
      </w:r>
    </w:p>
    <w:p w14:paraId="6E3E3788" w14:textId="77777777" w:rsidR="00D87BDF" w:rsidRDefault="00D87BDF" w:rsidP="00D87BDF">
      <w:pPr>
        <w:pStyle w:val="SubHeafingSMPC"/>
        <w:ind w:left="0" w:firstLine="0"/>
      </w:pPr>
      <w:r w:rsidRPr="008F5678">
        <w:t>Overdose</w:t>
      </w:r>
    </w:p>
    <w:p w14:paraId="7C143358" w14:textId="5FE18C89" w:rsidR="00D87BDF" w:rsidRPr="00B119E5" w:rsidRDefault="00D87BDF" w:rsidP="00B119E5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="00B119E5" w:rsidRPr="00B119E5">
        <w:rPr>
          <w:rFonts w:cstheme="minorBidi"/>
          <w:b w:val="0"/>
          <w:bCs w:val="0"/>
        </w:rPr>
        <w:t>Overdosage is unlikely to require treatment</w:t>
      </w:r>
      <w:r w:rsidRPr="00B119E5">
        <w:rPr>
          <w:rFonts w:cstheme="minorBidi"/>
          <w:b w:val="0"/>
          <w:bCs w:val="0"/>
        </w:rPr>
        <w:t>.</w:t>
      </w:r>
    </w:p>
    <w:p w14:paraId="2E02AF61" w14:textId="77777777" w:rsidR="00D87BDF" w:rsidRPr="008F5678" w:rsidRDefault="00D87BDF" w:rsidP="00D87BDF">
      <w:pPr>
        <w:pStyle w:val="HEADING1SMPC"/>
      </w:pPr>
      <w:r w:rsidRPr="008F5678">
        <w:t xml:space="preserve">PHARMACOLOGICAL PROPERTIES </w:t>
      </w:r>
    </w:p>
    <w:p w14:paraId="380EF22F" w14:textId="77777777" w:rsidR="00D87BDF" w:rsidRDefault="00D87BDF" w:rsidP="00D87BDF">
      <w:pPr>
        <w:pStyle w:val="SubHeafingSMPC"/>
        <w:ind w:left="57"/>
      </w:pPr>
      <w:r w:rsidRPr="008F5678">
        <w:t>Pharmacodynamic properties</w:t>
      </w:r>
    </w:p>
    <w:p w14:paraId="1566482B" w14:textId="5428C738" w:rsidR="00D87BDF" w:rsidRDefault="00D87BDF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 w:rsidRPr="00B119E5">
        <w:tab/>
      </w:r>
      <w:r w:rsidR="00B119E5" w:rsidRPr="00B119E5">
        <w:rPr>
          <w:b w:val="0"/>
          <w:bCs w:val="0"/>
        </w:rPr>
        <w:t xml:space="preserve">This medicine contain cyanocobalamin vitamin B 12, which is used for </w:t>
      </w:r>
      <w:r w:rsidR="00B119E5">
        <w:rPr>
          <w:b w:val="0"/>
          <w:bCs w:val="0"/>
        </w:rPr>
        <w:tab/>
      </w:r>
      <w:r w:rsidR="00B119E5" w:rsidRPr="00B119E5">
        <w:rPr>
          <w:b w:val="0"/>
          <w:bCs w:val="0"/>
        </w:rPr>
        <w:t xml:space="preserve">the treatment of pernicious anaemia, and nutritional deficiencies of </w:t>
      </w:r>
      <w:r w:rsidR="00B119E5">
        <w:rPr>
          <w:b w:val="0"/>
          <w:bCs w:val="0"/>
        </w:rPr>
        <w:tab/>
      </w:r>
      <w:r w:rsidR="00B119E5" w:rsidRPr="00B119E5">
        <w:rPr>
          <w:b w:val="0"/>
          <w:bCs w:val="0"/>
        </w:rPr>
        <w:t>vitamin B 12 which results in macrocytic anaemia.</w:t>
      </w:r>
    </w:p>
    <w:p w14:paraId="4AD5A173" w14:textId="431AC32B" w:rsidR="00B119E5" w:rsidRPr="00B119E5" w:rsidRDefault="00B119E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119E5">
        <w:rPr>
          <w:b w:val="0"/>
          <w:bCs w:val="0"/>
        </w:rPr>
        <w:t>ATC code: B03BA01</w:t>
      </w:r>
    </w:p>
    <w:p w14:paraId="0FEB690C" w14:textId="77777777" w:rsidR="00D87BDF" w:rsidRDefault="00D87BDF" w:rsidP="00D87BDF">
      <w:pPr>
        <w:pStyle w:val="SubHeafingSMPC"/>
        <w:ind w:left="57"/>
      </w:pPr>
      <w:r w:rsidRPr="008F5678">
        <w:t>Pharmacokinetic properties</w:t>
      </w:r>
    </w:p>
    <w:p w14:paraId="10DBED7A" w14:textId="77777777" w:rsidR="00B119E5" w:rsidRPr="00B119E5" w:rsidRDefault="00D87BDF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tab/>
      </w:r>
      <w:r w:rsidR="00B119E5" w:rsidRPr="00B119E5">
        <w:rPr>
          <w:b w:val="0"/>
          <w:bCs w:val="0"/>
          <w:u w:val="single"/>
        </w:rPr>
        <w:t>Absorption</w:t>
      </w:r>
    </w:p>
    <w:p w14:paraId="106066FC" w14:textId="77777777" w:rsidR="00B119E5" w:rsidRDefault="00B119E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119E5">
        <w:rPr>
          <w:b w:val="0"/>
          <w:bCs w:val="0"/>
        </w:rPr>
        <w:t xml:space="preserve">The absorption of cobalamins from the gut is dependent upon the </w:t>
      </w:r>
      <w:r>
        <w:rPr>
          <w:b w:val="0"/>
          <w:bCs w:val="0"/>
        </w:rPr>
        <w:tab/>
      </w:r>
      <w:r w:rsidRPr="00B119E5">
        <w:rPr>
          <w:b w:val="0"/>
          <w:bCs w:val="0"/>
        </w:rPr>
        <w:t>glycoprotein intrinsic factor.</w:t>
      </w:r>
    </w:p>
    <w:p w14:paraId="1C57F6A4" w14:textId="77777777" w:rsidR="00FD4885" w:rsidRPr="00FD4885" w:rsidRDefault="00FD488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85A1825" w14:textId="77777777" w:rsidR="00B119E5" w:rsidRPr="00B119E5" w:rsidRDefault="00B119E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B119E5">
        <w:rPr>
          <w:b w:val="0"/>
          <w:bCs w:val="0"/>
          <w:u w:val="single"/>
        </w:rPr>
        <w:t>Distribution</w:t>
      </w:r>
    </w:p>
    <w:p w14:paraId="78BD5B7D" w14:textId="29BE9568" w:rsidR="00FD4885" w:rsidRDefault="00B119E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119E5">
        <w:rPr>
          <w:b w:val="0"/>
          <w:bCs w:val="0"/>
        </w:rPr>
        <w:t xml:space="preserve">Cobalamins are transported rapidly into the blood bound to protein, </w:t>
      </w:r>
      <w:r>
        <w:rPr>
          <w:b w:val="0"/>
          <w:bCs w:val="0"/>
        </w:rPr>
        <w:tab/>
      </w:r>
      <w:r w:rsidRPr="00B119E5">
        <w:rPr>
          <w:b w:val="0"/>
          <w:bCs w:val="0"/>
        </w:rPr>
        <w:t>known as transcobalamins.</w:t>
      </w:r>
    </w:p>
    <w:p w14:paraId="5032B0FB" w14:textId="77777777" w:rsidR="00FD4885" w:rsidRPr="00FD4885" w:rsidRDefault="00FD488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0E93F126" w14:textId="77777777" w:rsidR="00B119E5" w:rsidRPr="00B119E5" w:rsidRDefault="00B119E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u w:val="single"/>
        </w:rPr>
      </w:pPr>
      <w:r>
        <w:rPr>
          <w:b w:val="0"/>
          <w:bCs w:val="0"/>
        </w:rPr>
        <w:tab/>
      </w:r>
      <w:r w:rsidRPr="00B119E5">
        <w:rPr>
          <w:b w:val="0"/>
          <w:bCs w:val="0"/>
          <w:u w:val="single"/>
        </w:rPr>
        <w:t>Elimination</w:t>
      </w:r>
    </w:p>
    <w:p w14:paraId="37AAD960" w14:textId="26AE3C43" w:rsidR="00D87BDF" w:rsidRPr="00B119E5" w:rsidRDefault="00B119E5" w:rsidP="00B119E5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B119E5">
        <w:rPr>
          <w:b w:val="0"/>
          <w:bCs w:val="0"/>
        </w:rPr>
        <w:t xml:space="preserve">Cobalamins are stored in the liver and excreted in the bile. They are </w:t>
      </w:r>
      <w:r>
        <w:rPr>
          <w:b w:val="0"/>
          <w:bCs w:val="0"/>
        </w:rPr>
        <w:tab/>
      </w:r>
      <w:r w:rsidRPr="00B119E5">
        <w:rPr>
          <w:b w:val="0"/>
          <w:bCs w:val="0"/>
        </w:rPr>
        <w:t>known to cross the placenta</w:t>
      </w:r>
      <w:r w:rsidR="00D87BDF" w:rsidRPr="00B119E5">
        <w:rPr>
          <w:b w:val="0"/>
          <w:bCs w:val="0"/>
        </w:rPr>
        <w:t>.</w:t>
      </w:r>
    </w:p>
    <w:p w14:paraId="30620BA5" w14:textId="77777777" w:rsidR="00D87BDF" w:rsidRPr="00F82D07" w:rsidRDefault="00D87BDF" w:rsidP="00D87BDF">
      <w:pPr>
        <w:pStyle w:val="SubHeafingSMPC"/>
        <w:ind w:left="57"/>
      </w:pPr>
      <w:r w:rsidRPr="008F5678">
        <w:t xml:space="preserve">Preclinical safety data </w:t>
      </w:r>
    </w:p>
    <w:p w14:paraId="3C6595A1" w14:textId="77F9C030" w:rsidR="00D87BDF" w:rsidRDefault="00D87BDF" w:rsidP="00D87BDF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="00B119E5" w:rsidRPr="00B119E5">
        <w:rPr>
          <w:b w:val="0"/>
          <w:bCs w:val="0"/>
        </w:rPr>
        <w:t>No further relevant data</w:t>
      </w:r>
      <w:r w:rsidRPr="00D84F3B">
        <w:rPr>
          <w:b w:val="0"/>
          <w:bCs w:val="0"/>
        </w:rPr>
        <w:t>.</w:t>
      </w:r>
    </w:p>
    <w:p w14:paraId="202A0F6A" w14:textId="77777777" w:rsidR="00D87BDF" w:rsidRPr="008F5678" w:rsidRDefault="00D87BDF" w:rsidP="00D87BDF">
      <w:pPr>
        <w:pStyle w:val="HEADING1SMPC"/>
      </w:pPr>
      <w:r w:rsidRPr="008F5678">
        <w:t xml:space="preserve">PHARMACEUTICAL PARTICULARS </w:t>
      </w:r>
    </w:p>
    <w:p w14:paraId="089E2BC1" w14:textId="77777777" w:rsidR="00D87BDF" w:rsidRPr="008F5678" w:rsidRDefault="00D87BDF" w:rsidP="00D87BDF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37014136" w14:textId="77777777" w:rsidR="00D87BDF" w:rsidRPr="000A71B4" w:rsidRDefault="00D87BDF" w:rsidP="00D87BD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lastRenderedPageBreak/>
        <w:t>&lt;Regarding the approval&gt;</w:t>
      </w:r>
    </w:p>
    <w:p w14:paraId="462F9400" w14:textId="77777777" w:rsidR="00D87BDF" w:rsidRPr="00F527B4" w:rsidRDefault="00D87BDF" w:rsidP="00D87BDF">
      <w:pPr>
        <w:pStyle w:val="SubHeafingSMPC"/>
        <w:ind w:left="57"/>
      </w:pPr>
      <w:r w:rsidRPr="008F5678">
        <w:t xml:space="preserve">Incompatibilities </w:t>
      </w:r>
    </w:p>
    <w:p w14:paraId="2A4DA69B" w14:textId="77777777" w:rsidR="00D87BDF" w:rsidRPr="000A71B4" w:rsidRDefault="00D87BDF" w:rsidP="00D87BDF">
      <w:pPr>
        <w:pStyle w:val="SubHeafingSMPC"/>
        <w:numPr>
          <w:ilvl w:val="0"/>
          <w:numId w:val="0"/>
        </w:numPr>
        <w:ind w:left="57"/>
        <w:jc w:val="center"/>
      </w:pPr>
      <w:r>
        <w:rPr>
          <w:b w:val="0"/>
          <w:bCs w:val="0"/>
        </w:rPr>
        <w:tab/>
      </w:r>
      <w:r w:rsidRPr="000A71B4">
        <w:rPr>
          <w:b w:val="0"/>
          <w:bCs w:val="0"/>
          <w:color w:val="FF0000"/>
        </w:rPr>
        <w:t>&lt;Regarding the approval&gt;</w:t>
      </w:r>
    </w:p>
    <w:p w14:paraId="7FFD63A5" w14:textId="77777777" w:rsidR="00D87BDF" w:rsidRPr="000A71B4" w:rsidRDefault="00D87BDF" w:rsidP="00D87BDF">
      <w:pPr>
        <w:pStyle w:val="SubHeafingSMPC"/>
        <w:ind w:left="57"/>
      </w:pPr>
      <w:r w:rsidRPr="008F5678">
        <w:t xml:space="preserve">Shelf life </w:t>
      </w:r>
    </w:p>
    <w:p w14:paraId="36E49AE4" w14:textId="77777777" w:rsidR="00D87BDF" w:rsidRPr="000A71B4" w:rsidRDefault="00D87BDF" w:rsidP="00D87BDF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7B16F0AB" w14:textId="77777777" w:rsidR="00D87BDF" w:rsidRPr="008F5678" w:rsidRDefault="00D87BDF" w:rsidP="00D87BDF">
      <w:pPr>
        <w:pStyle w:val="SubHeafingSMPC"/>
        <w:ind w:left="57"/>
      </w:pPr>
      <w:r w:rsidRPr="008F5678">
        <w:t xml:space="preserve">Special precautions for storage </w:t>
      </w:r>
    </w:p>
    <w:p w14:paraId="3A1BDA24" w14:textId="77777777" w:rsidR="00D87BDF" w:rsidRPr="000A71B4" w:rsidRDefault="00D87BDF" w:rsidP="00D87BD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98C6108" w14:textId="77777777" w:rsidR="00D87BDF" w:rsidRPr="008F5678" w:rsidRDefault="00D87BDF" w:rsidP="00D87BDF">
      <w:pPr>
        <w:pStyle w:val="SubHeafingSMPC"/>
        <w:ind w:left="57"/>
      </w:pPr>
      <w:r w:rsidRPr="008F5678">
        <w:t xml:space="preserve">Nature and contents of container </w:t>
      </w:r>
    </w:p>
    <w:p w14:paraId="79735475" w14:textId="77777777" w:rsidR="00D87BDF" w:rsidRPr="000A71B4" w:rsidRDefault="00D87BDF" w:rsidP="00D87BD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87C0390" w14:textId="77777777" w:rsidR="00D87BDF" w:rsidRPr="000A71B4" w:rsidRDefault="00D87BDF" w:rsidP="00D87BDF">
      <w:pPr>
        <w:pStyle w:val="SubHeafingSMPC"/>
        <w:ind w:left="57"/>
      </w:pPr>
      <w:r w:rsidRPr="008F5678">
        <w:t xml:space="preserve">Special precautions for disposal </w:t>
      </w:r>
    </w:p>
    <w:p w14:paraId="28A19D48" w14:textId="77777777" w:rsidR="00D87BDF" w:rsidRPr="000A71B4" w:rsidRDefault="00D87BDF" w:rsidP="00D87BDF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B1B9132" w14:textId="77777777" w:rsidR="00D87BDF" w:rsidRDefault="00D87BDF" w:rsidP="00D87BDF">
      <w:pPr>
        <w:pStyle w:val="HEADING1SMPC"/>
      </w:pPr>
      <w:r w:rsidRPr="008F5678">
        <w:t xml:space="preserve">MARKETING AUTHORISATION HOLDER </w:t>
      </w:r>
    </w:p>
    <w:p w14:paraId="4B9E144A" w14:textId="77777777" w:rsidR="00D87BDF" w:rsidRPr="00D741D1" w:rsidRDefault="00D87BDF" w:rsidP="00D87BD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0A7D2EA8" w14:textId="77777777" w:rsidR="00D87BDF" w:rsidRDefault="00D87BDF" w:rsidP="00D87BDF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t xml:space="preserve">MARKETING AUTHORISATION NUMBER(S) </w:t>
      </w:r>
    </w:p>
    <w:p w14:paraId="7F73995A" w14:textId="77777777" w:rsidR="00D87BDF" w:rsidRPr="002270FF" w:rsidRDefault="00D87BDF" w:rsidP="00D87BD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0CF05FD" w14:textId="77777777" w:rsidR="00D87BDF" w:rsidRDefault="00D87BDF" w:rsidP="00D87BDF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71256AC9" w14:textId="77777777" w:rsidR="00D87BDF" w:rsidRPr="002270FF" w:rsidRDefault="00D87BDF" w:rsidP="00D87BDF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37EA3D8" w14:textId="77777777" w:rsidR="00D87BDF" w:rsidRPr="008F5678" w:rsidRDefault="00D87BDF" w:rsidP="00D87BDF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6C607500" w14:textId="77777777" w:rsidR="00D87BDF" w:rsidRPr="002270FF" w:rsidRDefault="00D87BDF" w:rsidP="00D87BD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4B75718B" w14:textId="77777777" w:rsidR="00D87BDF" w:rsidRPr="004E6B0A" w:rsidRDefault="00D87BDF" w:rsidP="00D87BDF">
      <w:pPr>
        <w:rPr>
          <w:rFonts w:ascii="Times New Roman" w:hAnsi="Times New Roman" w:cs="Times New Roman"/>
          <w:sz w:val="28"/>
          <w:szCs w:val="28"/>
        </w:rPr>
      </w:pPr>
    </w:p>
    <w:p w14:paraId="6C658701" w14:textId="77777777" w:rsidR="00CD0A94" w:rsidRDefault="00CD0A94"/>
    <w:sectPr w:rsidR="00CD0A94" w:rsidSect="00D87BDF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E38D1" w14:textId="77777777" w:rsidR="00D90C82" w:rsidRDefault="00D90C82" w:rsidP="00B119E5">
      <w:pPr>
        <w:spacing w:line="240" w:lineRule="auto"/>
      </w:pPr>
      <w:r>
        <w:separator/>
      </w:r>
    </w:p>
  </w:endnote>
  <w:endnote w:type="continuationSeparator" w:id="0">
    <w:p w14:paraId="50FD9C40" w14:textId="77777777" w:rsidR="00D90C82" w:rsidRDefault="00D90C82" w:rsidP="00B11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7391B4BD" w14:textId="77777777" w:rsidR="001F30EC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37CFAF4C" w14:textId="77777777" w:rsidR="001F30EC" w:rsidRDefault="001F30E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400D422E" w14:textId="77777777" w:rsidR="001F30EC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57B0A538" w14:textId="3740FF58" w:rsidR="001F30EC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B119E5" w:rsidRPr="00B119E5">
      <w:rPr>
        <w:rFonts w:ascii="Times New Roman" w:hAnsi="Times New Roman" w:cs="Times New Roman"/>
        <w:sz w:val="24"/>
        <w:szCs w:val="24"/>
      </w:rPr>
      <w:t>Ref: Cytacon, MHRA, date 21/07/2021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9EFEB" w14:textId="77777777" w:rsidR="00D90C82" w:rsidRDefault="00D90C82" w:rsidP="00B119E5">
      <w:pPr>
        <w:spacing w:line="240" w:lineRule="auto"/>
      </w:pPr>
      <w:r>
        <w:separator/>
      </w:r>
    </w:p>
  </w:footnote>
  <w:footnote w:type="continuationSeparator" w:id="0">
    <w:p w14:paraId="7B764B71" w14:textId="77777777" w:rsidR="00D90C82" w:rsidRDefault="00D90C82" w:rsidP="00B11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5B6B43"/>
    <w:multiLevelType w:val="hybridMultilevel"/>
    <w:tmpl w:val="6CFC973A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118836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DF"/>
    <w:rsid w:val="00097939"/>
    <w:rsid w:val="001F30EC"/>
    <w:rsid w:val="002B4BF5"/>
    <w:rsid w:val="003F07E1"/>
    <w:rsid w:val="00454EC5"/>
    <w:rsid w:val="005055F5"/>
    <w:rsid w:val="00610BC8"/>
    <w:rsid w:val="0067027E"/>
    <w:rsid w:val="008046D5"/>
    <w:rsid w:val="0083274C"/>
    <w:rsid w:val="00920590"/>
    <w:rsid w:val="009D24F6"/>
    <w:rsid w:val="009E126B"/>
    <w:rsid w:val="009F5322"/>
    <w:rsid w:val="00A710F6"/>
    <w:rsid w:val="00B06764"/>
    <w:rsid w:val="00B119E5"/>
    <w:rsid w:val="00B268E1"/>
    <w:rsid w:val="00CD0A94"/>
    <w:rsid w:val="00D807F6"/>
    <w:rsid w:val="00D87BDF"/>
    <w:rsid w:val="00D90C82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8A5D5"/>
  <w15:chartTrackingRefBased/>
  <w15:docId w15:val="{1D843162-FDB3-4079-9C76-298BC6A2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BD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7BD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D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DF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87BD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87BD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87BD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87B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87BDF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87B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87BDF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87B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87B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7BDF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87BD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87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87BD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8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87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87B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7BDF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D87BDF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D87BDF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D87BDF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D87BDF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D87BDF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D87BDF"/>
  </w:style>
  <w:style w:type="paragraph" w:styleId="ae">
    <w:name w:val="Body Text"/>
    <w:basedOn w:val="a"/>
    <w:link w:val="af2"/>
    <w:uiPriority w:val="99"/>
    <w:unhideWhenUsed/>
    <w:rsid w:val="00D87BDF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D87BDF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B119E5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B119E5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2024-08-14T14:27:00Z</dcterms:created>
  <dcterms:modified xsi:type="dcterms:W3CDTF">2024-08-18T03:08:00Z</dcterms:modified>
</cp:coreProperties>
</file>