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20E1F" w14:textId="77777777" w:rsidR="007C5888" w:rsidRPr="007C5888" w:rsidRDefault="00000000" w:rsidP="007C5888">
      <w:pPr>
        <w:spacing w:line="480" w:lineRule="auto"/>
        <w:jc w:val="center"/>
        <w:rPr>
          <w:b/>
          <w:sz w:val="28"/>
          <w:szCs w:val="28"/>
        </w:rPr>
      </w:pPr>
      <w:r w:rsidRPr="007C5888">
        <w:rPr>
          <w:b/>
          <w:sz w:val="28"/>
          <w:szCs w:val="28"/>
        </w:rPr>
        <w:t>SUMMARY OF PRODUCT CHARACTERISTICS</w:t>
      </w:r>
    </w:p>
    <w:p w14:paraId="72FFE33B" w14:textId="77777777" w:rsidR="007C5888" w:rsidRPr="007C5888" w:rsidRDefault="00000000" w:rsidP="007C5888">
      <w:pPr>
        <w:pStyle w:val="ListParagraph"/>
        <w:numPr>
          <w:ilvl w:val="0"/>
          <w:numId w:val="5"/>
        </w:numPr>
        <w:spacing w:line="264" w:lineRule="auto"/>
        <w:ind w:left="357" w:hanging="357"/>
        <w:contextualSpacing w:val="0"/>
        <w:rPr>
          <w:rFonts w:cs="Times New Roman"/>
          <w:b/>
          <w:bCs/>
          <w:sz w:val="28"/>
          <w:szCs w:val="28"/>
        </w:rPr>
      </w:pPr>
      <w:r w:rsidRPr="007C5888">
        <w:rPr>
          <w:rFonts w:cs="Times New Roman"/>
          <w:b/>
          <w:bCs/>
          <w:sz w:val="28"/>
          <w:szCs w:val="28"/>
        </w:rPr>
        <w:t>NAME OF THE MEDICINAL PRODUCT</w:t>
      </w:r>
    </w:p>
    <w:p w14:paraId="5937AE4E" w14:textId="77777777" w:rsidR="007C5888" w:rsidRPr="007C5888" w:rsidRDefault="00000000" w:rsidP="007C5888">
      <w:pPr>
        <w:pStyle w:val="ListParagraph"/>
        <w:spacing w:after="673"/>
        <w:ind w:left="360"/>
        <w:rPr>
          <w:rFonts w:cs="Times New Roman"/>
          <w:sz w:val="28"/>
          <w:szCs w:val="28"/>
        </w:rPr>
      </w:pPr>
      <w:r w:rsidRPr="007C5888">
        <w:rPr>
          <w:rFonts w:cs="Times New Roman"/>
          <w:color w:val="FF0000"/>
          <w:sz w:val="28"/>
          <w:szCs w:val="28"/>
        </w:rPr>
        <w:t xml:space="preserve">&lt;TRADE NAME&gt; &lt;STRENGTH&gt; </w:t>
      </w:r>
      <w:r w:rsidRPr="007C5888">
        <w:rPr>
          <w:rFonts w:cs="Times New Roman"/>
          <w:sz w:val="28"/>
          <w:szCs w:val="28"/>
        </w:rPr>
        <w:t>Tablets</w:t>
      </w:r>
    </w:p>
    <w:p w14:paraId="705362DF" w14:textId="1A667490" w:rsidR="007C5888" w:rsidRPr="007C5888" w:rsidRDefault="00000000" w:rsidP="007C5888">
      <w:pPr>
        <w:pStyle w:val="ListParagraph"/>
        <w:ind w:left="357"/>
        <w:contextualSpacing w:val="0"/>
        <w:rPr>
          <w:rFonts w:cs="Times New Roman"/>
          <w:color w:val="FF0000"/>
          <w:sz w:val="28"/>
          <w:szCs w:val="28"/>
        </w:rPr>
      </w:pPr>
      <w:r w:rsidRPr="007C5888">
        <w:rPr>
          <w:rFonts w:cs="Times New Roman"/>
          <w:color w:val="FF0000"/>
          <w:sz w:val="28"/>
          <w:szCs w:val="28"/>
        </w:rPr>
        <w:t>&lt;REGARDING THE APPROVAL&gt;</w:t>
      </w:r>
    </w:p>
    <w:p w14:paraId="21B2013E" w14:textId="77777777" w:rsidR="007C5888" w:rsidRDefault="00000000" w:rsidP="007C5888">
      <w:pPr>
        <w:pStyle w:val="ListParagraph"/>
        <w:numPr>
          <w:ilvl w:val="0"/>
          <w:numId w:val="5"/>
        </w:numPr>
        <w:spacing w:line="264" w:lineRule="auto"/>
        <w:ind w:left="357" w:hanging="357"/>
        <w:contextualSpacing w:val="0"/>
        <w:rPr>
          <w:rFonts w:cs="Times New Roman"/>
          <w:b/>
          <w:bCs/>
          <w:sz w:val="28"/>
          <w:szCs w:val="28"/>
        </w:rPr>
      </w:pPr>
      <w:r w:rsidRPr="007C5888">
        <w:rPr>
          <w:rFonts w:cs="Times New Roman"/>
          <w:b/>
          <w:bCs/>
          <w:sz w:val="28"/>
          <w:szCs w:val="28"/>
        </w:rPr>
        <w:t>QUALITATIVE AND QUANTITATIVE COMPOSITION</w:t>
      </w:r>
    </w:p>
    <w:p w14:paraId="6969BD50" w14:textId="77777777" w:rsidR="007C5888" w:rsidRDefault="00000000" w:rsidP="007C5888">
      <w:pPr>
        <w:pStyle w:val="ListParagraph"/>
        <w:spacing w:after="673"/>
        <w:ind w:left="360"/>
        <w:rPr>
          <w:color w:val="FF0000"/>
          <w:sz w:val="28"/>
          <w:szCs w:val="28"/>
        </w:rPr>
      </w:pPr>
      <w:r w:rsidRPr="007C5888">
        <w:rPr>
          <w:sz w:val="28"/>
          <w:szCs w:val="28"/>
        </w:rPr>
        <w:t xml:space="preserve">Each film-coated tablet contains </w:t>
      </w:r>
      <w:r w:rsidRPr="007C5888">
        <w:rPr>
          <w:color w:val="FF0000"/>
          <w:sz w:val="28"/>
          <w:szCs w:val="28"/>
        </w:rPr>
        <w:t>&lt;GENERIC NAME&gt; &lt;STRENGTH&gt;</w:t>
      </w:r>
    </w:p>
    <w:p w14:paraId="4CF93EF7" w14:textId="77777777" w:rsidR="007C5888" w:rsidRDefault="00000000" w:rsidP="007C5888">
      <w:pPr>
        <w:pStyle w:val="ListParagraph"/>
        <w:spacing w:after="673"/>
        <w:ind w:left="360"/>
        <w:rPr>
          <w:rFonts w:cs="Times New Roman"/>
          <w:color w:val="FF0000"/>
          <w:sz w:val="28"/>
          <w:szCs w:val="28"/>
        </w:rPr>
      </w:pPr>
      <w:r w:rsidRPr="007C5888">
        <w:rPr>
          <w:rFonts w:cs="Times New Roman"/>
          <w:color w:val="FF0000"/>
          <w:sz w:val="28"/>
          <w:szCs w:val="28"/>
        </w:rPr>
        <w:t>&lt;REGARDING THE APPROVAL&gt;</w:t>
      </w:r>
    </w:p>
    <w:p w14:paraId="0EB1D2D5" w14:textId="77777777" w:rsidR="007C5888" w:rsidRDefault="00000000" w:rsidP="007C5888">
      <w:pPr>
        <w:pStyle w:val="ListParagraph"/>
        <w:ind w:left="357"/>
        <w:contextualSpacing w:val="0"/>
        <w:rPr>
          <w:rFonts w:cs="Times New Roman"/>
          <w:sz w:val="28"/>
          <w:szCs w:val="28"/>
        </w:rPr>
      </w:pPr>
      <w:r w:rsidRPr="007C5888">
        <w:rPr>
          <w:rFonts w:cs="Times New Roman"/>
          <w:sz w:val="28"/>
          <w:szCs w:val="28"/>
        </w:rPr>
        <w:t>For a full list of excipients, see section 6.1.</w:t>
      </w:r>
    </w:p>
    <w:p w14:paraId="70DDDCF3" w14:textId="77777777" w:rsidR="007C5888" w:rsidRDefault="00000000" w:rsidP="007C5888">
      <w:pPr>
        <w:pStyle w:val="ListParagraph"/>
        <w:numPr>
          <w:ilvl w:val="0"/>
          <w:numId w:val="5"/>
        </w:numPr>
        <w:ind w:left="357" w:hanging="357"/>
        <w:contextualSpacing w:val="0"/>
        <w:rPr>
          <w:rFonts w:cs="Times New Roman"/>
          <w:b/>
          <w:bCs/>
          <w:sz w:val="28"/>
          <w:szCs w:val="28"/>
        </w:rPr>
      </w:pPr>
      <w:r w:rsidRPr="007C5888">
        <w:rPr>
          <w:rFonts w:cs="Times New Roman"/>
          <w:b/>
          <w:bCs/>
          <w:sz w:val="28"/>
          <w:szCs w:val="28"/>
        </w:rPr>
        <w:t>PHARMACEUTICAL FORM</w:t>
      </w:r>
    </w:p>
    <w:p w14:paraId="350E0686" w14:textId="77777777" w:rsidR="007C5888" w:rsidRDefault="00000000" w:rsidP="007C5888">
      <w:pPr>
        <w:pStyle w:val="ListParagraph"/>
        <w:ind w:left="357"/>
        <w:contextualSpacing w:val="0"/>
        <w:rPr>
          <w:sz w:val="28"/>
          <w:szCs w:val="28"/>
        </w:rPr>
      </w:pPr>
      <w:r w:rsidRPr="007C5888">
        <w:rPr>
          <w:sz w:val="28"/>
          <w:szCs w:val="28"/>
        </w:rPr>
        <w:t>Film-coated tablet.</w:t>
      </w:r>
    </w:p>
    <w:p w14:paraId="10F2ADDC" w14:textId="77777777" w:rsidR="00E66A00" w:rsidRDefault="00000000" w:rsidP="00E66A00">
      <w:pPr>
        <w:pStyle w:val="ListParagraph"/>
        <w:ind w:left="357"/>
        <w:contextualSpacing w:val="0"/>
        <w:rPr>
          <w:rFonts w:cs="Times New Roman"/>
          <w:color w:val="FF0000"/>
          <w:sz w:val="28"/>
          <w:szCs w:val="28"/>
        </w:rPr>
      </w:pPr>
      <w:r w:rsidRPr="007C5888">
        <w:rPr>
          <w:rFonts w:cs="Times New Roman"/>
          <w:color w:val="FF0000"/>
          <w:sz w:val="28"/>
          <w:szCs w:val="28"/>
        </w:rPr>
        <w:t>&lt;REGARDING THE APPROVAL&gt;</w:t>
      </w:r>
    </w:p>
    <w:p w14:paraId="10F6099B" w14:textId="77777777" w:rsidR="00E66A00" w:rsidRPr="00E66A00" w:rsidRDefault="00000000" w:rsidP="00E66A00">
      <w:pPr>
        <w:pStyle w:val="ListParagraph"/>
        <w:numPr>
          <w:ilvl w:val="0"/>
          <w:numId w:val="5"/>
        </w:numPr>
        <w:ind w:left="357" w:hanging="357"/>
        <w:contextualSpacing w:val="0"/>
        <w:rPr>
          <w:rFonts w:cs="Times New Roman"/>
          <w:b/>
          <w:bCs/>
          <w:sz w:val="28"/>
          <w:szCs w:val="28"/>
        </w:rPr>
      </w:pPr>
      <w:r w:rsidRPr="007C5888">
        <w:rPr>
          <w:rFonts w:cs="Times New Roman"/>
          <w:sz w:val="28"/>
          <w:szCs w:val="28"/>
        </w:rPr>
        <w:t>CLINICAL PARTICULARS</w:t>
      </w:r>
    </w:p>
    <w:p w14:paraId="51E38402" w14:textId="77777777" w:rsidR="00E66A00" w:rsidRPr="00E66A00" w:rsidRDefault="00000000" w:rsidP="00E66A00">
      <w:pPr>
        <w:pStyle w:val="ListParagraph"/>
        <w:numPr>
          <w:ilvl w:val="1"/>
          <w:numId w:val="5"/>
        </w:numPr>
        <w:contextualSpacing w:val="0"/>
        <w:rPr>
          <w:rFonts w:cs="Times New Roman"/>
          <w:b/>
          <w:bCs/>
          <w:sz w:val="32"/>
          <w:szCs w:val="32"/>
        </w:rPr>
      </w:pPr>
      <w:r w:rsidRPr="00E66A00">
        <w:rPr>
          <w:b/>
          <w:bCs/>
          <w:sz w:val="28"/>
          <w:szCs w:val="32"/>
        </w:rPr>
        <w:t>Therapeutic indications</w:t>
      </w:r>
      <w:r w:rsidR="00E66A00" w:rsidRPr="00E66A00">
        <w:t xml:space="preserve"> </w:t>
      </w:r>
    </w:p>
    <w:p w14:paraId="518BFE9C" w14:textId="77777777" w:rsidR="00E66A00" w:rsidRDefault="00E66A00" w:rsidP="00E66A00">
      <w:pPr>
        <w:pStyle w:val="ListParagraph"/>
        <w:ind w:left="792"/>
        <w:contextualSpacing w:val="0"/>
        <w:rPr>
          <w:rFonts w:cs="Times New Roman"/>
          <w:b/>
          <w:bCs/>
          <w:sz w:val="28"/>
          <w:szCs w:val="28"/>
        </w:rPr>
      </w:pPr>
      <w:r w:rsidRPr="00E66A00">
        <w:rPr>
          <w:sz w:val="28"/>
          <w:szCs w:val="32"/>
        </w:rPr>
        <w:t>The treatment of fungal infections of the skin, scalp, hair, or nails (Tinea barbae, Tinea capitis, Tinea corporis, Tinea cruris, Tinea pedis, Tinea unguium) where topical therapy is considered inappropriate, or the infection has proven refractory to topical therapy.</w:t>
      </w:r>
      <w:r w:rsidRPr="00E66A00">
        <w:rPr>
          <w:rFonts w:cs="Times New Roman"/>
          <w:b/>
          <w:bCs/>
          <w:sz w:val="28"/>
          <w:szCs w:val="28"/>
        </w:rPr>
        <w:t xml:space="preserve"> </w:t>
      </w:r>
    </w:p>
    <w:p w14:paraId="5194441F" w14:textId="77777777" w:rsidR="00E66A00" w:rsidRPr="00E66A00" w:rsidRDefault="00E66A00" w:rsidP="00E66A00">
      <w:pPr>
        <w:pStyle w:val="ListParagraph"/>
        <w:ind w:left="792"/>
        <w:contextualSpacing w:val="0"/>
        <w:rPr>
          <w:rFonts w:cs="Times New Roman"/>
          <w:sz w:val="28"/>
          <w:szCs w:val="28"/>
        </w:rPr>
      </w:pPr>
      <w:r w:rsidRPr="00E66A00">
        <w:rPr>
          <w:rFonts w:cs="Times New Roman"/>
          <w:sz w:val="28"/>
          <w:szCs w:val="28"/>
        </w:rPr>
        <w:t xml:space="preserve">Oral administration of </w:t>
      </w:r>
      <w:r w:rsidRPr="00E66A00">
        <w:rPr>
          <w:rFonts w:cs="Times New Roman"/>
          <w:color w:val="FF0000"/>
          <w:sz w:val="28"/>
          <w:szCs w:val="28"/>
        </w:rPr>
        <w:t xml:space="preserve">&lt;GENERIC NAME&gt; </w:t>
      </w:r>
      <w:r w:rsidRPr="00E66A00">
        <w:rPr>
          <w:rFonts w:cs="Times New Roman"/>
          <w:sz w:val="28"/>
          <w:szCs w:val="28"/>
        </w:rPr>
        <w:t>for systemic therapy of fungal infections enables newly formed keratin of the skin, hair, and nails to resist fungal attack</w:t>
      </w:r>
      <w:r>
        <w:rPr>
          <w:rFonts w:cs="Times New Roman"/>
          <w:sz w:val="28"/>
          <w:szCs w:val="28"/>
        </w:rPr>
        <w:t>.</w:t>
      </w:r>
    </w:p>
    <w:p w14:paraId="7AE3D806" w14:textId="4500FA6F" w:rsidR="007C5888" w:rsidRPr="00E66A00" w:rsidRDefault="00000000" w:rsidP="00E66A00">
      <w:pPr>
        <w:pStyle w:val="ListParagraph"/>
        <w:ind w:left="792"/>
        <w:contextualSpacing w:val="0"/>
        <w:rPr>
          <w:rFonts w:cs="Times New Roman"/>
          <w:sz w:val="32"/>
          <w:szCs w:val="32"/>
        </w:rPr>
      </w:pPr>
      <w:r w:rsidRPr="00E66A00">
        <w:rPr>
          <w:rFonts w:cs="Times New Roman"/>
          <w:sz w:val="28"/>
          <w:szCs w:val="28"/>
        </w:rPr>
        <w:t>As the new keratin extends, the old infected keratin is shed.</w:t>
      </w:r>
    </w:p>
    <w:p w14:paraId="601AB1CB" w14:textId="77777777" w:rsidR="007C5888" w:rsidRPr="007C5888" w:rsidRDefault="00000000" w:rsidP="00E66A00">
      <w:pPr>
        <w:pStyle w:val="Heading1"/>
        <w:tabs>
          <w:tab w:val="center" w:pos="2460"/>
        </w:tabs>
        <w:spacing w:line="360" w:lineRule="auto"/>
        <w:ind w:left="735" w:firstLine="0"/>
        <w:jc w:val="thaiDistribute"/>
        <w:rPr>
          <w:b w:val="0"/>
          <w:bCs/>
          <w:szCs w:val="28"/>
        </w:rPr>
      </w:pPr>
      <w:r w:rsidRPr="007C5888">
        <w:rPr>
          <w:b w:val="0"/>
          <w:bCs/>
          <w:szCs w:val="28"/>
        </w:rPr>
        <w:lastRenderedPageBreak/>
        <w:t xml:space="preserve">Prior to therapy, the type of fungi responsible should be identified. The use of </w:t>
      </w:r>
      <w:r w:rsidRPr="007C5888">
        <w:rPr>
          <w:b w:val="0"/>
          <w:bCs/>
          <w:color w:val="FF0000"/>
          <w:szCs w:val="28"/>
        </w:rPr>
        <w:t xml:space="preserve">&lt;GENERIC NAME&gt; </w:t>
      </w:r>
      <w:r w:rsidRPr="007C5888">
        <w:rPr>
          <w:b w:val="0"/>
          <w:bCs/>
          <w:szCs w:val="28"/>
        </w:rPr>
        <w:t>is not justified in the treatment of minor or trivial infections that will respond to topical therapy.</w:t>
      </w:r>
    </w:p>
    <w:p w14:paraId="17FD180B" w14:textId="1B712EBC" w:rsidR="003614E3" w:rsidRPr="007C5888" w:rsidRDefault="00000000" w:rsidP="007C5888">
      <w:pPr>
        <w:pStyle w:val="Heading1"/>
        <w:tabs>
          <w:tab w:val="center" w:pos="2460"/>
        </w:tabs>
        <w:spacing w:line="360" w:lineRule="auto"/>
        <w:ind w:left="792" w:firstLine="0"/>
        <w:jc w:val="thaiDistribute"/>
        <w:rPr>
          <w:b w:val="0"/>
          <w:bCs/>
          <w:szCs w:val="28"/>
        </w:rPr>
      </w:pPr>
      <w:r w:rsidRPr="007C5888">
        <w:rPr>
          <w:b w:val="0"/>
          <w:bCs/>
          <w:szCs w:val="28"/>
        </w:rPr>
        <w:t xml:space="preserve">Before prescribing </w:t>
      </w:r>
      <w:r w:rsidRPr="007C5888">
        <w:rPr>
          <w:b w:val="0"/>
          <w:bCs/>
          <w:color w:val="FF0000"/>
          <w:szCs w:val="28"/>
        </w:rPr>
        <w:t xml:space="preserve">&lt;GENERIC NAME&gt; </w:t>
      </w:r>
      <w:r w:rsidRPr="007C5888">
        <w:rPr>
          <w:b w:val="0"/>
          <w:bCs/>
          <w:szCs w:val="28"/>
        </w:rPr>
        <w:t>Tablets, consideration should be given to national and/or local guidance on the appropriate use of antifungals.</w:t>
      </w:r>
    </w:p>
    <w:p w14:paraId="3B93356F" w14:textId="77777777" w:rsidR="007C5888" w:rsidRDefault="00000000" w:rsidP="007C5888">
      <w:pPr>
        <w:pStyle w:val="Heading2"/>
        <w:numPr>
          <w:ilvl w:val="1"/>
          <w:numId w:val="5"/>
        </w:numPr>
        <w:tabs>
          <w:tab w:val="center" w:pos="2745"/>
        </w:tabs>
        <w:spacing w:after="409"/>
        <w:rPr>
          <w:sz w:val="28"/>
          <w:szCs w:val="28"/>
        </w:rPr>
      </w:pPr>
      <w:r w:rsidRPr="007C5888">
        <w:rPr>
          <w:sz w:val="28"/>
          <w:szCs w:val="28"/>
        </w:rPr>
        <w:t>Posology and method of administration</w:t>
      </w:r>
    </w:p>
    <w:p w14:paraId="499CEF56" w14:textId="77777777" w:rsidR="007C5888" w:rsidRPr="007C5888" w:rsidRDefault="00000000" w:rsidP="007C5888">
      <w:pPr>
        <w:pStyle w:val="Heading2"/>
        <w:tabs>
          <w:tab w:val="center" w:pos="2745"/>
        </w:tabs>
        <w:spacing w:after="0" w:line="360" w:lineRule="auto"/>
        <w:ind w:left="792" w:firstLine="0"/>
        <w:rPr>
          <w:b w:val="0"/>
          <w:bCs/>
          <w:i/>
          <w:sz w:val="28"/>
          <w:szCs w:val="28"/>
        </w:rPr>
      </w:pPr>
      <w:r w:rsidRPr="007C5888">
        <w:rPr>
          <w:b w:val="0"/>
          <w:bCs/>
          <w:i/>
          <w:sz w:val="28"/>
          <w:szCs w:val="28"/>
        </w:rPr>
        <w:t>General:</w:t>
      </w:r>
    </w:p>
    <w:p w14:paraId="6BB6B7DD" w14:textId="77777777" w:rsidR="007C5888" w:rsidRDefault="00000000" w:rsidP="007C5888">
      <w:pPr>
        <w:pStyle w:val="Heading2"/>
        <w:tabs>
          <w:tab w:val="center" w:pos="2745"/>
        </w:tabs>
        <w:spacing w:after="240" w:line="360" w:lineRule="auto"/>
        <w:ind w:left="794" w:firstLine="0"/>
        <w:rPr>
          <w:b w:val="0"/>
          <w:bCs/>
          <w:sz w:val="28"/>
          <w:szCs w:val="28"/>
        </w:rPr>
      </w:pPr>
      <w:r w:rsidRPr="007C5888">
        <w:rPr>
          <w:b w:val="0"/>
          <w:bCs/>
          <w:sz w:val="28"/>
          <w:szCs w:val="28"/>
        </w:rPr>
        <w:t>For oral administration.</w:t>
      </w:r>
    </w:p>
    <w:p w14:paraId="71DC790D" w14:textId="48F352F0" w:rsidR="007C5888" w:rsidRDefault="00000000" w:rsidP="007C5888">
      <w:pPr>
        <w:pStyle w:val="Heading2"/>
        <w:tabs>
          <w:tab w:val="center" w:pos="2745"/>
        </w:tabs>
        <w:spacing w:after="240" w:line="360" w:lineRule="auto"/>
        <w:ind w:left="794" w:firstLine="0"/>
        <w:jc w:val="thaiDistribute"/>
        <w:rPr>
          <w:b w:val="0"/>
          <w:bCs/>
          <w:sz w:val="28"/>
          <w:szCs w:val="28"/>
        </w:rPr>
      </w:pPr>
      <w:r w:rsidRPr="007C5888">
        <w:rPr>
          <w:b w:val="0"/>
          <w:bCs/>
          <w:sz w:val="28"/>
          <w:szCs w:val="28"/>
        </w:rPr>
        <w:t xml:space="preserve">Tablets should be swallowed whole with a glass of water. </w:t>
      </w:r>
      <w:r w:rsidRPr="007C5888">
        <w:rPr>
          <w:b w:val="0"/>
          <w:bCs/>
          <w:color w:val="FF0000"/>
          <w:sz w:val="28"/>
          <w:szCs w:val="28"/>
        </w:rPr>
        <w:t xml:space="preserve">&lt;GENERIC NAME&gt; </w:t>
      </w:r>
      <w:r w:rsidRPr="007C5888">
        <w:rPr>
          <w:b w:val="0"/>
          <w:bCs/>
          <w:sz w:val="28"/>
          <w:szCs w:val="28"/>
        </w:rPr>
        <w:t>is recommended to be taken after a high fat meal, for</w:t>
      </w:r>
      <w:r w:rsidR="007C5888">
        <w:rPr>
          <w:b w:val="0"/>
          <w:bCs/>
          <w:sz w:val="28"/>
          <w:szCs w:val="28"/>
        </w:rPr>
        <w:t xml:space="preserve"> </w:t>
      </w:r>
      <w:r w:rsidRPr="007C5888">
        <w:rPr>
          <w:b w:val="0"/>
          <w:bCs/>
          <w:sz w:val="28"/>
          <w:szCs w:val="28"/>
        </w:rPr>
        <w:t>increased absorption and minimising GI distress, see section 5.2.</w:t>
      </w:r>
    </w:p>
    <w:p w14:paraId="2F58CEDC" w14:textId="77777777" w:rsidR="007C5888" w:rsidRDefault="00000000" w:rsidP="007C5888">
      <w:pPr>
        <w:pStyle w:val="Heading2"/>
        <w:tabs>
          <w:tab w:val="center" w:pos="2745"/>
        </w:tabs>
        <w:spacing w:after="240" w:line="360" w:lineRule="auto"/>
        <w:ind w:left="794" w:firstLine="0"/>
        <w:jc w:val="thaiDistribute"/>
        <w:rPr>
          <w:b w:val="0"/>
          <w:bCs/>
          <w:sz w:val="28"/>
          <w:szCs w:val="28"/>
        </w:rPr>
      </w:pPr>
      <w:r w:rsidRPr="007C5888">
        <w:rPr>
          <w:b w:val="0"/>
          <w:bCs/>
          <w:sz w:val="28"/>
          <w:szCs w:val="28"/>
        </w:rPr>
        <w:t>General measures in regard to hygiene should be observed to control sources of infection or reinfection. Concomitant use of appropriate topical agents is usually required, particularly in treatment of tinea pedis. In some forms of tine pedis, yeasts and bacteria may be involved as well as fungi.</w:t>
      </w:r>
    </w:p>
    <w:p w14:paraId="0A67FDF7" w14:textId="77777777" w:rsidR="007C5888" w:rsidRDefault="00000000" w:rsidP="007C5888">
      <w:pPr>
        <w:pStyle w:val="Heading2"/>
        <w:tabs>
          <w:tab w:val="center" w:pos="2745"/>
        </w:tabs>
        <w:spacing w:after="0" w:line="360" w:lineRule="auto"/>
        <w:ind w:left="792" w:firstLine="0"/>
        <w:jc w:val="thaiDistribute"/>
        <w:rPr>
          <w:b w:val="0"/>
          <w:bCs/>
          <w:sz w:val="28"/>
          <w:szCs w:val="28"/>
        </w:rPr>
      </w:pPr>
      <w:r w:rsidRPr="007C5888">
        <w:rPr>
          <w:b w:val="0"/>
          <w:bCs/>
          <w:color w:val="FF0000"/>
          <w:sz w:val="28"/>
          <w:szCs w:val="28"/>
        </w:rPr>
        <w:t xml:space="preserve">&lt;GENERIC NAME&gt; </w:t>
      </w:r>
      <w:r w:rsidRPr="007C5888">
        <w:rPr>
          <w:b w:val="0"/>
          <w:bCs/>
          <w:sz w:val="28"/>
          <w:szCs w:val="28"/>
        </w:rPr>
        <w:t>will not eradicate the bacterial or candidial infections.</w:t>
      </w:r>
    </w:p>
    <w:p w14:paraId="116450C6" w14:textId="77777777" w:rsidR="00E66A00" w:rsidRDefault="00E66A00">
      <w:pPr>
        <w:spacing w:after="160" w:line="278" w:lineRule="auto"/>
        <w:jc w:val="left"/>
        <w:rPr>
          <w:bCs/>
          <w:iCs/>
          <w:sz w:val="28"/>
          <w:szCs w:val="28"/>
          <w:u w:val="single"/>
        </w:rPr>
      </w:pPr>
      <w:r>
        <w:rPr>
          <w:b/>
          <w:bCs/>
          <w:iCs/>
          <w:sz w:val="28"/>
          <w:szCs w:val="28"/>
          <w:u w:val="single"/>
        </w:rPr>
        <w:br w:type="page"/>
      </w:r>
    </w:p>
    <w:p w14:paraId="6E762632" w14:textId="6BB171B6" w:rsidR="007C5888" w:rsidRDefault="00000000" w:rsidP="007C5888">
      <w:pPr>
        <w:pStyle w:val="Heading2"/>
        <w:tabs>
          <w:tab w:val="center" w:pos="2745"/>
        </w:tabs>
        <w:spacing w:after="0" w:line="360" w:lineRule="auto"/>
        <w:ind w:left="792" w:firstLine="0"/>
        <w:jc w:val="thaiDistribute"/>
        <w:rPr>
          <w:b w:val="0"/>
          <w:bCs/>
          <w:iCs/>
          <w:sz w:val="28"/>
          <w:szCs w:val="28"/>
          <w:u w:val="single"/>
        </w:rPr>
      </w:pPr>
      <w:r w:rsidRPr="007C5888">
        <w:rPr>
          <w:b w:val="0"/>
          <w:bCs/>
          <w:iCs/>
          <w:sz w:val="28"/>
          <w:szCs w:val="28"/>
          <w:u w:val="single"/>
        </w:rPr>
        <w:lastRenderedPageBreak/>
        <w:t>Adults</w:t>
      </w:r>
    </w:p>
    <w:p w14:paraId="6B4ADDDF" w14:textId="77777777" w:rsidR="007C5888" w:rsidRDefault="00000000" w:rsidP="007C5888">
      <w:pPr>
        <w:pStyle w:val="Heading2"/>
        <w:tabs>
          <w:tab w:val="center" w:pos="2745"/>
        </w:tabs>
        <w:spacing w:after="240" w:line="360" w:lineRule="auto"/>
        <w:ind w:left="794" w:firstLine="0"/>
        <w:jc w:val="thaiDistribute"/>
        <w:rPr>
          <w:b w:val="0"/>
          <w:bCs/>
          <w:sz w:val="28"/>
          <w:szCs w:val="28"/>
        </w:rPr>
      </w:pPr>
      <w:r w:rsidRPr="007C5888">
        <w:rPr>
          <w:b w:val="0"/>
          <w:bCs/>
          <w:sz w:val="28"/>
          <w:szCs w:val="28"/>
        </w:rPr>
        <w:t>The usual adult dose is 500 mg to 1000 mg daily. The dose should not be less than 10 mg / Kg bodyweight / day. The dose may be administered as a single daily dose, or it may be administered twice daily.The twice daily dosing regimen may be more effective in those patients who respond poorly.</w:t>
      </w:r>
    </w:p>
    <w:p w14:paraId="4F901CE7" w14:textId="77777777" w:rsidR="007C5888" w:rsidRPr="007C5888" w:rsidRDefault="00000000" w:rsidP="007C5888">
      <w:pPr>
        <w:pStyle w:val="Heading2"/>
        <w:tabs>
          <w:tab w:val="center" w:pos="2745"/>
        </w:tabs>
        <w:spacing w:after="0" w:line="360" w:lineRule="auto"/>
        <w:ind w:left="792" w:firstLine="0"/>
        <w:jc w:val="thaiDistribute"/>
        <w:rPr>
          <w:b w:val="0"/>
          <w:bCs/>
          <w:iCs/>
          <w:sz w:val="28"/>
          <w:szCs w:val="28"/>
          <w:u w:val="single"/>
        </w:rPr>
      </w:pPr>
      <w:r w:rsidRPr="007C5888">
        <w:rPr>
          <w:b w:val="0"/>
          <w:bCs/>
          <w:iCs/>
          <w:sz w:val="28"/>
          <w:szCs w:val="28"/>
          <w:u w:val="single"/>
        </w:rPr>
        <w:t>Hepatic impairment</w:t>
      </w:r>
    </w:p>
    <w:p w14:paraId="66B6F70A" w14:textId="77777777" w:rsidR="007C5888" w:rsidRPr="007C5888" w:rsidRDefault="00000000" w:rsidP="007C5888">
      <w:pPr>
        <w:pStyle w:val="Heading2"/>
        <w:tabs>
          <w:tab w:val="center" w:pos="2745"/>
        </w:tabs>
        <w:spacing w:after="240" w:line="360" w:lineRule="auto"/>
        <w:ind w:left="794" w:firstLine="0"/>
        <w:jc w:val="thaiDistribute"/>
        <w:rPr>
          <w:b w:val="0"/>
          <w:bCs/>
          <w:sz w:val="28"/>
          <w:szCs w:val="28"/>
        </w:rPr>
      </w:pPr>
      <w:r w:rsidRPr="007C5888">
        <w:rPr>
          <w:b w:val="0"/>
          <w:bCs/>
          <w:color w:val="FF0000"/>
          <w:sz w:val="28"/>
          <w:szCs w:val="28"/>
        </w:rPr>
        <w:t xml:space="preserve">&lt;GENERIC NAME&gt; </w:t>
      </w:r>
      <w:r w:rsidRPr="007C5888">
        <w:rPr>
          <w:b w:val="0"/>
          <w:bCs/>
          <w:sz w:val="28"/>
          <w:szCs w:val="28"/>
        </w:rPr>
        <w:t>is contraindicated in patients with severe hepatic impairment, see section 4.3.</w:t>
      </w:r>
    </w:p>
    <w:p w14:paraId="2BFF2BD7" w14:textId="77777777" w:rsidR="00E66A00" w:rsidRDefault="00000000" w:rsidP="00E66A00">
      <w:pPr>
        <w:pStyle w:val="Heading2"/>
        <w:tabs>
          <w:tab w:val="center" w:pos="2745"/>
        </w:tabs>
        <w:spacing w:after="240" w:line="360" w:lineRule="auto"/>
        <w:ind w:left="794" w:firstLine="0"/>
        <w:jc w:val="thaiDistribute"/>
        <w:rPr>
          <w:b w:val="0"/>
          <w:bCs/>
          <w:sz w:val="28"/>
          <w:szCs w:val="28"/>
        </w:rPr>
      </w:pPr>
      <w:r w:rsidRPr="007C5888">
        <w:rPr>
          <w:b w:val="0"/>
          <w:bCs/>
          <w:sz w:val="28"/>
          <w:szCs w:val="28"/>
        </w:rPr>
        <w:t xml:space="preserve">For patients with moderate to mild hepatic impairment, no dosage adjustment is required. However </w:t>
      </w:r>
      <w:r w:rsidRPr="007C5888">
        <w:rPr>
          <w:b w:val="0"/>
          <w:bCs/>
          <w:color w:val="FF0000"/>
          <w:sz w:val="28"/>
          <w:szCs w:val="28"/>
        </w:rPr>
        <w:t xml:space="preserve">&lt;GENERIC NAME&gt; </w:t>
      </w:r>
      <w:r w:rsidRPr="007C5888">
        <w:rPr>
          <w:b w:val="0"/>
          <w:bCs/>
          <w:sz w:val="28"/>
          <w:szCs w:val="28"/>
        </w:rPr>
        <w:t>may lead to further impairment of hepatic function, therefore regular monitoring of liver function is mandated, see section 4.4.</w:t>
      </w:r>
    </w:p>
    <w:p w14:paraId="451F0358" w14:textId="4F668B69" w:rsidR="007C5888" w:rsidRPr="00E66A00" w:rsidRDefault="00000000" w:rsidP="00E66A00">
      <w:pPr>
        <w:pStyle w:val="Heading2"/>
        <w:tabs>
          <w:tab w:val="center" w:pos="2745"/>
        </w:tabs>
        <w:spacing w:after="240" w:line="360" w:lineRule="auto"/>
        <w:ind w:left="794" w:firstLine="0"/>
        <w:jc w:val="thaiDistribute"/>
        <w:rPr>
          <w:b w:val="0"/>
          <w:bCs/>
          <w:sz w:val="28"/>
          <w:szCs w:val="28"/>
        </w:rPr>
      </w:pPr>
      <w:r w:rsidRPr="007C5888">
        <w:rPr>
          <w:b w:val="0"/>
          <w:bCs/>
          <w:iCs/>
          <w:sz w:val="28"/>
          <w:szCs w:val="28"/>
          <w:u w:val="single"/>
        </w:rPr>
        <w:t>Renal impairment</w:t>
      </w:r>
    </w:p>
    <w:p w14:paraId="30628EDF" w14:textId="77777777" w:rsidR="007C5888" w:rsidRDefault="00000000" w:rsidP="007C5888">
      <w:pPr>
        <w:pStyle w:val="Heading2"/>
        <w:tabs>
          <w:tab w:val="center" w:pos="2745"/>
        </w:tabs>
        <w:spacing w:after="240" w:line="360" w:lineRule="auto"/>
        <w:ind w:left="794" w:firstLine="0"/>
        <w:jc w:val="thaiDistribute"/>
        <w:rPr>
          <w:b w:val="0"/>
          <w:bCs/>
          <w:sz w:val="28"/>
          <w:szCs w:val="28"/>
        </w:rPr>
      </w:pPr>
      <w:r w:rsidRPr="007C5888">
        <w:rPr>
          <w:b w:val="0"/>
          <w:bCs/>
          <w:sz w:val="28"/>
          <w:szCs w:val="28"/>
        </w:rPr>
        <w:t>No dosage adjustment is required in renally impaired patients; renal insufficiency does not lead to accumulation.</w:t>
      </w:r>
    </w:p>
    <w:p w14:paraId="45A75B20" w14:textId="77777777" w:rsidR="007C5888" w:rsidRDefault="00000000" w:rsidP="007C5888">
      <w:pPr>
        <w:pStyle w:val="Heading2"/>
        <w:tabs>
          <w:tab w:val="center" w:pos="2745"/>
        </w:tabs>
        <w:spacing w:after="0" w:line="360" w:lineRule="auto"/>
        <w:ind w:left="794" w:firstLine="0"/>
        <w:jc w:val="thaiDistribute"/>
        <w:rPr>
          <w:b w:val="0"/>
          <w:bCs/>
          <w:iCs/>
          <w:sz w:val="28"/>
          <w:szCs w:val="28"/>
          <w:u w:val="single"/>
        </w:rPr>
      </w:pPr>
      <w:r w:rsidRPr="007C5888">
        <w:rPr>
          <w:b w:val="0"/>
          <w:bCs/>
          <w:iCs/>
          <w:sz w:val="28"/>
          <w:szCs w:val="28"/>
          <w:u w:val="single"/>
        </w:rPr>
        <w:t>Elderly</w:t>
      </w:r>
    </w:p>
    <w:p w14:paraId="666F5DC3" w14:textId="77777777" w:rsidR="007C5888" w:rsidRDefault="00000000" w:rsidP="007C5888">
      <w:pPr>
        <w:pStyle w:val="Heading2"/>
        <w:tabs>
          <w:tab w:val="center" w:pos="2745"/>
        </w:tabs>
        <w:spacing w:after="240" w:line="360" w:lineRule="auto"/>
        <w:ind w:left="794" w:firstLine="0"/>
        <w:jc w:val="thaiDistribute"/>
        <w:rPr>
          <w:b w:val="0"/>
          <w:bCs/>
          <w:sz w:val="28"/>
          <w:szCs w:val="28"/>
        </w:rPr>
      </w:pPr>
      <w:r w:rsidRPr="007C5888">
        <w:rPr>
          <w:b w:val="0"/>
          <w:bCs/>
          <w:sz w:val="28"/>
          <w:szCs w:val="28"/>
        </w:rPr>
        <w:t>No dosage adjustment is required in the elderly. Consideration should be given that such patients may also have a degree of hepatic impairment, see section</w:t>
      </w:r>
      <w:r w:rsidR="007C5888" w:rsidRPr="007C5888">
        <w:rPr>
          <w:b w:val="0"/>
          <w:bCs/>
          <w:sz w:val="28"/>
          <w:szCs w:val="28"/>
        </w:rPr>
        <w:t xml:space="preserve"> </w:t>
      </w:r>
      <w:r w:rsidRPr="007C5888">
        <w:rPr>
          <w:b w:val="0"/>
          <w:bCs/>
          <w:sz w:val="28"/>
          <w:szCs w:val="28"/>
        </w:rPr>
        <w:t>4.4.</w:t>
      </w:r>
    </w:p>
    <w:p w14:paraId="38D7E4B9" w14:textId="77777777" w:rsidR="007C5888" w:rsidRDefault="00000000" w:rsidP="007C5888">
      <w:pPr>
        <w:pStyle w:val="Heading2"/>
        <w:tabs>
          <w:tab w:val="center" w:pos="2745"/>
        </w:tabs>
        <w:spacing w:after="240" w:line="360" w:lineRule="auto"/>
        <w:ind w:left="794" w:firstLine="0"/>
        <w:jc w:val="thaiDistribute"/>
        <w:rPr>
          <w:b w:val="0"/>
          <w:bCs/>
          <w:iCs/>
          <w:sz w:val="28"/>
          <w:szCs w:val="28"/>
          <w:u w:val="single"/>
        </w:rPr>
      </w:pPr>
      <w:r w:rsidRPr="007C5888">
        <w:rPr>
          <w:b w:val="0"/>
          <w:bCs/>
          <w:iCs/>
          <w:sz w:val="28"/>
          <w:szCs w:val="28"/>
          <w:u w:val="single"/>
        </w:rPr>
        <w:t>Children</w:t>
      </w:r>
    </w:p>
    <w:p w14:paraId="24E79C32" w14:textId="77777777" w:rsidR="007C5888" w:rsidRDefault="00000000" w:rsidP="007C5888">
      <w:pPr>
        <w:pStyle w:val="Heading2"/>
        <w:tabs>
          <w:tab w:val="center" w:pos="2745"/>
        </w:tabs>
        <w:spacing w:after="240" w:line="360" w:lineRule="auto"/>
        <w:ind w:left="794" w:firstLine="0"/>
        <w:jc w:val="thaiDistribute"/>
        <w:rPr>
          <w:b w:val="0"/>
          <w:bCs/>
          <w:sz w:val="28"/>
          <w:szCs w:val="28"/>
        </w:rPr>
      </w:pPr>
      <w:r w:rsidRPr="007C5888">
        <w:rPr>
          <w:b w:val="0"/>
          <w:bCs/>
          <w:sz w:val="28"/>
          <w:szCs w:val="28"/>
        </w:rPr>
        <w:t>The dosage form, film-coated tablet, is only suitable for children of an age to swallow the tablet.</w:t>
      </w:r>
    </w:p>
    <w:p w14:paraId="4BCC3FDB" w14:textId="77777777" w:rsidR="007C5888" w:rsidRDefault="00000000" w:rsidP="007C5888">
      <w:pPr>
        <w:pStyle w:val="Heading2"/>
        <w:tabs>
          <w:tab w:val="center" w:pos="2745"/>
        </w:tabs>
        <w:spacing w:after="240" w:line="360" w:lineRule="auto"/>
        <w:ind w:left="794" w:firstLine="0"/>
        <w:jc w:val="thaiDistribute"/>
        <w:rPr>
          <w:b w:val="0"/>
          <w:bCs/>
          <w:sz w:val="28"/>
          <w:szCs w:val="28"/>
        </w:rPr>
      </w:pPr>
      <w:r w:rsidRPr="007C5888">
        <w:rPr>
          <w:b w:val="0"/>
          <w:bCs/>
          <w:sz w:val="28"/>
          <w:szCs w:val="28"/>
        </w:rPr>
        <w:lastRenderedPageBreak/>
        <w:t>The usual dose in 10 mg / Kg bodyweight / day, in divided doses.</w:t>
      </w:r>
    </w:p>
    <w:p w14:paraId="35F3D2E2" w14:textId="77777777" w:rsidR="007C5888" w:rsidRDefault="00000000" w:rsidP="007C5888">
      <w:pPr>
        <w:pStyle w:val="Heading2"/>
        <w:tabs>
          <w:tab w:val="center" w:pos="2745"/>
        </w:tabs>
        <w:spacing w:after="0" w:line="360" w:lineRule="auto"/>
        <w:ind w:left="794" w:firstLine="0"/>
        <w:jc w:val="thaiDistribute"/>
        <w:rPr>
          <w:b w:val="0"/>
          <w:bCs/>
          <w:iCs/>
          <w:sz w:val="28"/>
          <w:szCs w:val="28"/>
          <w:u w:val="single"/>
        </w:rPr>
      </w:pPr>
      <w:r w:rsidRPr="007C5888">
        <w:rPr>
          <w:b w:val="0"/>
          <w:bCs/>
          <w:iCs/>
          <w:sz w:val="28"/>
          <w:szCs w:val="28"/>
          <w:u w:val="single"/>
        </w:rPr>
        <w:t>Duration of therapy</w:t>
      </w:r>
    </w:p>
    <w:p w14:paraId="51FCFAFF" w14:textId="6F1FE728" w:rsidR="003614E3" w:rsidRPr="007C5888" w:rsidRDefault="00000000" w:rsidP="007C5888">
      <w:pPr>
        <w:pStyle w:val="Heading2"/>
        <w:tabs>
          <w:tab w:val="center" w:pos="2745"/>
        </w:tabs>
        <w:spacing w:after="0" w:line="360" w:lineRule="auto"/>
        <w:ind w:left="794" w:firstLine="0"/>
        <w:jc w:val="thaiDistribute"/>
        <w:rPr>
          <w:b w:val="0"/>
          <w:bCs/>
          <w:iCs/>
          <w:sz w:val="28"/>
          <w:szCs w:val="28"/>
          <w:u w:val="single"/>
        </w:rPr>
      </w:pPr>
      <w:r w:rsidRPr="007C5888">
        <w:rPr>
          <w:b w:val="0"/>
          <w:bCs/>
          <w:sz w:val="28"/>
          <w:szCs w:val="28"/>
        </w:rPr>
        <w:t>The duration of theapy depends upon the thickness of keratin at the site of infection, and the clinical response. The following duration of therapy are indicative:</w:t>
      </w:r>
    </w:p>
    <w:p w14:paraId="7135DF8D" w14:textId="77777777" w:rsidR="003614E3" w:rsidRPr="007C5888" w:rsidRDefault="00000000" w:rsidP="007C5888">
      <w:pPr>
        <w:pStyle w:val="ListParagraph"/>
        <w:numPr>
          <w:ilvl w:val="0"/>
          <w:numId w:val="6"/>
        </w:numPr>
        <w:spacing w:after="145"/>
        <w:rPr>
          <w:sz w:val="28"/>
          <w:szCs w:val="28"/>
        </w:rPr>
      </w:pPr>
      <w:r w:rsidRPr="007C5888">
        <w:rPr>
          <w:sz w:val="28"/>
          <w:szCs w:val="28"/>
        </w:rPr>
        <w:t>Tinea corporis: 2-4 weeks</w:t>
      </w:r>
    </w:p>
    <w:p w14:paraId="3ACE1909" w14:textId="77777777" w:rsidR="003614E3" w:rsidRPr="007C5888" w:rsidRDefault="00000000" w:rsidP="007C5888">
      <w:pPr>
        <w:pStyle w:val="ListParagraph"/>
        <w:numPr>
          <w:ilvl w:val="0"/>
          <w:numId w:val="6"/>
        </w:numPr>
        <w:spacing w:after="36"/>
        <w:rPr>
          <w:sz w:val="28"/>
          <w:szCs w:val="28"/>
        </w:rPr>
      </w:pPr>
      <w:r w:rsidRPr="007C5888">
        <w:rPr>
          <w:sz w:val="28"/>
          <w:szCs w:val="28"/>
        </w:rPr>
        <w:t>Tinea capitis: 4-8 weeks, in refractory cases, 8-12 weeks</w:t>
      </w:r>
    </w:p>
    <w:p w14:paraId="0FA34F01" w14:textId="77777777" w:rsidR="003614E3" w:rsidRPr="007C5888" w:rsidRDefault="00000000" w:rsidP="007C5888">
      <w:pPr>
        <w:pStyle w:val="ListParagraph"/>
        <w:numPr>
          <w:ilvl w:val="0"/>
          <w:numId w:val="6"/>
        </w:numPr>
        <w:spacing w:after="145"/>
        <w:rPr>
          <w:sz w:val="28"/>
          <w:szCs w:val="28"/>
        </w:rPr>
      </w:pPr>
      <w:r w:rsidRPr="007C5888">
        <w:rPr>
          <w:sz w:val="28"/>
          <w:szCs w:val="28"/>
        </w:rPr>
        <w:t>Tinea pedis: 4-8 weeks</w:t>
      </w:r>
    </w:p>
    <w:p w14:paraId="02DFC15E" w14:textId="77777777" w:rsidR="007C5888" w:rsidRDefault="00000000" w:rsidP="007C5888">
      <w:pPr>
        <w:pStyle w:val="ListParagraph"/>
        <w:numPr>
          <w:ilvl w:val="0"/>
          <w:numId w:val="6"/>
        </w:numPr>
        <w:spacing w:after="435"/>
        <w:rPr>
          <w:sz w:val="28"/>
          <w:szCs w:val="28"/>
        </w:rPr>
      </w:pPr>
      <w:r w:rsidRPr="007C5888">
        <w:rPr>
          <w:sz w:val="28"/>
          <w:szCs w:val="28"/>
        </w:rPr>
        <w:t>Tinea unguium: 6-12 months</w:t>
      </w:r>
    </w:p>
    <w:p w14:paraId="2376E4CD" w14:textId="252B22B8" w:rsidR="003614E3" w:rsidRPr="007C5888" w:rsidRDefault="00000000" w:rsidP="007C5888">
      <w:pPr>
        <w:spacing w:after="435"/>
        <w:ind w:left="720"/>
        <w:rPr>
          <w:sz w:val="28"/>
          <w:szCs w:val="28"/>
        </w:rPr>
      </w:pPr>
      <w:r w:rsidRPr="007C5888">
        <w:rPr>
          <w:sz w:val="28"/>
          <w:szCs w:val="28"/>
        </w:rPr>
        <w:t>Therapy should be continued for at least two weeks after all signs of infection have disappeared.</w:t>
      </w:r>
    </w:p>
    <w:p w14:paraId="1EEAF3C5" w14:textId="77777777" w:rsidR="007C5888" w:rsidRDefault="00000000" w:rsidP="007C5888">
      <w:pPr>
        <w:pStyle w:val="Heading2"/>
        <w:numPr>
          <w:ilvl w:val="1"/>
          <w:numId w:val="5"/>
        </w:numPr>
        <w:tabs>
          <w:tab w:val="center" w:pos="1665"/>
        </w:tabs>
        <w:spacing w:after="0" w:line="360" w:lineRule="auto"/>
        <w:rPr>
          <w:sz w:val="28"/>
          <w:szCs w:val="28"/>
        </w:rPr>
      </w:pPr>
      <w:r w:rsidRPr="007C5888">
        <w:rPr>
          <w:sz w:val="28"/>
          <w:szCs w:val="28"/>
        </w:rPr>
        <w:t>Contraindications</w:t>
      </w:r>
    </w:p>
    <w:p w14:paraId="29F2D782" w14:textId="04D949A5" w:rsidR="003614E3" w:rsidRPr="007C5888" w:rsidRDefault="00000000" w:rsidP="007C5888">
      <w:pPr>
        <w:pStyle w:val="Heading2"/>
        <w:tabs>
          <w:tab w:val="center" w:pos="1665"/>
        </w:tabs>
        <w:ind w:left="792" w:firstLine="0"/>
        <w:rPr>
          <w:b w:val="0"/>
          <w:bCs/>
          <w:sz w:val="28"/>
          <w:szCs w:val="28"/>
        </w:rPr>
      </w:pPr>
      <w:r w:rsidRPr="007C5888">
        <w:rPr>
          <w:b w:val="0"/>
          <w:bCs/>
          <w:color w:val="FF0000"/>
          <w:sz w:val="28"/>
          <w:szCs w:val="28"/>
        </w:rPr>
        <w:t xml:space="preserve">&lt;GENERIC NAME&gt; </w:t>
      </w:r>
      <w:r w:rsidRPr="007C5888">
        <w:rPr>
          <w:b w:val="0"/>
          <w:bCs/>
          <w:sz w:val="28"/>
          <w:szCs w:val="28"/>
        </w:rPr>
        <w:t>is contraindicated in patients who have:</w:t>
      </w:r>
    </w:p>
    <w:p w14:paraId="5F5CE130" w14:textId="18E92950" w:rsidR="003614E3" w:rsidRPr="007C5888" w:rsidRDefault="00000000" w:rsidP="00B72107">
      <w:pPr>
        <w:numPr>
          <w:ilvl w:val="0"/>
          <w:numId w:val="7"/>
        </w:numPr>
        <w:spacing w:after="0"/>
        <w:ind w:left="1508" w:hanging="357"/>
        <w:rPr>
          <w:sz w:val="28"/>
          <w:szCs w:val="28"/>
        </w:rPr>
      </w:pPr>
      <w:r w:rsidRPr="007C5888">
        <w:rPr>
          <w:sz w:val="28"/>
          <w:szCs w:val="28"/>
        </w:rPr>
        <w:t xml:space="preserve">Hypersensitivity to </w:t>
      </w:r>
      <w:r w:rsidRPr="007C5888">
        <w:rPr>
          <w:color w:val="FF0000"/>
          <w:sz w:val="28"/>
          <w:szCs w:val="28"/>
        </w:rPr>
        <w:t xml:space="preserve">&lt;GENERIC NAME&gt; </w:t>
      </w:r>
      <w:r w:rsidRPr="007C5888">
        <w:rPr>
          <w:sz w:val="28"/>
          <w:szCs w:val="28"/>
        </w:rPr>
        <w:t>or to any of the excipients,</w:t>
      </w:r>
      <w:r w:rsidR="007C5888">
        <w:rPr>
          <w:sz w:val="28"/>
          <w:szCs w:val="28"/>
        </w:rPr>
        <w:t xml:space="preserve"> </w:t>
      </w:r>
      <w:r w:rsidRPr="007C5888">
        <w:rPr>
          <w:sz w:val="28"/>
          <w:szCs w:val="28"/>
        </w:rPr>
        <w:t>see section 6.1</w:t>
      </w:r>
    </w:p>
    <w:p w14:paraId="0937E0A2" w14:textId="77777777" w:rsidR="003614E3" w:rsidRPr="007C5888" w:rsidRDefault="00000000" w:rsidP="007C5888">
      <w:pPr>
        <w:numPr>
          <w:ilvl w:val="0"/>
          <w:numId w:val="7"/>
        </w:numPr>
        <w:spacing w:after="182" w:line="259" w:lineRule="auto"/>
        <w:rPr>
          <w:sz w:val="28"/>
          <w:szCs w:val="28"/>
        </w:rPr>
      </w:pPr>
      <w:r w:rsidRPr="007C5888">
        <w:rPr>
          <w:sz w:val="28"/>
          <w:szCs w:val="28"/>
        </w:rPr>
        <w:t>Porphyria</w:t>
      </w:r>
    </w:p>
    <w:p w14:paraId="3FB1536F" w14:textId="77777777" w:rsidR="003614E3" w:rsidRPr="007C5888" w:rsidRDefault="00000000" w:rsidP="007C5888">
      <w:pPr>
        <w:numPr>
          <w:ilvl w:val="0"/>
          <w:numId w:val="7"/>
        </w:numPr>
        <w:spacing w:after="180" w:line="259" w:lineRule="auto"/>
        <w:rPr>
          <w:sz w:val="28"/>
          <w:szCs w:val="28"/>
        </w:rPr>
      </w:pPr>
      <w:r w:rsidRPr="007C5888">
        <w:rPr>
          <w:sz w:val="28"/>
          <w:szCs w:val="28"/>
        </w:rPr>
        <w:t>Severe hepatic impairment</w:t>
      </w:r>
    </w:p>
    <w:p w14:paraId="10DAA617" w14:textId="77777777" w:rsidR="003614E3" w:rsidRPr="007C5888" w:rsidRDefault="00000000" w:rsidP="007C5888">
      <w:pPr>
        <w:numPr>
          <w:ilvl w:val="0"/>
          <w:numId w:val="7"/>
        </w:numPr>
        <w:spacing w:after="182" w:line="259" w:lineRule="auto"/>
        <w:rPr>
          <w:sz w:val="28"/>
          <w:szCs w:val="28"/>
        </w:rPr>
      </w:pPr>
      <w:r w:rsidRPr="007C5888">
        <w:rPr>
          <w:sz w:val="28"/>
          <w:szCs w:val="28"/>
        </w:rPr>
        <w:t>Systemic Lupus Erythematosus (SLE)</w:t>
      </w:r>
    </w:p>
    <w:p w14:paraId="2F226EE3" w14:textId="77777777" w:rsidR="003614E3" w:rsidRPr="007C5888" w:rsidRDefault="00000000" w:rsidP="007C5888">
      <w:pPr>
        <w:numPr>
          <w:ilvl w:val="0"/>
          <w:numId w:val="7"/>
        </w:numPr>
        <w:spacing w:after="180" w:line="259" w:lineRule="auto"/>
        <w:rPr>
          <w:sz w:val="28"/>
          <w:szCs w:val="28"/>
        </w:rPr>
      </w:pPr>
      <w:r w:rsidRPr="007C5888">
        <w:rPr>
          <w:sz w:val="28"/>
          <w:szCs w:val="28"/>
        </w:rPr>
        <w:t>Pregnancy, see section 4.6</w:t>
      </w:r>
    </w:p>
    <w:p w14:paraId="27D5AA43" w14:textId="7F1809F8" w:rsidR="007C5888" w:rsidRDefault="00000000" w:rsidP="007C5888">
      <w:pPr>
        <w:numPr>
          <w:ilvl w:val="0"/>
          <w:numId w:val="7"/>
        </w:numPr>
        <w:ind w:left="1508" w:hanging="357"/>
        <w:rPr>
          <w:sz w:val="28"/>
          <w:szCs w:val="28"/>
        </w:rPr>
      </w:pPr>
      <w:r w:rsidRPr="007C5888">
        <w:rPr>
          <w:sz w:val="28"/>
          <w:szCs w:val="28"/>
        </w:rPr>
        <w:t>Breastfeeding, see section 4.</w:t>
      </w:r>
      <w:r w:rsidR="00E66A00">
        <w:rPr>
          <w:sz w:val="28"/>
          <w:szCs w:val="28"/>
        </w:rPr>
        <w:t>6</w:t>
      </w:r>
    </w:p>
    <w:p w14:paraId="29823B63" w14:textId="77777777" w:rsidR="00E66A00" w:rsidRDefault="00E66A00">
      <w:pPr>
        <w:spacing w:after="160" w:line="278" w:lineRule="auto"/>
        <w:jc w:val="left"/>
        <w:rPr>
          <w:rFonts w:cs="Angsana New"/>
          <w:b/>
          <w:bCs/>
          <w:sz w:val="28"/>
          <w:szCs w:val="28"/>
        </w:rPr>
      </w:pPr>
      <w:r>
        <w:rPr>
          <w:b/>
          <w:bCs/>
          <w:sz w:val="28"/>
          <w:szCs w:val="28"/>
        </w:rPr>
        <w:br w:type="page"/>
      </w:r>
    </w:p>
    <w:p w14:paraId="34E0A0AA" w14:textId="774191C5" w:rsidR="007C5888" w:rsidRDefault="00000000" w:rsidP="007C5888">
      <w:pPr>
        <w:pStyle w:val="ListParagraph"/>
        <w:numPr>
          <w:ilvl w:val="1"/>
          <w:numId w:val="5"/>
        </w:numPr>
        <w:spacing w:after="1616"/>
        <w:rPr>
          <w:b/>
          <w:bCs/>
          <w:sz w:val="28"/>
          <w:szCs w:val="28"/>
        </w:rPr>
      </w:pPr>
      <w:r w:rsidRPr="007C5888">
        <w:rPr>
          <w:b/>
          <w:bCs/>
          <w:sz w:val="28"/>
          <w:szCs w:val="28"/>
        </w:rPr>
        <w:lastRenderedPageBreak/>
        <w:t>Special warnings and precautions for use</w:t>
      </w:r>
    </w:p>
    <w:p w14:paraId="025BE061" w14:textId="77777777" w:rsidR="007C5888" w:rsidRDefault="00000000" w:rsidP="007C5888">
      <w:pPr>
        <w:pStyle w:val="ListParagraph"/>
        <w:ind w:left="794"/>
        <w:contextualSpacing w:val="0"/>
        <w:rPr>
          <w:sz w:val="28"/>
          <w:szCs w:val="28"/>
        </w:rPr>
      </w:pPr>
      <w:r w:rsidRPr="007C5888">
        <w:rPr>
          <w:color w:val="FF0000"/>
          <w:sz w:val="28"/>
          <w:szCs w:val="28"/>
        </w:rPr>
        <w:t xml:space="preserve">&lt;GENERIC NAME&gt; </w:t>
      </w:r>
      <w:r w:rsidRPr="007C5888">
        <w:rPr>
          <w:sz w:val="28"/>
          <w:szCs w:val="28"/>
        </w:rPr>
        <w:t>is reccomended after a high fat meal for increased absorption and minimising GI distress.</w:t>
      </w:r>
    </w:p>
    <w:p w14:paraId="66DD93F3" w14:textId="77777777" w:rsidR="007C5888" w:rsidRDefault="00000000" w:rsidP="007C5888">
      <w:pPr>
        <w:pStyle w:val="ListParagraph"/>
        <w:ind w:left="794"/>
        <w:contextualSpacing w:val="0"/>
        <w:rPr>
          <w:rFonts w:cs="Times New Roman"/>
          <w:sz w:val="28"/>
          <w:szCs w:val="28"/>
        </w:rPr>
      </w:pPr>
      <w:r w:rsidRPr="007C5888">
        <w:rPr>
          <w:rFonts w:cs="Times New Roman"/>
          <w:color w:val="FF0000"/>
          <w:sz w:val="28"/>
          <w:szCs w:val="28"/>
        </w:rPr>
        <w:t xml:space="preserve">&lt;GENERIC NAME&gt; </w:t>
      </w:r>
      <w:r w:rsidRPr="007C5888">
        <w:rPr>
          <w:rFonts w:cs="Times New Roman"/>
          <w:sz w:val="28"/>
          <w:szCs w:val="28"/>
        </w:rPr>
        <w:t xml:space="preserve">is contraindicated in patients with severe hepatic impairment, see section 4.3. In patients with minor to moderate hepatic impairment, </w:t>
      </w:r>
      <w:r w:rsidRPr="007C5888">
        <w:rPr>
          <w:rFonts w:cs="Times New Roman"/>
          <w:color w:val="FF0000"/>
          <w:sz w:val="28"/>
          <w:szCs w:val="28"/>
        </w:rPr>
        <w:t xml:space="preserve">&lt;GENERIC NAME&gt; </w:t>
      </w:r>
      <w:r w:rsidRPr="007C5888">
        <w:rPr>
          <w:rFonts w:cs="Times New Roman"/>
          <w:sz w:val="28"/>
          <w:szCs w:val="28"/>
        </w:rPr>
        <w:t>may cause further deterioration of hepatic function. Therefore care should be exercised with such patients, and it is recommended to perform regular periodic liver function tests, see section 4.8</w:t>
      </w:r>
      <w:r w:rsidR="007C5888">
        <w:rPr>
          <w:rFonts w:cs="Times New Roman"/>
          <w:sz w:val="28"/>
          <w:szCs w:val="28"/>
        </w:rPr>
        <w:t>.</w:t>
      </w:r>
    </w:p>
    <w:p w14:paraId="62F7E0C5" w14:textId="77777777" w:rsidR="007C5888" w:rsidRDefault="00000000" w:rsidP="007C5888">
      <w:pPr>
        <w:pStyle w:val="ListParagraph"/>
        <w:ind w:left="794"/>
        <w:contextualSpacing w:val="0"/>
        <w:rPr>
          <w:rFonts w:cs="Times New Roman"/>
          <w:sz w:val="28"/>
          <w:szCs w:val="28"/>
        </w:rPr>
      </w:pPr>
      <w:r w:rsidRPr="007C5888">
        <w:rPr>
          <w:rFonts w:cs="Times New Roman"/>
          <w:color w:val="FF0000"/>
          <w:sz w:val="28"/>
          <w:szCs w:val="28"/>
        </w:rPr>
        <w:t xml:space="preserve">&lt;GENERIC NAME&gt; </w:t>
      </w:r>
      <w:r w:rsidRPr="007C5888">
        <w:rPr>
          <w:rFonts w:cs="Times New Roman"/>
          <w:sz w:val="28"/>
          <w:szCs w:val="28"/>
        </w:rPr>
        <w:t xml:space="preserve">is contraindicated in patients with Systemic Lupus Erythematosus (SLE), see section 4.3; </w:t>
      </w:r>
      <w:r w:rsidRPr="007C5888">
        <w:rPr>
          <w:rFonts w:cs="Times New Roman"/>
          <w:color w:val="FF0000"/>
          <w:sz w:val="28"/>
          <w:szCs w:val="28"/>
        </w:rPr>
        <w:t xml:space="preserve">&lt;GENERIC NAME&gt; </w:t>
      </w:r>
      <w:r w:rsidRPr="007C5888">
        <w:rPr>
          <w:rFonts w:cs="Times New Roman"/>
          <w:sz w:val="28"/>
          <w:szCs w:val="28"/>
        </w:rPr>
        <w:t>has been reported to exacerbate the conditions, and care should be taken to exclude patients with pre-existing SLE from therapy.</w:t>
      </w:r>
    </w:p>
    <w:p w14:paraId="3ED4F924" w14:textId="77777777" w:rsidR="007C5888" w:rsidRDefault="00000000" w:rsidP="007C5888">
      <w:pPr>
        <w:pStyle w:val="ListParagraph"/>
        <w:ind w:left="794"/>
        <w:contextualSpacing w:val="0"/>
        <w:rPr>
          <w:rFonts w:cs="Times New Roman"/>
          <w:sz w:val="28"/>
          <w:szCs w:val="28"/>
        </w:rPr>
      </w:pPr>
      <w:r w:rsidRPr="007C5888">
        <w:rPr>
          <w:rFonts w:cs="Times New Roman"/>
          <w:sz w:val="28"/>
          <w:szCs w:val="28"/>
        </w:rPr>
        <w:t xml:space="preserve">Animal data, see section 5.3, indicates long term administration of high dose </w:t>
      </w:r>
      <w:r w:rsidRPr="007C5888">
        <w:rPr>
          <w:rFonts w:cs="Times New Roman"/>
          <w:color w:val="FF0000"/>
          <w:sz w:val="28"/>
          <w:szCs w:val="28"/>
        </w:rPr>
        <w:t xml:space="preserve">&lt;GENERIC NAME&gt; </w:t>
      </w:r>
      <w:r w:rsidRPr="007C5888">
        <w:rPr>
          <w:rFonts w:cs="Times New Roman"/>
          <w:sz w:val="28"/>
          <w:szCs w:val="28"/>
        </w:rPr>
        <w:t xml:space="preserve">induces tumours in some species, but not others. The clinical relevance of this to man is unknown, but </w:t>
      </w:r>
      <w:r w:rsidRPr="007C5888">
        <w:rPr>
          <w:rFonts w:cs="Times New Roman"/>
          <w:color w:val="FF0000"/>
          <w:sz w:val="28"/>
          <w:szCs w:val="28"/>
        </w:rPr>
        <w:t xml:space="preserve">&lt;GENERIC NAME&gt; </w:t>
      </w:r>
      <w:r w:rsidRPr="007C5888">
        <w:rPr>
          <w:rFonts w:cs="Times New Roman"/>
          <w:sz w:val="28"/>
          <w:szCs w:val="28"/>
        </w:rPr>
        <w:t>should not be used prophylactically.</w:t>
      </w:r>
    </w:p>
    <w:p w14:paraId="43388968" w14:textId="77777777" w:rsidR="007C5888" w:rsidRDefault="00000000" w:rsidP="007C5888">
      <w:pPr>
        <w:pStyle w:val="ListParagraph"/>
        <w:ind w:left="794"/>
        <w:contextualSpacing w:val="0"/>
        <w:rPr>
          <w:rFonts w:cs="Times New Roman"/>
          <w:sz w:val="28"/>
          <w:szCs w:val="28"/>
        </w:rPr>
      </w:pPr>
      <w:r w:rsidRPr="007C5888">
        <w:rPr>
          <w:rFonts w:cs="Times New Roman"/>
          <w:color w:val="FF0000"/>
          <w:sz w:val="28"/>
          <w:szCs w:val="28"/>
        </w:rPr>
        <w:t xml:space="preserve">&lt;GENERIC NAME&gt; </w:t>
      </w:r>
      <w:r w:rsidRPr="007C5888">
        <w:rPr>
          <w:rFonts w:cs="Times New Roman"/>
          <w:sz w:val="28"/>
          <w:szCs w:val="28"/>
        </w:rPr>
        <w:t>is a liver microsomal enzyme inducer and thus may impair the effectiveness of oral contraceptives. Therefore in women of child bearing age using oral contraception, additional barrier methods of contraception must be used during therapy and for 4 weeks following therapy cessation, see sections</w:t>
      </w:r>
      <w:r w:rsidR="007C5888">
        <w:rPr>
          <w:rFonts w:cs="Times New Roman"/>
          <w:sz w:val="28"/>
          <w:szCs w:val="28"/>
        </w:rPr>
        <w:t xml:space="preserve"> </w:t>
      </w:r>
      <w:r w:rsidRPr="007C5888">
        <w:rPr>
          <w:rFonts w:cs="Times New Roman"/>
          <w:sz w:val="28"/>
          <w:szCs w:val="28"/>
        </w:rPr>
        <w:t>4.5 and 4.6.</w:t>
      </w:r>
    </w:p>
    <w:p w14:paraId="7A742A79" w14:textId="77777777" w:rsidR="007C5888" w:rsidRDefault="00000000" w:rsidP="007C5888">
      <w:pPr>
        <w:pStyle w:val="ListParagraph"/>
        <w:spacing w:after="1616"/>
        <w:ind w:left="792"/>
        <w:rPr>
          <w:rFonts w:cs="Times New Roman"/>
          <w:sz w:val="28"/>
          <w:szCs w:val="28"/>
        </w:rPr>
      </w:pPr>
      <w:r w:rsidRPr="007C5888">
        <w:rPr>
          <w:rFonts w:cs="Times New Roman"/>
          <w:color w:val="FF0000"/>
          <w:sz w:val="28"/>
          <w:szCs w:val="28"/>
        </w:rPr>
        <w:t xml:space="preserve">&lt;GENERIC NAME&gt; </w:t>
      </w:r>
      <w:r w:rsidRPr="007C5888">
        <w:rPr>
          <w:rFonts w:cs="Times New Roman"/>
          <w:sz w:val="28"/>
          <w:szCs w:val="28"/>
        </w:rPr>
        <w:t xml:space="preserve">causes chromosomal abnormalities in animals, see section 5.3. Therefore sexually active males should be cautioned to </w:t>
      </w:r>
      <w:r w:rsidRPr="007C5888">
        <w:rPr>
          <w:rFonts w:cs="Times New Roman"/>
          <w:sz w:val="28"/>
          <w:szCs w:val="28"/>
        </w:rPr>
        <w:lastRenderedPageBreak/>
        <w:t>use an effective barrier method of contraception throughout therapy and for 6 months after therapy termination, see section 4.6.</w:t>
      </w:r>
    </w:p>
    <w:p w14:paraId="01E18932" w14:textId="77777777" w:rsidR="007C5888" w:rsidRDefault="00000000" w:rsidP="007C5888">
      <w:pPr>
        <w:pStyle w:val="ListParagraph"/>
        <w:ind w:left="794"/>
        <w:contextualSpacing w:val="0"/>
        <w:rPr>
          <w:rFonts w:cs="Times New Roman"/>
          <w:sz w:val="28"/>
          <w:szCs w:val="28"/>
        </w:rPr>
      </w:pPr>
      <w:r w:rsidRPr="007C5888">
        <w:rPr>
          <w:rFonts w:cs="Times New Roman"/>
          <w:sz w:val="28"/>
          <w:szCs w:val="28"/>
        </w:rPr>
        <w:t xml:space="preserve">A theoretical possibility of cross sensitivity in patients known to be allergic to penicillins exists, therefore caution should be exercised in administration of </w:t>
      </w:r>
      <w:r w:rsidRPr="007C5888">
        <w:rPr>
          <w:rFonts w:cs="Times New Roman"/>
          <w:color w:val="FF0000"/>
          <w:sz w:val="28"/>
          <w:szCs w:val="28"/>
        </w:rPr>
        <w:t xml:space="preserve">&lt;GENERIC NAME&gt; </w:t>
      </w:r>
      <w:r w:rsidRPr="007C5888">
        <w:rPr>
          <w:rFonts w:cs="Times New Roman"/>
          <w:sz w:val="28"/>
          <w:szCs w:val="28"/>
        </w:rPr>
        <w:t xml:space="preserve">to such patients. It should be noted that such patients have been satisfactorily treated with </w:t>
      </w:r>
      <w:r w:rsidRPr="007C5888">
        <w:rPr>
          <w:rFonts w:cs="Times New Roman"/>
          <w:color w:val="FF0000"/>
          <w:sz w:val="28"/>
          <w:szCs w:val="28"/>
        </w:rPr>
        <w:t xml:space="preserve">&lt;GENERIC NAME&gt; </w:t>
      </w:r>
      <w:r w:rsidRPr="007C5888">
        <w:rPr>
          <w:rFonts w:cs="Times New Roman"/>
          <w:sz w:val="28"/>
          <w:szCs w:val="28"/>
        </w:rPr>
        <w:t>without sequelae.</w:t>
      </w:r>
    </w:p>
    <w:p w14:paraId="3DFE26F4" w14:textId="77777777" w:rsidR="007C5888" w:rsidRDefault="00000000" w:rsidP="007C5888">
      <w:pPr>
        <w:pStyle w:val="ListParagraph"/>
        <w:ind w:left="794"/>
        <w:contextualSpacing w:val="0"/>
        <w:rPr>
          <w:rFonts w:cs="Times New Roman"/>
          <w:sz w:val="28"/>
          <w:szCs w:val="28"/>
        </w:rPr>
      </w:pPr>
      <w:r w:rsidRPr="007C5888">
        <w:rPr>
          <w:rFonts w:cs="Times New Roman"/>
          <w:sz w:val="28"/>
          <w:szCs w:val="28"/>
        </w:rPr>
        <w:t xml:space="preserve">Patients should be cautioned to avoid excessive and unnecessary exposure to sunlight or U.V sources, including sunbeds, during </w:t>
      </w:r>
      <w:r w:rsidRPr="007C5888">
        <w:rPr>
          <w:rFonts w:cs="Times New Roman"/>
          <w:color w:val="FF0000"/>
          <w:sz w:val="28"/>
          <w:szCs w:val="28"/>
        </w:rPr>
        <w:t xml:space="preserve">&lt;GENERIC NAME&gt; </w:t>
      </w:r>
      <w:r w:rsidRPr="007C5888">
        <w:rPr>
          <w:rFonts w:cs="Times New Roman"/>
          <w:sz w:val="28"/>
          <w:szCs w:val="28"/>
        </w:rPr>
        <w:t>therapy as photosensitivity reactions can occur, see section 4.8.</w:t>
      </w:r>
    </w:p>
    <w:p w14:paraId="4137BEB2" w14:textId="77777777" w:rsidR="007C5888" w:rsidRDefault="00000000" w:rsidP="007C5888">
      <w:pPr>
        <w:pStyle w:val="ListParagraph"/>
        <w:ind w:left="794"/>
        <w:contextualSpacing w:val="0"/>
        <w:rPr>
          <w:rFonts w:cs="Times New Roman"/>
          <w:sz w:val="28"/>
          <w:szCs w:val="28"/>
        </w:rPr>
      </w:pPr>
      <w:r w:rsidRPr="007C5888">
        <w:rPr>
          <w:rFonts w:cs="Times New Roman"/>
          <w:sz w:val="28"/>
          <w:szCs w:val="28"/>
        </w:rPr>
        <w:t xml:space="preserve">Consumption of alcohol in association with </w:t>
      </w:r>
      <w:r w:rsidRPr="007C5888">
        <w:rPr>
          <w:rFonts w:cs="Times New Roman"/>
          <w:color w:val="FF0000"/>
          <w:sz w:val="28"/>
          <w:szCs w:val="28"/>
        </w:rPr>
        <w:t xml:space="preserve">&lt;GENERIC NAME&gt; </w:t>
      </w:r>
      <w:r w:rsidRPr="007C5888">
        <w:rPr>
          <w:rFonts w:cs="Times New Roman"/>
          <w:sz w:val="28"/>
          <w:szCs w:val="28"/>
        </w:rPr>
        <w:t xml:space="preserve">can result in an “Antabuse” type reaction, see section 4.5. Patients should be cautioned to avoid consumption of alcoholic beverages, and medicines containing alcohol, while undergoing </w:t>
      </w:r>
      <w:r w:rsidRPr="007C5888">
        <w:rPr>
          <w:rFonts w:cs="Times New Roman"/>
          <w:color w:val="FF0000"/>
          <w:sz w:val="28"/>
          <w:szCs w:val="28"/>
        </w:rPr>
        <w:t xml:space="preserve">&lt;GENERIC NAME&gt; </w:t>
      </w:r>
      <w:r w:rsidRPr="007C5888">
        <w:rPr>
          <w:rFonts w:cs="Times New Roman"/>
          <w:sz w:val="28"/>
          <w:szCs w:val="28"/>
        </w:rPr>
        <w:t>therapy.</w:t>
      </w:r>
    </w:p>
    <w:p w14:paraId="3456D6F8" w14:textId="77777777" w:rsidR="007C5888" w:rsidRDefault="00000000" w:rsidP="007C5888">
      <w:pPr>
        <w:pStyle w:val="ListParagraph"/>
        <w:ind w:left="794"/>
        <w:contextualSpacing w:val="0"/>
        <w:rPr>
          <w:rFonts w:cs="Times New Roman"/>
          <w:sz w:val="28"/>
          <w:szCs w:val="28"/>
        </w:rPr>
      </w:pPr>
      <w:r w:rsidRPr="007C5888">
        <w:rPr>
          <w:rFonts w:cs="Times New Roman"/>
          <w:sz w:val="28"/>
          <w:szCs w:val="28"/>
        </w:rPr>
        <w:t xml:space="preserve">In patients undergoing long term </w:t>
      </w:r>
      <w:r w:rsidRPr="007C5888">
        <w:rPr>
          <w:rFonts w:cs="Times New Roman"/>
          <w:color w:val="FF0000"/>
          <w:sz w:val="28"/>
          <w:szCs w:val="28"/>
        </w:rPr>
        <w:t xml:space="preserve">&lt;GENERIC NAME&gt; </w:t>
      </w:r>
      <w:r w:rsidRPr="007C5888">
        <w:rPr>
          <w:rFonts w:cs="Times New Roman"/>
          <w:sz w:val="28"/>
          <w:szCs w:val="28"/>
        </w:rPr>
        <w:t xml:space="preserve">therapy, i.e for tinea unguium, consideration should be given to periodic monitoring of blood chemistry, particularly for patients with pre-existing blood disorders, since </w:t>
      </w:r>
      <w:r w:rsidRPr="007C5888">
        <w:rPr>
          <w:rFonts w:cs="Times New Roman"/>
          <w:color w:val="FF0000"/>
          <w:sz w:val="28"/>
          <w:szCs w:val="28"/>
        </w:rPr>
        <w:t xml:space="preserve">&lt;GENERIC NAME&gt; </w:t>
      </w:r>
      <w:r w:rsidRPr="007C5888">
        <w:rPr>
          <w:rFonts w:cs="Times New Roman"/>
          <w:sz w:val="28"/>
          <w:szCs w:val="28"/>
        </w:rPr>
        <w:t>may cause blood disorders, see section 4.8.</w:t>
      </w:r>
    </w:p>
    <w:p w14:paraId="1D5BE73B" w14:textId="77777777" w:rsidR="007C5888" w:rsidRDefault="00000000" w:rsidP="007C5888">
      <w:pPr>
        <w:pStyle w:val="ListParagraph"/>
        <w:ind w:left="794"/>
        <w:contextualSpacing w:val="0"/>
        <w:rPr>
          <w:rFonts w:cs="Times New Roman"/>
          <w:sz w:val="28"/>
          <w:szCs w:val="28"/>
        </w:rPr>
      </w:pPr>
      <w:r w:rsidRPr="007C5888">
        <w:rPr>
          <w:rFonts w:cs="Times New Roman"/>
          <w:sz w:val="28"/>
          <w:szCs w:val="28"/>
        </w:rPr>
        <w:t xml:space="preserve">In common with any antibiotic, therapy with </w:t>
      </w:r>
      <w:r w:rsidRPr="007C5888">
        <w:rPr>
          <w:rFonts w:cs="Times New Roman"/>
          <w:color w:val="FF0000"/>
          <w:sz w:val="28"/>
          <w:szCs w:val="28"/>
        </w:rPr>
        <w:t xml:space="preserve">&lt;GENERIC NAME&gt; </w:t>
      </w:r>
      <w:r w:rsidRPr="007C5888">
        <w:rPr>
          <w:rFonts w:cs="Times New Roman"/>
          <w:sz w:val="28"/>
          <w:szCs w:val="28"/>
        </w:rPr>
        <w:t xml:space="preserve">may result in the overgrowth of non-susceptible organisms, i.e bacteria or yeasts, or nondermatophyte fungi, that are often cofactors in tinea infections, especially tinea pedis. Additional therapy is required to </w:t>
      </w:r>
      <w:r w:rsidRPr="007C5888">
        <w:rPr>
          <w:rFonts w:cs="Times New Roman"/>
          <w:sz w:val="28"/>
          <w:szCs w:val="28"/>
        </w:rPr>
        <w:lastRenderedPageBreak/>
        <w:t xml:space="preserve">control or eradicate such organisms, as </w:t>
      </w:r>
      <w:r w:rsidRPr="007C5888">
        <w:rPr>
          <w:rFonts w:cs="Times New Roman"/>
          <w:color w:val="FF0000"/>
          <w:sz w:val="28"/>
          <w:szCs w:val="28"/>
        </w:rPr>
        <w:t xml:space="preserve">&lt;GENERIC NAME&gt; </w:t>
      </w:r>
      <w:r w:rsidRPr="007C5888">
        <w:rPr>
          <w:rFonts w:cs="Times New Roman"/>
          <w:sz w:val="28"/>
          <w:szCs w:val="28"/>
        </w:rPr>
        <w:t>is ineffective.</w:t>
      </w:r>
    </w:p>
    <w:p w14:paraId="15F0D7EF" w14:textId="77777777" w:rsidR="00E66A00" w:rsidRDefault="00000000" w:rsidP="00E66A00">
      <w:pPr>
        <w:pStyle w:val="ListParagraph"/>
        <w:ind w:left="794"/>
        <w:contextualSpacing w:val="0"/>
        <w:rPr>
          <w:rFonts w:cs="Times New Roman"/>
          <w:sz w:val="28"/>
          <w:szCs w:val="28"/>
        </w:rPr>
      </w:pPr>
      <w:r w:rsidRPr="007C5888">
        <w:rPr>
          <w:rFonts w:cs="Times New Roman"/>
          <w:color w:val="FF0000"/>
          <w:sz w:val="28"/>
          <w:szCs w:val="28"/>
        </w:rPr>
        <w:t xml:space="preserve">&lt;GENERIC NAME&gt; </w:t>
      </w:r>
      <w:r w:rsidRPr="007C5888">
        <w:rPr>
          <w:rFonts w:cs="Times New Roman"/>
          <w:sz w:val="28"/>
          <w:szCs w:val="28"/>
        </w:rPr>
        <w:t xml:space="preserve">is not effective in infections due to </w:t>
      </w:r>
      <w:r w:rsidRPr="007C5888">
        <w:rPr>
          <w:rFonts w:cs="Times New Roman"/>
          <w:i/>
          <w:sz w:val="28"/>
          <w:szCs w:val="28"/>
        </w:rPr>
        <w:t xml:space="preserve">Candida albicans, Aspergillus sp., MMalassezia furfur (Pittyriasis versiclor) </w:t>
      </w:r>
      <w:r w:rsidRPr="007C5888">
        <w:rPr>
          <w:rFonts w:cs="Times New Roman"/>
          <w:sz w:val="28"/>
          <w:szCs w:val="28"/>
        </w:rPr>
        <w:t xml:space="preserve">and </w:t>
      </w:r>
      <w:r w:rsidRPr="007C5888">
        <w:rPr>
          <w:rFonts w:cs="Times New Roman"/>
          <w:i/>
          <w:sz w:val="28"/>
          <w:szCs w:val="28"/>
        </w:rPr>
        <w:t xml:space="preserve">Nocardia </w:t>
      </w:r>
      <w:r w:rsidRPr="007C5888">
        <w:rPr>
          <w:rFonts w:cs="Times New Roman"/>
          <w:sz w:val="28"/>
          <w:szCs w:val="28"/>
        </w:rPr>
        <w:t>sp. It has no antibacterial effects.</w:t>
      </w:r>
    </w:p>
    <w:p w14:paraId="634375D7" w14:textId="77777777" w:rsidR="00E66A00" w:rsidRPr="00E66A00" w:rsidRDefault="00000000" w:rsidP="00E66A00">
      <w:pPr>
        <w:pStyle w:val="ListParagraph"/>
        <w:numPr>
          <w:ilvl w:val="1"/>
          <w:numId w:val="5"/>
        </w:numPr>
        <w:contextualSpacing w:val="0"/>
        <w:rPr>
          <w:b/>
          <w:bCs/>
          <w:sz w:val="28"/>
          <w:szCs w:val="28"/>
        </w:rPr>
      </w:pPr>
      <w:r w:rsidRPr="00E66A00">
        <w:rPr>
          <w:rFonts w:cs="Times New Roman"/>
          <w:b/>
          <w:bCs/>
          <w:sz w:val="28"/>
          <w:szCs w:val="28"/>
        </w:rPr>
        <w:t>Interaction with other medicinal products and other forms of interaction</w:t>
      </w:r>
    </w:p>
    <w:p w14:paraId="32518635" w14:textId="77777777" w:rsidR="00E66A00" w:rsidRDefault="00000000" w:rsidP="00E66A00">
      <w:pPr>
        <w:pStyle w:val="ListParagraph"/>
        <w:ind w:left="792"/>
        <w:contextualSpacing w:val="0"/>
        <w:rPr>
          <w:bCs/>
          <w:iCs/>
          <w:sz w:val="28"/>
          <w:szCs w:val="28"/>
          <w:u w:val="single"/>
        </w:rPr>
      </w:pPr>
      <w:r w:rsidRPr="00E66A00">
        <w:rPr>
          <w:bCs/>
          <w:iCs/>
          <w:sz w:val="28"/>
          <w:szCs w:val="28"/>
          <w:u w:val="single"/>
        </w:rPr>
        <w:t>Medicinal Products:</w:t>
      </w:r>
    </w:p>
    <w:p w14:paraId="09869DD1" w14:textId="77777777" w:rsidR="00E66A00" w:rsidRDefault="00000000" w:rsidP="00E66A00">
      <w:pPr>
        <w:pStyle w:val="ListParagraph"/>
        <w:ind w:left="792"/>
        <w:contextualSpacing w:val="0"/>
        <w:rPr>
          <w:rFonts w:cs="Times New Roman"/>
          <w:sz w:val="28"/>
          <w:szCs w:val="28"/>
        </w:rPr>
      </w:pPr>
      <w:r w:rsidRPr="00E66A00">
        <w:rPr>
          <w:rFonts w:cs="Times New Roman"/>
          <w:color w:val="FF0000"/>
          <w:sz w:val="28"/>
          <w:szCs w:val="28"/>
        </w:rPr>
        <w:t xml:space="preserve">&lt;GENERIC NAME&gt; </w:t>
      </w:r>
      <w:r w:rsidRPr="00E66A00">
        <w:rPr>
          <w:rFonts w:cs="Times New Roman"/>
          <w:sz w:val="28"/>
          <w:szCs w:val="28"/>
        </w:rPr>
        <w:t>may depress plasma levels, and therefore the efficacy, of concommitantly administered medicinal products that are metabolised by cytochrome P450 3A4.</w:t>
      </w:r>
    </w:p>
    <w:p w14:paraId="74529446" w14:textId="77777777" w:rsidR="00E66A00" w:rsidRDefault="00000000" w:rsidP="00E66A00">
      <w:pPr>
        <w:pStyle w:val="ListParagraph"/>
        <w:ind w:left="792"/>
        <w:contextualSpacing w:val="0"/>
        <w:rPr>
          <w:rFonts w:cs="Times New Roman"/>
          <w:iCs/>
          <w:sz w:val="28"/>
          <w:szCs w:val="28"/>
          <w:u w:val="single"/>
        </w:rPr>
      </w:pPr>
      <w:r w:rsidRPr="00E66A00">
        <w:rPr>
          <w:rFonts w:cs="Times New Roman"/>
          <w:iCs/>
          <w:sz w:val="28"/>
          <w:szCs w:val="28"/>
          <w:u w:val="single"/>
        </w:rPr>
        <w:t xml:space="preserve">Interactions of </w:t>
      </w:r>
      <w:r w:rsidRPr="00E66A00">
        <w:rPr>
          <w:rFonts w:cs="Times New Roman"/>
          <w:iCs/>
          <w:color w:val="FF0000"/>
          <w:sz w:val="28"/>
          <w:szCs w:val="28"/>
          <w:u w:val="single"/>
        </w:rPr>
        <w:t xml:space="preserve">&lt;GENERIC NAME&gt; </w:t>
      </w:r>
      <w:r w:rsidRPr="00E66A00">
        <w:rPr>
          <w:rFonts w:cs="Times New Roman"/>
          <w:iCs/>
          <w:sz w:val="28"/>
          <w:szCs w:val="28"/>
          <w:u w:val="single"/>
        </w:rPr>
        <w:t>with other drugs:</w:t>
      </w:r>
    </w:p>
    <w:p w14:paraId="20AAF4AD" w14:textId="77777777" w:rsidR="00E66A00" w:rsidRPr="00E66A00" w:rsidRDefault="00000000" w:rsidP="00E66A00">
      <w:pPr>
        <w:pStyle w:val="ListParagraph"/>
        <w:numPr>
          <w:ilvl w:val="0"/>
          <w:numId w:val="15"/>
        </w:numPr>
        <w:contextualSpacing w:val="0"/>
        <w:rPr>
          <w:sz w:val="28"/>
          <w:szCs w:val="28"/>
        </w:rPr>
      </w:pPr>
      <w:r w:rsidRPr="00E66A00">
        <w:rPr>
          <w:rFonts w:cs="Times New Roman"/>
          <w:i/>
          <w:sz w:val="28"/>
          <w:szCs w:val="28"/>
        </w:rPr>
        <w:t xml:space="preserve">Ciclosporin: </w:t>
      </w:r>
      <w:r w:rsidRPr="00E66A00">
        <w:rPr>
          <w:rFonts w:cs="Times New Roman"/>
          <w:sz w:val="28"/>
          <w:szCs w:val="28"/>
        </w:rPr>
        <w:t>concomittant administration may result in a reduction of ciclosporin plasma levels, necessitating a dosage adjustment. Plasma levels of ciclosporin should be monitored during grisefulvin therapy, and necessary dosage adjustments made.</w:t>
      </w:r>
    </w:p>
    <w:p w14:paraId="4CB1AB4F" w14:textId="5E6D42DD" w:rsidR="007C5888" w:rsidRPr="00E66A00" w:rsidRDefault="00000000" w:rsidP="00E66A00">
      <w:pPr>
        <w:pStyle w:val="ListParagraph"/>
        <w:numPr>
          <w:ilvl w:val="0"/>
          <w:numId w:val="15"/>
        </w:numPr>
        <w:contextualSpacing w:val="0"/>
        <w:rPr>
          <w:sz w:val="28"/>
          <w:szCs w:val="28"/>
        </w:rPr>
      </w:pPr>
      <w:r w:rsidRPr="00E66A00">
        <w:rPr>
          <w:bCs/>
          <w:i/>
          <w:sz w:val="28"/>
          <w:szCs w:val="28"/>
        </w:rPr>
        <w:t>Coumarin anticoagulants:</w:t>
      </w:r>
      <w:r w:rsidRPr="00E66A00">
        <w:rPr>
          <w:bCs/>
          <w:iCs/>
          <w:sz w:val="28"/>
          <w:szCs w:val="28"/>
        </w:rPr>
        <w:t xml:space="preserve"> the efficacy may be reduced, necessitating dosage adjustment. It is recommended that both prothrombin and INR are regularly monitored, for the duration of </w:t>
      </w:r>
      <w:r w:rsidRPr="00E66A00">
        <w:rPr>
          <w:bCs/>
          <w:iCs/>
          <w:color w:val="FF0000"/>
          <w:sz w:val="28"/>
          <w:szCs w:val="28"/>
        </w:rPr>
        <w:t xml:space="preserve">&lt;GENERIC NAME&gt; </w:t>
      </w:r>
      <w:r w:rsidRPr="00E66A00">
        <w:rPr>
          <w:bCs/>
          <w:iCs/>
          <w:sz w:val="28"/>
          <w:szCs w:val="28"/>
        </w:rPr>
        <w:t>therapy, and for 8 days post therapy cessation.</w:t>
      </w:r>
    </w:p>
    <w:p w14:paraId="5B31E0F7" w14:textId="77777777" w:rsidR="007C5888" w:rsidRDefault="00000000" w:rsidP="007C5888">
      <w:pPr>
        <w:pStyle w:val="Heading2"/>
        <w:numPr>
          <w:ilvl w:val="0"/>
          <w:numId w:val="8"/>
        </w:numPr>
        <w:tabs>
          <w:tab w:val="right" w:pos="8337"/>
        </w:tabs>
        <w:spacing w:line="360" w:lineRule="auto"/>
        <w:jc w:val="thaiDistribute"/>
        <w:rPr>
          <w:b w:val="0"/>
          <w:bCs/>
          <w:sz w:val="28"/>
          <w:szCs w:val="28"/>
        </w:rPr>
      </w:pPr>
      <w:r w:rsidRPr="007C5888">
        <w:rPr>
          <w:b w:val="0"/>
          <w:bCs/>
          <w:i/>
          <w:sz w:val="28"/>
          <w:szCs w:val="28"/>
        </w:rPr>
        <w:lastRenderedPageBreak/>
        <w:t xml:space="preserve">Methadone: </w:t>
      </w:r>
      <w:r w:rsidRPr="007C5888">
        <w:rPr>
          <w:b w:val="0"/>
          <w:bCs/>
          <w:sz w:val="28"/>
          <w:szCs w:val="28"/>
        </w:rPr>
        <w:t xml:space="preserve">depression of methadone plasma levels may occur during </w:t>
      </w:r>
      <w:r w:rsidRPr="007C5888">
        <w:rPr>
          <w:b w:val="0"/>
          <w:bCs/>
          <w:color w:val="FF0000"/>
          <w:sz w:val="28"/>
          <w:szCs w:val="28"/>
        </w:rPr>
        <w:t xml:space="preserve">&lt;GENERIC NAME&gt; </w:t>
      </w:r>
      <w:r w:rsidRPr="007C5888">
        <w:rPr>
          <w:b w:val="0"/>
          <w:bCs/>
          <w:sz w:val="28"/>
          <w:szCs w:val="28"/>
        </w:rPr>
        <w:t>therapy. Patients should be closely monitored for any loss of efficacy, or plasma levels of methadone be monitored, and corresponding dosage adjustments made.</w:t>
      </w:r>
    </w:p>
    <w:p w14:paraId="62C2F7C0" w14:textId="4C2C5125" w:rsidR="007C5888" w:rsidRPr="007C5888" w:rsidRDefault="00000000" w:rsidP="007C5888">
      <w:pPr>
        <w:pStyle w:val="Heading2"/>
        <w:numPr>
          <w:ilvl w:val="0"/>
          <w:numId w:val="8"/>
        </w:numPr>
        <w:tabs>
          <w:tab w:val="right" w:pos="8337"/>
        </w:tabs>
        <w:spacing w:after="240" w:line="360" w:lineRule="auto"/>
        <w:ind w:left="1508" w:hanging="357"/>
        <w:jc w:val="thaiDistribute"/>
        <w:rPr>
          <w:b w:val="0"/>
          <w:bCs/>
          <w:sz w:val="28"/>
          <w:szCs w:val="28"/>
        </w:rPr>
      </w:pPr>
      <w:r w:rsidRPr="007C5888">
        <w:rPr>
          <w:b w:val="0"/>
          <w:bCs/>
          <w:i/>
          <w:sz w:val="28"/>
          <w:szCs w:val="28"/>
        </w:rPr>
        <w:t xml:space="preserve">Oral contraceptives: </w:t>
      </w:r>
      <w:r w:rsidRPr="007C5888">
        <w:rPr>
          <w:b w:val="0"/>
          <w:bCs/>
          <w:sz w:val="28"/>
          <w:szCs w:val="28"/>
        </w:rPr>
        <w:t xml:space="preserve">efficacy of oral contraception is reduced during </w:t>
      </w:r>
      <w:r w:rsidRPr="007C5888">
        <w:rPr>
          <w:b w:val="0"/>
          <w:bCs/>
          <w:color w:val="FF0000"/>
          <w:sz w:val="28"/>
          <w:szCs w:val="28"/>
        </w:rPr>
        <w:t xml:space="preserve">&lt;GENERIC NAME&gt; </w:t>
      </w:r>
      <w:r w:rsidRPr="007C5888">
        <w:rPr>
          <w:b w:val="0"/>
          <w:bCs/>
          <w:sz w:val="28"/>
          <w:szCs w:val="28"/>
        </w:rPr>
        <w:t xml:space="preserve">therapy and for four weeks post therapy cessation. In view of the contraindication in pregnancy, see section 4.3, and of the possible sequelae of male patients fathering a child during therapy, all sexually active patients should use additional barrier contraception, such as condoms, throughout </w:t>
      </w:r>
      <w:r w:rsidRPr="007C5888">
        <w:rPr>
          <w:b w:val="0"/>
          <w:bCs/>
          <w:color w:val="FF0000"/>
          <w:sz w:val="28"/>
          <w:szCs w:val="28"/>
        </w:rPr>
        <w:t xml:space="preserve">&lt;GENERIC NAME&gt; </w:t>
      </w:r>
      <w:r w:rsidRPr="007C5888">
        <w:rPr>
          <w:b w:val="0"/>
          <w:bCs/>
          <w:sz w:val="28"/>
          <w:szCs w:val="28"/>
        </w:rPr>
        <w:t>therapy, and for four weeks (female) and 6 months (male) post therapy cessation. See also sections 4.3, 4.4, 4.6, and 5.3 for additional information.</w:t>
      </w:r>
    </w:p>
    <w:p w14:paraId="6BFC9303" w14:textId="77777777" w:rsidR="007C5888" w:rsidRDefault="00000000" w:rsidP="007C5888">
      <w:pPr>
        <w:pStyle w:val="Heading2"/>
        <w:tabs>
          <w:tab w:val="right" w:pos="8337"/>
        </w:tabs>
        <w:spacing w:after="240" w:line="360" w:lineRule="auto"/>
        <w:ind w:left="794" w:firstLine="0"/>
        <w:jc w:val="thaiDistribute"/>
        <w:rPr>
          <w:b w:val="0"/>
          <w:bCs/>
          <w:iCs/>
          <w:sz w:val="28"/>
          <w:szCs w:val="28"/>
          <w:u w:val="single"/>
        </w:rPr>
      </w:pPr>
      <w:r w:rsidRPr="007C5888">
        <w:rPr>
          <w:b w:val="0"/>
          <w:bCs/>
          <w:iCs/>
          <w:sz w:val="28"/>
          <w:szCs w:val="28"/>
          <w:u w:val="single"/>
        </w:rPr>
        <w:t xml:space="preserve">Interactions of other drugs with </w:t>
      </w:r>
      <w:r w:rsidRPr="007C5888">
        <w:rPr>
          <w:b w:val="0"/>
          <w:bCs/>
          <w:iCs/>
          <w:color w:val="FF0000"/>
          <w:sz w:val="28"/>
          <w:szCs w:val="28"/>
          <w:u w:val="single"/>
        </w:rPr>
        <w:t>&lt;GENERIC NAME&gt;</w:t>
      </w:r>
      <w:r w:rsidRPr="007C5888">
        <w:rPr>
          <w:b w:val="0"/>
          <w:bCs/>
          <w:iCs/>
          <w:sz w:val="28"/>
          <w:szCs w:val="28"/>
          <w:u w:val="single"/>
        </w:rPr>
        <w:t>:</w:t>
      </w:r>
    </w:p>
    <w:p w14:paraId="1277AD38" w14:textId="44437C19" w:rsidR="003614E3" w:rsidRPr="007C5888" w:rsidRDefault="00000000" w:rsidP="007C5888">
      <w:pPr>
        <w:pStyle w:val="Heading2"/>
        <w:tabs>
          <w:tab w:val="right" w:pos="8337"/>
        </w:tabs>
        <w:spacing w:after="240" w:line="360" w:lineRule="auto"/>
        <w:ind w:left="794" w:firstLine="0"/>
        <w:jc w:val="thaiDistribute"/>
        <w:rPr>
          <w:b w:val="0"/>
          <w:bCs/>
          <w:iCs/>
          <w:sz w:val="28"/>
          <w:szCs w:val="28"/>
          <w:u w:val="single"/>
        </w:rPr>
      </w:pPr>
      <w:r w:rsidRPr="007C5888">
        <w:rPr>
          <w:b w:val="0"/>
          <w:bCs/>
          <w:sz w:val="28"/>
          <w:szCs w:val="28"/>
        </w:rPr>
        <w:t xml:space="preserve">Concurrent administration of other medicinal products that induce metabolising enzymes may result in a reduction of </w:t>
      </w:r>
      <w:r w:rsidRPr="007C5888">
        <w:rPr>
          <w:b w:val="0"/>
          <w:bCs/>
          <w:color w:val="FF0000"/>
          <w:sz w:val="28"/>
          <w:szCs w:val="28"/>
        </w:rPr>
        <w:t xml:space="preserve">&lt;GENERIC NAME&gt; </w:t>
      </w:r>
      <w:r w:rsidRPr="007C5888">
        <w:rPr>
          <w:b w:val="0"/>
          <w:bCs/>
          <w:sz w:val="28"/>
          <w:szCs w:val="28"/>
        </w:rPr>
        <w:t>blood plasma levels and thus efficacy. The following drugs are known to have this effect:</w:t>
      </w:r>
    </w:p>
    <w:p w14:paraId="143D0042" w14:textId="77777777" w:rsidR="003614E3" w:rsidRPr="007C5888" w:rsidRDefault="00000000" w:rsidP="007C5888">
      <w:pPr>
        <w:pStyle w:val="ListParagraph"/>
        <w:numPr>
          <w:ilvl w:val="0"/>
          <w:numId w:val="9"/>
        </w:numPr>
        <w:spacing w:after="117"/>
        <w:rPr>
          <w:sz w:val="28"/>
          <w:szCs w:val="28"/>
        </w:rPr>
      </w:pPr>
      <w:r w:rsidRPr="007C5888">
        <w:rPr>
          <w:i/>
          <w:sz w:val="28"/>
          <w:szCs w:val="28"/>
        </w:rPr>
        <w:t>Barbiturates</w:t>
      </w:r>
      <w:r w:rsidRPr="007C5888">
        <w:rPr>
          <w:sz w:val="28"/>
          <w:szCs w:val="28"/>
        </w:rPr>
        <w:t>, such as phenobarbitone</w:t>
      </w:r>
    </w:p>
    <w:p w14:paraId="033F9F53" w14:textId="77777777" w:rsidR="003614E3" w:rsidRPr="007C5888" w:rsidRDefault="00000000" w:rsidP="007C5888">
      <w:pPr>
        <w:pStyle w:val="ListParagraph"/>
        <w:numPr>
          <w:ilvl w:val="0"/>
          <w:numId w:val="9"/>
        </w:numPr>
        <w:spacing w:after="107"/>
        <w:rPr>
          <w:sz w:val="28"/>
          <w:szCs w:val="28"/>
        </w:rPr>
      </w:pPr>
      <w:r w:rsidRPr="007C5888">
        <w:rPr>
          <w:i/>
          <w:sz w:val="28"/>
          <w:szCs w:val="28"/>
        </w:rPr>
        <w:t>Doxercalciferol</w:t>
      </w:r>
    </w:p>
    <w:p w14:paraId="3ACFE13C" w14:textId="77777777" w:rsidR="003614E3" w:rsidRPr="007C5888" w:rsidRDefault="00000000" w:rsidP="007C5888">
      <w:pPr>
        <w:pStyle w:val="ListParagraph"/>
        <w:numPr>
          <w:ilvl w:val="0"/>
          <w:numId w:val="9"/>
        </w:numPr>
        <w:spacing w:after="107"/>
        <w:rPr>
          <w:sz w:val="28"/>
          <w:szCs w:val="28"/>
        </w:rPr>
      </w:pPr>
      <w:r w:rsidRPr="007C5888">
        <w:rPr>
          <w:i/>
          <w:sz w:val="28"/>
          <w:szCs w:val="28"/>
        </w:rPr>
        <w:t>Phenylbutazone</w:t>
      </w:r>
    </w:p>
    <w:p w14:paraId="54008979" w14:textId="77777777" w:rsidR="003614E3" w:rsidRPr="007C5888" w:rsidRDefault="00000000" w:rsidP="007C5888">
      <w:pPr>
        <w:pStyle w:val="ListParagraph"/>
        <w:numPr>
          <w:ilvl w:val="0"/>
          <w:numId w:val="9"/>
        </w:numPr>
        <w:spacing w:after="139"/>
        <w:rPr>
          <w:sz w:val="28"/>
          <w:szCs w:val="28"/>
        </w:rPr>
      </w:pPr>
      <w:r w:rsidRPr="007C5888">
        <w:rPr>
          <w:i/>
          <w:sz w:val="28"/>
          <w:szCs w:val="28"/>
        </w:rPr>
        <w:t>Primidone</w:t>
      </w:r>
    </w:p>
    <w:p w14:paraId="33A6CD29" w14:textId="77777777" w:rsidR="003614E3" w:rsidRPr="007C5888" w:rsidRDefault="00000000" w:rsidP="007C5888">
      <w:pPr>
        <w:pStyle w:val="ListParagraph"/>
        <w:numPr>
          <w:ilvl w:val="0"/>
          <w:numId w:val="9"/>
        </w:numPr>
        <w:rPr>
          <w:sz w:val="28"/>
          <w:szCs w:val="28"/>
        </w:rPr>
      </w:pPr>
      <w:r w:rsidRPr="007C5888">
        <w:rPr>
          <w:sz w:val="28"/>
          <w:szCs w:val="28"/>
        </w:rPr>
        <w:t>Other sedative and hypnotic drugs that induce metabolising enzymes.</w:t>
      </w:r>
    </w:p>
    <w:p w14:paraId="25DA03AA" w14:textId="77777777" w:rsidR="007C5888" w:rsidRDefault="00000000" w:rsidP="007C5888">
      <w:pPr>
        <w:pStyle w:val="ListParagraph"/>
        <w:numPr>
          <w:ilvl w:val="0"/>
          <w:numId w:val="9"/>
        </w:numPr>
        <w:spacing w:after="419"/>
        <w:rPr>
          <w:sz w:val="28"/>
          <w:szCs w:val="28"/>
        </w:rPr>
      </w:pPr>
      <w:r w:rsidRPr="007C5888">
        <w:rPr>
          <w:i/>
          <w:sz w:val="28"/>
          <w:szCs w:val="28"/>
        </w:rPr>
        <w:lastRenderedPageBreak/>
        <w:t xml:space="preserve">Food: </w:t>
      </w:r>
      <w:r w:rsidRPr="007C5888">
        <w:rPr>
          <w:sz w:val="28"/>
          <w:szCs w:val="28"/>
        </w:rPr>
        <w:t xml:space="preserve">administration of </w:t>
      </w:r>
      <w:r w:rsidRPr="007C5888">
        <w:rPr>
          <w:color w:val="FF0000"/>
          <w:sz w:val="28"/>
          <w:szCs w:val="28"/>
        </w:rPr>
        <w:t xml:space="preserve">&lt;GENERIC NAME&gt; </w:t>
      </w:r>
      <w:r w:rsidRPr="007C5888">
        <w:rPr>
          <w:sz w:val="28"/>
          <w:szCs w:val="28"/>
        </w:rPr>
        <w:t>after food, results in increased absorption, and thus higher plasma levels. This effect is enhanced if the meal contains high fat content. Administration after food is recommended, see section 4.2.</w:t>
      </w:r>
    </w:p>
    <w:p w14:paraId="136BD8B0" w14:textId="77777777" w:rsidR="00E66A00" w:rsidRDefault="00000000" w:rsidP="00E66A00">
      <w:pPr>
        <w:pStyle w:val="ListParagraph"/>
        <w:numPr>
          <w:ilvl w:val="0"/>
          <w:numId w:val="9"/>
        </w:numPr>
        <w:ind w:hanging="357"/>
        <w:contextualSpacing w:val="0"/>
        <w:rPr>
          <w:sz w:val="28"/>
          <w:szCs w:val="28"/>
        </w:rPr>
      </w:pPr>
      <w:r w:rsidRPr="007C5888">
        <w:rPr>
          <w:i/>
          <w:sz w:val="28"/>
          <w:szCs w:val="28"/>
        </w:rPr>
        <w:t xml:space="preserve">Alcohol: </w:t>
      </w:r>
      <w:r w:rsidRPr="007C5888">
        <w:rPr>
          <w:sz w:val="28"/>
          <w:szCs w:val="28"/>
        </w:rPr>
        <w:t xml:space="preserve">there are reports that </w:t>
      </w:r>
      <w:r w:rsidRPr="007C5888">
        <w:rPr>
          <w:color w:val="FF0000"/>
          <w:sz w:val="28"/>
          <w:szCs w:val="28"/>
        </w:rPr>
        <w:t xml:space="preserve">&lt;GENERIC NAME&gt; </w:t>
      </w:r>
      <w:r w:rsidRPr="007C5888">
        <w:rPr>
          <w:sz w:val="28"/>
          <w:szCs w:val="28"/>
        </w:rPr>
        <w:t xml:space="preserve">enhances the central nervous system effects of alcohol. There are also reports that </w:t>
      </w:r>
      <w:r w:rsidRPr="007C5888">
        <w:rPr>
          <w:color w:val="FF0000"/>
          <w:sz w:val="28"/>
          <w:szCs w:val="28"/>
        </w:rPr>
        <w:t xml:space="preserve">&lt;GENERIC NAME&gt; </w:t>
      </w:r>
      <w:r w:rsidRPr="007C5888">
        <w:rPr>
          <w:sz w:val="28"/>
          <w:szCs w:val="28"/>
        </w:rPr>
        <w:t xml:space="preserve">and alcohol use result in an “Antabuse” type reaction. Patients should be cautioned to avoid alcohol and all alcohol containing products while undergoing </w:t>
      </w:r>
      <w:r w:rsidRPr="007C5888">
        <w:rPr>
          <w:color w:val="FF0000"/>
          <w:sz w:val="28"/>
          <w:szCs w:val="28"/>
        </w:rPr>
        <w:t xml:space="preserve">&lt;GENERIC NAME&gt; </w:t>
      </w:r>
      <w:r w:rsidRPr="007C5888">
        <w:rPr>
          <w:sz w:val="28"/>
          <w:szCs w:val="28"/>
        </w:rPr>
        <w:t>therapy, See also section 4.8</w:t>
      </w:r>
    </w:p>
    <w:p w14:paraId="5350C7E9" w14:textId="77777777" w:rsidR="00B72107" w:rsidRDefault="00000000" w:rsidP="00B72107">
      <w:pPr>
        <w:pStyle w:val="ListParagraph"/>
        <w:numPr>
          <w:ilvl w:val="1"/>
          <w:numId w:val="5"/>
        </w:numPr>
        <w:rPr>
          <w:b/>
          <w:bCs/>
          <w:sz w:val="28"/>
          <w:szCs w:val="28"/>
        </w:rPr>
      </w:pPr>
      <w:r w:rsidRPr="00E66A00">
        <w:rPr>
          <w:b/>
          <w:bCs/>
          <w:sz w:val="28"/>
          <w:szCs w:val="28"/>
        </w:rPr>
        <w:t>Pregnancy and lactation</w:t>
      </w:r>
    </w:p>
    <w:p w14:paraId="15AEA056" w14:textId="77777777" w:rsidR="00B72107" w:rsidRDefault="00000000" w:rsidP="00B72107">
      <w:pPr>
        <w:pStyle w:val="ListParagraph"/>
        <w:ind w:left="794"/>
        <w:contextualSpacing w:val="0"/>
        <w:rPr>
          <w:bCs/>
          <w:iCs/>
          <w:sz w:val="28"/>
          <w:szCs w:val="28"/>
          <w:u w:val="single"/>
        </w:rPr>
      </w:pPr>
      <w:r w:rsidRPr="00B72107">
        <w:rPr>
          <w:bCs/>
          <w:iCs/>
          <w:sz w:val="28"/>
          <w:szCs w:val="28"/>
          <w:u w:val="single"/>
        </w:rPr>
        <w:t>Pregnancy:</w:t>
      </w:r>
    </w:p>
    <w:p w14:paraId="7EBE48B0" w14:textId="77777777" w:rsidR="00B72107" w:rsidRPr="00B72107" w:rsidRDefault="00000000" w:rsidP="00B72107">
      <w:pPr>
        <w:pStyle w:val="ListParagraph"/>
        <w:ind w:left="794"/>
        <w:contextualSpacing w:val="0"/>
        <w:rPr>
          <w:rFonts w:cs="Times New Roman"/>
          <w:sz w:val="28"/>
          <w:szCs w:val="28"/>
        </w:rPr>
      </w:pPr>
      <w:r w:rsidRPr="00B72107">
        <w:rPr>
          <w:rFonts w:cs="Times New Roman"/>
          <w:sz w:val="28"/>
          <w:szCs w:val="28"/>
        </w:rPr>
        <w:t xml:space="preserve">There are case reports of human foetal abnormalities associated with </w:t>
      </w:r>
      <w:r w:rsidRPr="00B72107">
        <w:rPr>
          <w:rFonts w:cs="Times New Roman"/>
          <w:color w:val="FF0000"/>
          <w:sz w:val="28"/>
          <w:szCs w:val="28"/>
        </w:rPr>
        <w:t>&lt;GENERIC NAME&gt;</w:t>
      </w:r>
      <w:r w:rsidRPr="00B72107">
        <w:rPr>
          <w:rFonts w:cs="Times New Roman"/>
          <w:sz w:val="28"/>
          <w:szCs w:val="28"/>
        </w:rPr>
        <w:t>.</w:t>
      </w:r>
    </w:p>
    <w:p w14:paraId="0672DC84" w14:textId="77777777" w:rsidR="00B72107" w:rsidRPr="00B72107" w:rsidRDefault="00000000" w:rsidP="00B72107">
      <w:pPr>
        <w:pStyle w:val="ListParagraph"/>
        <w:ind w:left="792"/>
        <w:rPr>
          <w:rFonts w:cs="Times New Roman"/>
          <w:sz w:val="28"/>
          <w:szCs w:val="28"/>
        </w:rPr>
      </w:pPr>
      <w:r w:rsidRPr="00B72107">
        <w:rPr>
          <w:rFonts w:cs="Times New Roman"/>
          <w:sz w:val="28"/>
          <w:szCs w:val="28"/>
        </w:rPr>
        <w:t xml:space="preserve">There are no adequate and well controlled studies in man, and inadequate epidemiological data. </w:t>
      </w:r>
      <w:r w:rsidRPr="00B72107">
        <w:rPr>
          <w:rFonts w:cs="Times New Roman"/>
          <w:color w:val="FF0000"/>
          <w:sz w:val="28"/>
          <w:szCs w:val="28"/>
        </w:rPr>
        <w:t xml:space="preserve">&lt;GENERIC NAME&gt; </w:t>
      </w:r>
      <w:r w:rsidRPr="00B72107">
        <w:rPr>
          <w:rFonts w:cs="Times New Roman"/>
          <w:sz w:val="28"/>
          <w:szCs w:val="28"/>
        </w:rPr>
        <w:t>has been shown to be teratogenic and embryotoxic in mice and rats. (see section 5.3).</w:t>
      </w:r>
    </w:p>
    <w:p w14:paraId="3BE5D556" w14:textId="77777777" w:rsidR="00B72107" w:rsidRPr="00B72107" w:rsidRDefault="00000000" w:rsidP="00B72107">
      <w:pPr>
        <w:pStyle w:val="ListParagraph"/>
        <w:ind w:left="794"/>
        <w:contextualSpacing w:val="0"/>
        <w:rPr>
          <w:rFonts w:cs="Times New Roman"/>
          <w:sz w:val="28"/>
          <w:szCs w:val="28"/>
        </w:rPr>
      </w:pPr>
      <w:r w:rsidRPr="00B72107">
        <w:rPr>
          <w:rFonts w:cs="Times New Roman"/>
          <w:color w:val="FF0000"/>
          <w:sz w:val="28"/>
          <w:szCs w:val="28"/>
        </w:rPr>
        <w:t xml:space="preserve">&lt;GENERIC NAME&gt; </w:t>
      </w:r>
      <w:r w:rsidRPr="00B72107">
        <w:rPr>
          <w:rFonts w:cs="Times New Roman"/>
          <w:sz w:val="28"/>
          <w:szCs w:val="28"/>
        </w:rPr>
        <w:t>is suspected to cause serious birth defects when administered during pregnancy.</w:t>
      </w:r>
    </w:p>
    <w:p w14:paraId="2A364062" w14:textId="77777777" w:rsidR="00B72107" w:rsidRPr="00B72107" w:rsidRDefault="00000000" w:rsidP="00B72107">
      <w:pPr>
        <w:pStyle w:val="ListParagraph"/>
        <w:ind w:left="792"/>
        <w:rPr>
          <w:rFonts w:cs="Times New Roman"/>
          <w:sz w:val="28"/>
          <w:szCs w:val="28"/>
        </w:rPr>
      </w:pPr>
      <w:r w:rsidRPr="00B72107">
        <w:rPr>
          <w:rFonts w:cs="Times New Roman"/>
          <w:color w:val="FF0000"/>
          <w:sz w:val="28"/>
          <w:szCs w:val="28"/>
        </w:rPr>
        <w:t xml:space="preserve">&lt;GENERIC NAME&gt; </w:t>
      </w:r>
      <w:r w:rsidRPr="00B72107">
        <w:rPr>
          <w:rFonts w:cs="Times New Roman"/>
          <w:sz w:val="28"/>
          <w:szCs w:val="28"/>
        </w:rPr>
        <w:t>is contraindicated (see section 4.3) in pregnancy.</w:t>
      </w:r>
    </w:p>
    <w:p w14:paraId="537262BA" w14:textId="14D77F2B" w:rsidR="003614E3" w:rsidRPr="00B72107" w:rsidRDefault="00000000" w:rsidP="00B72107">
      <w:pPr>
        <w:pStyle w:val="ListParagraph"/>
        <w:ind w:left="792"/>
        <w:rPr>
          <w:sz w:val="28"/>
          <w:szCs w:val="28"/>
        </w:rPr>
      </w:pPr>
      <w:r w:rsidRPr="00B72107">
        <w:rPr>
          <w:rFonts w:cs="Times New Roman"/>
          <w:sz w:val="28"/>
          <w:szCs w:val="28"/>
        </w:rPr>
        <w:t>Women of childbearing potential have to use effective contraception during (and up to 4 weeks after) treatment (see section 4.5) in respect of effect on oral contraceptives, and contraceptive precautions.</w:t>
      </w:r>
    </w:p>
    <w:p w14:paraId="5E8EB10E" w14:textId="77777777" w:rsidR="007C5888" w:rsidRDefault="00000000" w:rsidP="007C5888">
      <w:pPr>
        <w:pStyle w:val="Heading2"/>
        <w:spacing w:after="145"/>
        <w:ind w:left="760"/>
        <w:rPr>
          <w:b w:val="0"/>
          <w:bCs/>
          <w:sz w:val="28"/>
          <w:szCs w:val="28"/>
          <w:u w:val="single"/>
        </w:rPr>
      </w:pPr>
      <w:r w:rsidRPr="007C5888">
        <w:rPr>
          <w:b w:val="0"/>
          <w:bCs/>
          <w:sz w:val="28"/>
          <w:szCs w:val="28"/>
          <w:u w:val="single"/>
        </w:rPr>
        <w:lastRenderedPageBreak/>
        <w:t>Male-mediated effects on pregnancy</w:t>
      </w:r>
    </w:p>
    <w:p w14:paraId="0FF3996D" w14:textId="77777777" w:rsidR="00B72107" w:rsidRDefault="00000000" w:rsidP="00B72107">
      <w:pPr>
        <w:pStyle w:val="Heading2"/>
        <w:spacing w:after="240" w:line="360" w:lineRule="auto"/>
        <w:ind w:left="759" w:hanging="11"/>
        <w:jc w:val="thaiDistribute"/>
        <w:rPr>
          <w:b w:val="0"/>
          <w:bCs/>
          <w:sz w:val="28"/>
          <w:szCs w:val="28"/>
        </w:rPr>
      </w:pPr>
      <w:r w:rsidRPr="007C5888">
        <w:rPr>
          <w:b w:val="0"/>
          <w:bCs/>
          <w:color w:val="FF0000"/>
          <w:sz w:val="28"/>
          <w:szCs w:val="28"/>
        </w:rPr>
        <w:t xml:space="preserve">&lt;GENERIC NAME&gt; </w:t>
      </w:r>
      <w:r w:rsidRPr="007C5888">
        <w:rPr>
          <w:b w:val="0"/>
          <w:bCs/>
          <w:sz w:val="28"/>
          <w:szCs w:val="28"/>
        </w:rPr>
        <w:t>has been shown to induce chromosomal</w:t>
      </w:r>
      <w:r w:rsidR="007C5888" w:rsidRPr="007C5888">
        <w:rPr>
          <w:b w:val="0"/>
          <w:bCs/>
          <w:sz w:val="28"/>
          <w:szCs w:val="28"/>
        </w:rPr>
        <w:t xml:space="preserve"> </w:t>
      </w:r>
      <w:r w:rsidRPr="007C5888">
        <w:rPr>
          <w:b w:val="0"/>
          <w:bCs/>
          <w:sz w:val="28"/>
          <w:szCs w:val="28"/>
        </w:rPr>
        <w:t xml:space="preserve">aberrations in animal spermatocytes (see section 5.3).Therefore men should take effective contraceptive precautions, i.e barrier contraception, to avoid fathering children for the duration of </w:t>
      </w:r>
      <w:r w:rsidRPr="007C5888">
        <w:rPr>
          <w:b w:val="0"/>
          <w:bCs/>
          <w:color w:val="FF0000"/>
          <w:sz w:val="28"/>
          <w:szCs w:val="28"/>
        </w:rPr>
        <w:t xml:space="preserve">&lt;GENERIC NAME&gt; </w:t>
      </w:r>
      <w:r w:rsidRPr="007C5888">
        <w:rPr>
          <w:b w:val="0"/>
          <w:bCs/>
          <w:sz w:val="28"/>
          <w:szCs w:val="28"/>
        </w:rPr>
        <w:t>therapy, and for 6 months post therapy cessation.</w:t>
      </w:r>
    </w:p>
    <w:p w14:paraId="65BB6505" w14:textId="3B24DB08" w:rsidR="007C5888" w:rsidRPr="00B72107" w:rsidRDefault="00000000" w:rsidP="00B72107">
      <w:pPr>
        <w:pStyle w:val="Heading2"/>
        <w:spacing w:after="240" w:line="360" w:lineRule="auto"/>
        <w:ind w:left="759" w:hanging="11"/>
        <w:jc w:val="thaiDistribute"/>
        <w:rPr>
          <w:b w:val="0"/>
          <w:bCs/>
          <w:sz w:val="28"/>
          <w:szCs w:val="28"/>
        </w:rPr>
      </w:pPr>
      <w:r w:rsidRPr="007C5888">
        <w:rPr>
          <w:b w:val="0"/>
          <w:bCs/>
          <w:iCs/>
          <w:sz w:val="28"/>
          <w:szCs w:val="28"/>
          <w:u w:val="single"/>
        </w:rPr>
        <w:t>Lactation:</w:t>
      </w:r>
    </w:p>
    <w:p w14:paraId="4D9CDFFF" w14:textId="45298AB7" w:rsidR="003614E3" w:rsidRPr="007C5888" w:rsidRDefault="00000000" w:rsidP="007C5888">
      <w:pPr>
        <w:pStyle w:val="Heading2"/>
        <w:spacing w:after="240" w:line="360" w:lineRule="auto"/>
        <w:ind w:left="759" w:hanging="11"/>
        <w:jc w:val="thaiDistribute"/>
        <w:rPr>
          <w:b w:val="0"/>
          <w:bCs/>
          <w:iCs/>
          <w:sz w:val="28"/>
          <w:szCs w:val="28"/>
          <w:u w:val="single"/>
        </w:rPr>
      </w:pPr>
      <w:r w:rsidRPr="007C5888">
        <w:rPr>
          <w:b w:val="0"/>
          <w:bCs/>
          <w:sz w:val="28"/>
          <w:szCs w:val="28"/>
        </w:rPr>
        <w:t xml:space="preserve">It is unknown if </w:t>
      </w:r>
      <w:r w:rsidRPr="007C5888">
        <w:rPr>
          <w:b w:val="0"/>
          <w:bCs/>
          <w:color w:val="FF0000"/>
          <w:sz w:val="28"/>
          <w:szCs w:val="28"/>
        </w:rPr>
        <w:t xml:space="preserve">&lt;GENERIC NAME&gt; </w:t>
      </w:r>
      <w:r w:rsidRPr="007C5888">
        <w:rPr>
          <w:b w:val="0"/>
          <w:bCs/>
          <w:sz w:val="28"/>
          <w:szCs w:val="28"/>
        </w:rPr>
        <w:t xml:space="preserve">is excreted in breast milk, but the possibility does exist. There is inadequate data on the safety of </w:t>
      </w:r>
      <w:r w:rsidRPr="007C5888">
        <w:rPr>
          <w:b w:val="0"/>
          <w:bCs/>
          <w:color w:val="FF0000"/>
          <w:sz w:val="28"/>
          <w:szCs w:val="28"/>
        </w:rPr>
        <w:t xml:space="preserve">&lt;GENERIC NAME&gt; </w:t>
      </w:r>
      <w:r w:rsidRPr="007C5888">
        <w:rPr>
          <w:b w:val="0"/>
          <w:bCs/>
          <w:sz w:val="28"/>
          <w:szCs w:val="28"/>
        </w:rPr>
        <w:t xml:space="preserve">in breast feeding, and the potential risk to the infant cannot be assessed, therefore </w:t>
      </w:r>
      <w:r w:rsidRPr="007C5888">
        <w:rPr>
          <w:b w:val="0"/>
          <w:bCs/>
          <w:color w:val="FF0000"/>
          <w:sz w:val="28"/>
          <w:szCs w:val="28"/>
        </w:rPr>
        <w:t xml:space="preserve">&lt;GENERIC NAME&gt; </w:t>
      </w:r>
      <w:r w:rsidRPr="007C5888">
        <w:rPr>
          <w:b w:val="0"/>
          <w:bCs/>
          <w:sz w:val="28"/>
          <w:szCs w:val="28"/>
        </w:rPr>
        <w:t>is contraindicated in breast feeding (see section 4.3).</w:t>
      </w:r>
    </w:p>
    <w:p w14:paraId="3C6D3CCA" w14:textId="77777777" w:rsidR="007C5888" w:rsidRDefault="00000000" w:rsidP="007C5888">
      <w:pPr>
        <w:pStyle w:val="Heading2"/>
        <w:numPr>
          <w:ilvl w:val="1"/>
          <w:numId w:val="5"/>
        </w:numPr>
        <w:tabs>
          <w:tab w:val="center" w:pos="2955"/>
        </w:tabs>
        <w:spacing w:after="240" w:line="264" w:lineRule="auto"/>
        <w:ind w:left="788" w:hanging="431"/>
        <w:rPr>
          <w:sz w:val="28"/>
          <w:szCs w:val="28"/>
        </w:rPr>
      </w:pPr>
      <w:r w:rsidRPr="007C5888">
        <w:rPr>
          <w:sz w:val="28"/>
          <w:szCs w:val="28"/>
        </w:rPr>
        <w:t>Effects on ability to drive and use machines</w:t>
      </w:r>
    </w:p>
    <w:p w14:paraId="30CED888" w14:textId="4F604CC0" w:rsidR="003614E3" w:rsidRPr="007C5888" w:rsidRDefault="00000000" w:rsidP="007C5888">
      <w:pPr>
        <w:pStyle w:val="Heading2"/>
        <w:tabs>
          <w:tab w:val="center" w:pos="2955"/>
        </w:tabs>
        <w:spacing w:after="240" w:line="360" w:lineRule="auto"/>
        <w:ind w:left="794" w:firstLine="0"/>
        <w:jc w:val="thaiDistribute"/>
        <w:rPr>
          <w:sz w:val="28"/>
          <w:szCs w:val="28"/>
        </w:rPr>
      </w:pPr>
      <w:r w:rsidRPr="007C5888">
        <w:rPr>
          <w:b w:val="0"/>
          <w:bCs/>
          <w:color w:val="FF0000"/>
          <w:sz w:val="28"/>
          <w:szCs w:val="28"/>
        </w:rPr>
        <w:t xml:space="preserve">&lt;GENERIC NAME&gt; </w:t>
      </w:r>
      <w:r w:rsidRPr="007C5888">
        <w:rPr>
          <w:b w:val="0"/>
          <w:bCs/>
          <w:sz w:val="28"/>
          <w:szCs w:val="28"/>
        </w:rPr>
        <w:t>has no or negligible influence on the ability to drive and use machines. However, it may cause drowsiness, confusion dizziness, and impaired co-ordination, see section 4.8. Patients should therefore be cautioned not to drive or operate machines until they are</w:t>
      </w:r>
      <w:r w:rsidRPr="007C5888">
        <w:rPr>
          <w:sz w:val="28"/>
          <w:szCs w:val="28"/>
        </w:rPr>
        <w:t xml:space="preserve"> </w:t>
      </w:r>
      <w:r w:rsidRPr="007C5888">
        <w:rPr>
          <w:b w:val="0"/>
          <w:bCs/>
          <w:sz w:val="28"/>
          <w:szCs w:val="28"/>
        </w:rPr>
        <w:t>sure they are not affected.</w:t>
      </w:r>
    </w:p>
    <w:p w14:paraId="4D4798B7" w14:textId="77777777" w:rsidR="007C5888" w:rsidRDefault="00000000" w:rsidP="007C5888">
      <w:pPr>
        <w:pStyle w:val="Heading2"/>
        <w:numPr>
          <w:ilvl w:val="1"/>
          <w:numId w:val="5"/>
        </w:numPr>
        <w:tabs>
          <w:tab w:val="center" w:pos="1710"/>
        </w:tabs>
        <w:spacing w:after="0" w:line="360" w:lineRule="auto"/>
        <w:rPr>
          <w:sz w:val="28"/>
          <w:szCs w:val="28"/>
        </w:rPr>
      </w:pPr>
      <w:r w:rsidRPr="007C5888">
        <w:rPr>
          <w:sz w:val="28"/>
          <w:szCs w:val="28"/>
        </w:rPr>
        <w:t>Undesirable effects</w:t>
      </w:r>
    </w:p>
    <w:p w14:paraId="1223E815" w14:textId="56170C81" w:rsidR="003614E3" w:rsidRPr="007C5888" w:rsidRDefault="00000000" w:rsidP="00E66A00">
      <w:pPr>
        <w:pStyle w:val="Heading2"/>
        <w:tabs>
          <w:tab w:val="center" w:pos="1710"/>
        </w:tabs>
        <w:spacing w:after="240" w:line="360" w:lineRule="auto"/>
        <w:ind w:left="794" w:firstLine="0"/>
        <w:rPr>
          <w:sz w:val="28"/>
          <w:szCs w:val="28"/>
        </w:rPr>
      </w:pPr>
      <w:r w:rsidRPr="007C5888">
        <w:rPr>
          <w:b w:val="0"/>
          <w:bCs/>
          <w:sz w:val="28"/>
          <w:szCs w:val="28"/>
        </w:rPr>
        <w:t>The</w:t>
      </w:r>
      <w:r w:rsidRPr="007C5888">
        <w:rPr>
          <w:b w:val="0"/>
          <w:bCs/>
          <w:sz w:val="28"/>
          <w:szCs w:val="28"/>
        </w:rPr>
        <w:tab/>
        <w:t>following</w:t>
      </w:r>
      <w:r w:rsidRPr="007C5888">
        <w:rPr>
          <w:b w:val="0"/>
          <w:bCs/>
          <w:sz w:val="28"/>
          <w:szCs w:val="28"/>
        </w:rPr>
        <w:tab/>
        <w:t>frequencies</w:t>
      </w:r>
      <w:r w:rsidRPr="007C5888">
        <w:rPr>
          <w:b w:val="0"/>
          <w:bCs/>
          <w:sz w:val="28"/>
          <w:szCs w:val="28"/>
        </w:rPr>
        <w:tab/>
        <w:t>are</w:t>
      </w:r>
      <w:r w:rsidRPr="007C5888">
        <w:rPr>
          <w:b w:val="0"/>
          <w:bCs/>
          <w:sz w:val="28"/>
          <w:szCs w:val="28"/>
        </w:rPr>
        <w:tab/>
        <w:t>used</w:t>
      </w:r>
      <w:r w:rsidRPr="007C5888">
        <w:rPr>
          <w:b w:val="0"/>
          <w:bCs/>
          <w:sz w:val="28"/>
          <w:szCs w:val="28"/>
        </w:rPr>
        <w:tab/>
        <w:t>for</w:t>
      </w:r>
      <w:r w:rsidRPr="007C5888">
        <w:rPr>
          <w:b w:val="0"/>
          <w:bCs/>
          <w:sz w:val="28"/>
          <w:szCs w:val="28"/>
        </w:rPr>
        <w:tab/>
        <w:t>the</w:t>
      </w:r>
      <w:r w:rsidRPr="007C5888">
        <w:rPr>
          <w:b w:val="0"/>
          <w:bCs/>
          <w:sz w:val="28"/>
          <w:szCs w:val="28"/>
        </w:rPr>
        <w:tab/>
        <w:t>description of the occurrence of undesirable effects</w:t>
      </w:r>
      <w:r w:rsidRPr="00E66A00">
        <w:rPr>
          <w:b w:val="0"/>
          <w:bCs/>
          <w:sz w:val="28"/>
          <w:szCs w:val="28"/>
        </w:rPr>
        <w:t>:</w:t>
      </w:r>
    </w:p>
    <w:p w14:paraId="068B2E25" w14:textId="77777777" w:rsidR="003614E3" w:rsidRPr="00E66A00" w:rsidRDefault="00000000" w:rsidP="00E66A00">
      <w:pPr>
        <w:pStyle w:val="ListParagraph"/>
        <w:numPr>
          <w:ilvl w:val="0"/>
          <w:numId w:val="10"/>
        </w:numPr>
        <w:spacing w:after="145"/>
        <w:jc w:val="left"/>
        <w:rPr>
          <w:sz w:val="28"/>
          <w:szCs w:val="28"/>
        </w:rPr>
      </w:pPr>
      <w:r w:rsidRPr="00E66A00">
        <w:rPr>
          <w:sz w:val="28"/>
          <w:szCs w:val="28"/>
        </w:rPr>
        <w:t xml:space="preserve">Very common: </w:t>
      </w:r>
      <w:r w:rsidRPr="00E66A00">
        <w:rPr>
          <w:sz w:val="28"/>
          <w:szCs w:val="28"/>
          <w:u w:val="single" w:color="000000"/>
        </w:rPr>
        <w:t xml:space="preserve">&gt; </w:t>
      </w:r>
      <w:r w:rsidRPr="00E66A00">
        <w:rPr>
          <w:sz w:val="28"/>
          <w:szCs w:val="28"/>
        </w:rPr>
        <w:t>1 / 10</w:t>
      </w:r>
    </w:p>
    <w:p w14:paraId="247603FB" w14:textId="77777777" w:rsidR="003614E3" w:rsidRPr="00E66A00" w:rsidRDefault="00000000" w:rsidP="00E66A00">
      <w:pPr>
        <w:pStyle w:val="ListParagraph"/>
        <w:numPr>
          <w:ilvl w:val="0"/>
          <w:numId w:val="10"/>
        </w:numPr>
        <w:spacing w:after="145"/>
        <w:jc w:val="left"/>
        <w:rPr>
          <w:sz w:val="28"/>
          <w:szCs w:val="28"/>
        </w:rPr>
      </w:pPr>
      <w:r w:rsidRPr="00E66A00">
        <w:rPr>
          <w:sz w:val="28"/>
          <w:szCs w:val="28"/>
        </w:rPr>
        <w:t xml:space="preserve">Common: </w:t>
      </w:r>
      <w:r w:rsidRPr="00E66A00">
        <w:rPr>
          <w:sz w:val="28"/>
          <w:szCs w:val="28"/>
          <w:u w:val="single" w:color="000000"/>
        </w:rPr>
        <w:t xml:space="preserve">&gt; </w:t>
      </w:r>
      <w:r w:rsidRPr="00E66A00">
        <w:rPr>
          <w:sz w:val="28"/>
          <w:szCs w:val="28"/>
        </w:rPr>
        <w:t>1 / 100, &lt; 1 / 10</w:t>
      </w:r>
    </w:p>
    <w:p w14:paraId="5E83730C" w14:textId="77777777" w:rsidR="003614E3" w:rsidRPr="00E66A00" w:rsidRDefault="00000000" w:rsidP="00E66A00">
      <w:pPr>
        <w:pStyle w:val="ListParagraph"/>
        <w:numPr>
          <w:ilvl w:val="0"/>
          <w:numId w:val="10"/>
        </w:numPr>
        <w:spacing w:after="148"/>
        <w:jc w:val="left"/>
        <w:rPr>
          <w:sz w:val="28"/>
          <w:szCs w:val="28"/>
        </w:rPr>
      </w:pPr>
      <w:r w:rsidRPr="00E66A00">
        <w:rPr>
          <w:sz w:val="28"/>
          <w:szCs w:val="28"/>
        </w:rPr>
        <w:t xml:space="preserve">Uncommon: </w:t>
      </w:r>
      <w:r w:rsidRPr="00E66A00">
        <w:rPr>
          <w:sz w:val="28"/>
          <w:szCs w:val="28"/>
          <w:u w:val="single" w:color="000000"/>
        </w:rPr>
        <w:t xml:space="preserve">&gt; </w:t>
      </w:r>
      <w:r w:rsidRPr="00E66A00">
        <w:rPr>
          <w:sz w:val="28"/>
          <w:szCs w:val="28"/>
        </w:rPr>
        <w:t>1 / 1,000, &lt; 1 / 100</w:t>
      </w:r>
    </w:p>
    <w:p w14:paraId="73E17C68" w14:textId="77777777" w:rsidR="003614E3" w:rsidRPr="00E66A00" w:rsidRDefault="00000000" w:rsidP="00E66A00">
      <w:pPr>
        <w:pStyle w:val="ListParagraph"/>
        <w:numPr>
          <w:ilvl w:val="0"/>
          <w:numId w:val="10"/>
        </w:numPr>
        <w:spacing w:after="139"/>
        <w:ind w:right="41"/>
        <w:jc w:val="left"/>
        <w:rPr>
          <w:sz w:val="28"/>
          <w:szCs w:val="28"/>
        </w:rPr>
      </w:pPr>
      <w:r w:rsidRPr="00E66A00">
        <w:rPr>
          <w:sz w:val="28"/>
          <w:szCs w:val="28"/>
        </w:rPr>
        <w:lastRenderedPageBreak/>
        <w:t xml:space="preserve">Rare: </w:t>
      </w:r>
      <w:r w:rsidRPr="00E66A00">
        <w:rPr>
          <w:sz w:val="28"/>
          <w:szCs w:val="28"/>
          <w:u w:val="single" w:color="000000"/>
        </w:rPr>
        <w:t xml:space="preserve">&gt; </w:t>
      </w:r>
      <w:r w:rsidRPr="00E66A00">
        <w:rPr>
          <w:sz w:val="28"/>
          <w:szCs w:val="28"/>
        </w:rPr>
        <w:t>1 / 10,000, &lt; 1 / 1,000</w:t>
      </w:r>
    </w:p>
    <w:p w14:paraId="6ACB4556" w14:textId="77777777" w:rsidR="00E66A00" w:rsidRDefault="00000000" w:rsidP="00E66A00">
      <w:pPr>
        <w:pStyle w:val="ListParagraph"/>
        <w:numPr>
          <w:ilvl w:val="0"/>
          <w:numId w:val="10"/>
        </w:numPr>
        <w:ind w:left="1508" w:hanging="357"/>
        <w:contextualSpacing w:val="0"/>
        <w:jc w:val="left"/>
        <w:rPr>
          <w:sz w:val="28"/>
          <w:szCs w:val="28"/>
        </w:rPr>
      </w:pPr>
      <w:r w:rsidRPr="00E66A00">
        <w:rPr>
          <w:sz w:val="28"/>
          <w:szCs w:val="28"/>
        </w:rPr>
        <w:t>Very rare: &lt; 1 / 10,000</w:t>
      </w:r>
    </w:p>
    <w:p w14:paraId="77051ABE" w14:textId="77777777" w:rsidR="00E66A00" w:rsidRDefault="00000000" w:rsidP="00E66A00">
      <w:pPr>
        <w:ind w:left="720"/>
        <w:rPr>
          <w:sz w:val="28"/>
          <w:szCs w:val="28"/>
        </w:rPr>
      </w:pPr>
      <w:r w:rsidRPr="00E66A00">
        <w:rPr>
          <w:sz w:val="28"/>
          <w:szCs w:val="28"/>
        </w:rPr>
        <w:t>Within each frequency grouping, undesirable effects are presented in order of decreasing seriousness.</w:t>
      </w:r>
    </w:p>
    <w:p w14:paraId="4D254FCC" w14:textId="77777777" w:rsidR="00E66A00" w:rsidRDefault="00000000" w:rsidP="00E66A00">
      <w:pPr>
        <w:ind w:left="720"/>
        <w:jc w:val="thaiDistribute"/>
        <w:rPr>
          <w:sz w:val="28"/>
          <w:szCs w:val="28"/>
        </w:rPr>
      </w:pPr>
      <w:r w:rsidRPr="007C5888">
        <w:rPr>
          <w:sz w:val="28"/>
          <w:szCs w:val="28"/>
        </w:rPr>
        <w:t>Headache and gastric discomfort are the most common effects on starting treatment, but usually disappear as treatment is continued.</w:t>
      </w:r>
    </w:p>
    <w:p w14:paraId="1389A6B8" w14:textId="77777777" w:rsidR="00E66A00" w:rsidRDefault="00000000" w:rsidP="00E66A00">
      <w:pPr>
        <w:ind w:left="720"/>
        <w:jc w:val="thaiDistribute"/>
        <w:rPr>
          <w:iCs/>
          <w:sz w:val="28"/>
          <w:szCs w:val="28"/>
          <w:u w:val="single"/>
        </w:rPr>
      </w:pPr>
      <w:r w:rsidRPr="00E66A00">
        <w:rPr>
          <w:iCs/>
          <w:sz w:val="28"/>
          <w:szCs w:val="28"/>
          <w:u w:val="single"/>
        </w:rPr>
        <w:t>Blood and lymphatic system disorder:</w:t>
      </w:r>
    </w:p>
    <w:p w14:paraId="5E080372" w14:textId="77777777" w:rsidR="00E66A00" w:rsidRDefault="00000000" w:rsidP="00E66A00">
      <w:pPr>
        <w:ind w:left="720"/>
        <w:jc w:val="thaiDistribute"/>
        <w:rPr>
          <w:iCs/>
          <w:sz w:val="28"/>
          <w:szCs w:val="28"/>
          <w:u w:val="single"/>
        </w:rPr>
      </w:pPr>
      <w:r w:rsidRPr="007C5888">
        <w:rPr>
          <w:sz w:val="28"/>
          <w:szCs w:val="28"/>
        </w:rPr>
        <w:t>Rare:</w:t>
      </w:r>
      <w:r w:rsidRPr="007C5888">
        <w:rPr>
          <w:sz w:val="28"/>
          <w:szCs w:val="28"/>
        </w:rPr>
        <w:tab/>
        <w:t>leucopenia,</w:t>
      </w:r>
      <w:r w:rsidRPr="007C5888">
        <w:rPr>
          <w:sz w:val="28"/>
          <w:szCs w:val="28"/>
        </w:rPr>
        <w:tab/>
        <w:t>neutropenia,</w:t>
      </w:r>
      <w:r w:rsidRPr="007C5888">
        <w:rPr>
          <w:sz w:val="28"/>
          <w:szCs w:val="28"/>
        </w:rPr>
        <w:tab/>
        <w:t>anaemia-these</w:t>
      </w:r>
      <w:r w:rsidRPr="007C5888">
        <w:rPr>
          <w:sz w:val="28"/>
          <w:szCs w:val="28"/>
        </w:rPr>
        <w:tab/>
        <w:t>usually</w:t>
      </w:r>
      <w:r w:rsidRPr="007C5888">
        <w:rPr>
          <w:sz w:val="28"/>
          <w:szCs w:val="28"/>
        </w:rPr>
        <w:tab/>
        <w:t>resolve on therapy cessation</w:t>
      </w:r>
    </w:p>
    <w:p w14:paraId="544E83B8" w14:textId="77777777" w:rsidR="00E66A00" w:rsidRDefault="00000000" w:rsidP="00E66A00">
      <w:pPr>
        <w:ind w:left="720"/>
        <w:jc w:val="thaiDistribute"/>
        <w:rPr>
          <w:iCs/>
          <w:sz w:val="28"/>
          <w:szCs w:val="28"/>
          <w:u w:val="single"/>
        </w:rPr>
      </w:pPr>
      <w:r w:rsidRPr="00E66A00">
        <w:rPr>
          <w:iCs/>
          <w:sz w:val="28"/>
          <w:szCs w:val="28"/>
          <w:u w:val="single"/>
        </w:rPr>
        <w:t>Nervous system disorders:</w:t>
      </w:r>
    </w:p>
    <w:p w14:paraId="1A554F7A" w14:textId="77777777" w:rsidR="00E66A00" w:rsidRDefault="00000000" w:rsidP="00E66A00">
      <w:pPr>
        <w:spacing w:after="0"/>
        <w:ind w:left="720"/>
        <w:jc w:val="thaiDistribute"/>
        <w:rPr>
          <w:iCs/>
          <w:sz w:val="28"/>
          <w:szCs w:val="28"/>
          <w:u w:val="single"/>
        </w:rPr>
      </w:pPr>
      <w:r w:rsidRPr="007C5888">
        <w:rPr>
          <w:sz w:val="28"/>
          <w:szCs w:val="28"/>
        </w:rPr>
        <w:t>Common: headache</w:t>
      </w:r>
    </w:p>
    <w:p w14:paraId="6E7B0E2F" w14:textId="77777777" w:rsidR="00E66A00" w:rsidRDefault="00000000" w:rsidP="00E66A00">
      <w:pPr>
        <w:ind w:left="720"/>
        <w:jc w:val="thaiDistribute"/>
        <w:rPr>
          <w:iCs/>
          <w:sz w:val="28"/>
          <w:szCs w:val="28"/>
          <w:u w:val="single"/>
        </w:rPr>
      </w:pPr>
      <w:r w:rsidRPr="007C5888">
        <w:rPr>
          <w:sz w:val="28"/>
          <w:szCs w:val="28"/>
        </w:rPr>
        <w:t>Uncommon: impaired co-ordination, peripheral neuropathy, confusion, dizziness, drowsiness, insomnia, irritability.</w:t>
      </w:r>
    </w:p>
    <w:p w14:paraId="14913AF0" w14:textId="77777777" w:rsidR="00E66A00" w:rsidRDefault="00000000" w:rsidP="00E66A00">
      <w:pPr>
        <w:ind w:left="720"/>
        <w:jc w:val="thaiDistribute"/>
        <w:rPr>
          <w:iCs/>
          <w:sz w:val="28"/>
          <w:szCs w:val="28"/>
          <w:u w:val="single"/>
        </w:rPr>
      </w:pPr>
      <w:r w:rsidRPr="00E66A00">
        <w:rPr>
          <w:iCs/>
          <w:sz w:val="28"/>
          <w:szCs w:val="28"/>
          <w:u w:val="single"/>
        </w:rPr>
        <w:t>Gastrointestinal disorders</w:t>
      </w:r>
      <w:r w:rsidRPr="007C5888">
        <w:rPr>
          <w:i/>
          <w:sz w:val="28"/>
          <w:szCs w:val="28"/>
        </w:rPr>
        <w:t>:</w:t>
      </w:r>
    </w:p>
    <w:p w14:paraId="5F9DEDF1" w14:textId="77777777" w:rsidR="00E66A00" w:rsidRDefault="00000000" w:rsidP="00E66A00">
      <w:pPr>
        <w:spacing w:after="0"/>
        <w:ind w:left="720"/>
        <w:jc w:val="thaiDistribute"/>
        <w:rPr>
          <w:iCs/>
          <w:sz w:val="28"/>
          <w:szCs w:val="28"/>
          <w:u w:val="single"/>
        </w:rPr>
      </w:pPr>
      <w:r w:rsidRPr="007C5888">
        <w:rPr>
          <w:sz w:val="28"/>
          <w:szCs w:val="28"/>
        </w:rPr>
        <w:t>Common: diarrhoea, vomiting, nausea, gastric discomfort</w:t>
      </w:r>
    </w:p>
    <w:p w14:paraId="461BB442" w14:textId="77777777" w:rsidR="00E66A00" w:rsidRDefault="00000000" w:rsidP="00E66A00">
      <w:pPr>
        <w:ind w:left="720"/>
        <w:jc w:val="thaiDistribute"/>
        <w:rPr>
          <w:iCs/>
          <w:sz w:val="28"/>
          <w:szCs w:val="28"/>
          <w:u w:val="single"/>
        </w:rPr>
      </w:pPr>
      <w:r w:rsidRPr="007C5888">
        <w:rPr>
          <w:sz w:val="28"/>
          <w:szCs w:val="28"/>
        </w:rPr>
        <w:t>Uncommon: anorexia, taste sensation changes</w:t>
      </w:r>
    </w:p>
    <w:p w14:paraId="313E0DC8" w14:textId="77777777" w:rsidR="00E66A00" w:rsidRPr="00E66A00" w:rsidRDefault="00000000" w:rsidP="00E66A00">
      <w:pPr>
        <w:ind w:left="720"/>
        <w:jc w:val="thaiDistribute"/>
        <w:rPr>
          <w:iCs/>
          <w:sz w:val="28"/>
          <w:szCs w:val="28"/>
          <w:u w:val="single"/>
        </w:rPr>
      </w:pPr>
      <w:r w:rsidRPr="00E66A00">
        <w:rPr>
          <w:iCs/>
          <w:sz w:val="28"/>
          <w:szCs w:val="28"/>
          <w:u w:val="single"/>
        </w:rPr>
        <w:t>Skin and subcutaneous tissue disorders:</w:t>
      </w:r>
    </w:p>
    <w:p w14:paraId="0FE09713" w14:textId="77777777" w:rsidR="00E66A00" w:rsidRDefault="00000000" w:rsidP="00E66A00">
      <w:pPr>
        <w:ind w:left="720"/>
        <w:jc w:val="thaiDistribute"/>
        <w:rPr>
          <w:iCs/>
          <w:sz w:val="28"/>
          <w:szCs w:val="28"/>
          <w:u w:val="single"/>
        </w:rPr>
      </w:pPr>
      <w:r w:rsidRPr="007C5888">
        <w:rPr>
          <w:sz w:val="28"/>
          <w:szCs w:val="28"/>
        </w:rPr>
        <w:t>Uncommon:</w:t>
      </w:r>
      <w:r w:rsidRPr="007C5888">
        <w:rPr>
          <w:sz w:val="28"/>
          <w:szCs w:val="28"/>
        </w:rPr>
        <w:tab/>
        <w:t>toxic</w:t>
      </w:r>
      <w:r w:rsidRPr="007C5888">
        <w:rPr>
          <w:sz w:val="28"/>
          <w:szCs w:val="28"/>
        </w:rPr>
        <w:tab/>
        <w:t>epidermal</w:t>
      </w:r>
      <w:r w:rsidRPr="007C5888">
        <w:rPr>
          <w:sz w:val="28"/>
          <w:szCs w:val="28"/>
        </w:rPr>
        <w:tab/>
        <w:t>necrolysis,</w:t>
      </w:r>
      <w:r w:rsidRPr="007C5888">
        <w:rPr>
          <w:sz w:val="28"/>
          <w:szCs w:val="28"/>
        </w:rPr>
        <w:tab/>
        <w:t>erethema</w:t>
      </w:r>
      <w:r w:rsidRPr="007C5888">
        <w:rPr>
          <w:sz w:val="28"/>
          <w:szCs w:val="28"/>
        </w:rPr>
        <w:tab/>
        <w:t>multiforme, photosensitivity on exposure to intense natural or artifical sunlight.</w:t>
      </w:r>
    </w:p>
    <w:p w14:paraId="416E43DB" w14:textId="77777777" w:rsidR="00E66A00" w:rsidRDefault="00000000" w:rsidP="00E66A00">
      <w:pPr>
        <w:ind w:left="720"/>
        <w:jc w:val="thaiDistribute"/>
        <w:rPr>
          <w:iCs/>
          <w:sz w:val="28"/>
          <w:szCs w:val="28"/>
          <w:u w:val="single"/>
        </w:rPr>
      </w:pPr>
      <w:r w:rsidRPr="007C5888">
        <w:rPr>
          <w:sz w:val="28"/>
          <w:szCs w:val="28"/>
        </w:rPr>
        <w:t>Rare:</w:t>
      </w:r>
      <w:r w:rsidRPr="007C5888">
        <w:rPr>
          <w:sz w:val="28"/>
          <w:szCs w:val="28"/>
        </w:rPr>
        <w:tab/>
        <w:t>precipitation</w:t>
      </w:r>
      <w:r w:rsidRPr="007C5888">
        <w:rPr>
          <w:sz w:val="28"/>
          <w:szCs w:val="28"/>
        </w:rPr>
        <w:tab/>
        <w:t>of</w:t>
      </w:r>
      <w:r w:rsidRPr="007C5888">
        <w:rPr>
          <w:sz w:val="28"/>
          <w:szCs w:val="28"/>
        </w:rPr>
        <w:tab/>
        <w:t>Systemic</w:t>
      </w:r>
      <w:r w:rsidRPr="007C5888">
        <w:rPr>
          <w:sz w:val="28"/>
          <w:szCs w:val="28"/>
        </w:rPr>
        <w:tab/>
        <w:t>Lupus</w:t>
      </w:r>
      <w:r w:rsidRPr="007C5888">
        <w:rPr>
          <w:sz w:val="28"/>
          <w:szCs w:val="28"/>
        </w:rPr>
        <w:tab/>
        <w:t>Eryhthematosus,</w:t>
      </w:r>
      <w:r w:rsidRPr="007C5888">
        <w:rPr>
          <w:sz w:val="28"/>
          <w:szCs w:val="28"/>
        </w:rPr>
        <w:tab/>
        <w:t>bullous reactions including Lyell’s syndrome, urticarial reactions, skin rashes.</w:t>
      </w:r>
    </w:p>
    <w:p w14:paraId="77009C61" w14:textId="77777777" w:rsidR="00E66A00" w:rsidRDefault="00000000" w:rsidP="00E66A00">
      <w:pPr>
        <w:ind w:left="720"/>
        <w:jc w:val="thaiDistribute"/>
        <w:rPr>
          <w:iCs/>
          <w:sz w:val="28"/>
          <w:szCs w:val="28"/>
          <w:u w:val="single"/>
        </w:rPr>
      </w:pPr>
      <w:r w:rsidRPr="00E66A00">
        <w:rPr>
          <w:iCs/>
          <w:sz w:val="28"/>
          <w:szCs w:val="28"/>
          <w:u w:val="single"/>
        </w:rPr>
        <w:lastRenderedPageBreak/>
        <w:t>Hepatobiliary disorders:</w:t>
      </w:r>
    </w:p>
    <w:p w14:paraId="4158D467" w14:textId="77777777" w:rsidR="00B72107" w:rsidRDefault="00000000" w:rsidP="00B72107">
      <w:pPr>
        <w:ind w:left="720"/>
        <w:jc w:val="thaiDistribute"/>
        <w:rPr>
          <w:sz w:val="28"/>
          <w:szCs w:val="28"/>
        </w:rPr>
      </w:pPr>
      <w:r w:rsidRPr="007C5888">
        <w:rPr>
          <w:sz w:val="28"/>
          <w:szCs w:val="28"/>
        </w:rPr>
        <w:t>Very rare: alteration in liver function tests, with elevation to more than three times upper normal limit, intrahepatic cholecstasis, hepatitis.</w:t>
      </w:r>
    </w:p>
    <w:p w14:paraId="08553AAC" w14:textId="77777777" w:rsidR="00B72107" w:rsidRPr="00B72107" w:rsidRDefault="00000000" w:rsidP="00B72107">
      <w:pPr>
        <w:pStyle w:val="ListParagraph"/>
        <w:numPr>
          <w:ilvl w:val="1"/>
          <w:numId w:val="5"/>
        </w:numPr>
        <w:ind w:left="788" w:hanging="431"/>
        <w:contextualSpacing w:val="0"/>
        <w:jc w:val="thaiDistribute"/>
        <w:rPr>
          <w:b/>
          <w:bCs/>
          <w:iCs/>
          <w:sz w:val="28"/>
          <w:szCs w:val="28"/>
          <w:u w:val="single"/>
        </w:rPr>
      </w:pPr>
      <w:r w:rsidRPr="00B72107">
        <w:rPr>
          <w:b/>
          <w:bCs/>
          <w:sz w:val="28"/>
          <w:szCs w:val="28"/>
        </w:rPr>
        <w:t>Overdose</w:t>
      </w:r>
    </w:p>
    <w:p w14:paraId="152E2232" w14:textId="77777777" w:rsidR="00B72107" w:rsidRDefault="00000000" w:rsidP="00B72107">
      <w:pPr>
        <w:pStyle w:val="ListParagraph"/>
        <w:ind w:left="794"/>
        <w:contextualSpacing w:val="0"/>
        <w:jc w:val="thaiDistribute"/>
        <w:rPr>
          <w:bCs/>
          <w:sz w:val="28"/>
          <w:szCs w:val="28"/>
        </w:rPr>
      </w:pPr>
      <w:r w:rsidRPr="00B72107">
        <w:rPr>
          <w:bCs/>
          <w:sz w:val="28"/>
          <w:szCs w:val="28"/>
        </w:rPr>
        <w:t>No case of overdose has been reported.</w:t>
      </w:r>
    </w:p>
    <w:p w14:paraId="1131CDA9" w14:textId="77777777" w:rsidR="00B72107" w:rsidRDefault="00000000" w:rsidP="00B72107">
      <w:pPr>
        <w:pStyle w:val="ListParagraph"/>
        <w:ind w:left="794"/>
        <w:contextualSpacing w:val="0"/>
        <w:jc w:val="thaiDistribute"/>
        <w:rPr>
          <w:rFonts w:cs="Times New Roman"/>
          <w:b/>
          <w:bCs/>
          <w:iCs/>
          <w:sz w:val="28"/>
          <w:szCs w:val="28"/>
          <w:u w:val="single"/>
        </w:rPr>
      </w:pPr>
      <w:r w:rsidRPr="00E66A00">
        <w:rPr>
          <w:rFonts w:cs="Times New Roman"/>
          <w:b/>
          <w:bCs/>
          <w:iCs/>
          <w:sz w:val="28"/>
          <w:szCs w:val="28"/>
          <w:u w:val="single"/>
        </w:rPr>
        <w:t>Symptoms:</w:t>
      </w:r>
    </w:p>
    <w:p w14:paraId="156974C0" w14:textId="77777777" w:rsidR="00B72107" w:rsidRPr="00B72107" w:rsidRDefault="00000000" w:rsidP="00B72107">
      <w:pPr>
        <w:pStyle w:val="ListParagraph"/>
        <w:ind w:left="794"/>
        <w:contextualSpacing w:val="0"/>
        <w:jc w:val="thaiDistribute"/>
        <w:rPr>
          <w:rFonts w:cs="Times New Roman"/>
          <w:sz w:val="28"/>
          <w:szCs w:val="28"/>
        </w:rPr>
      </w:pPr>
      <w:r w:rsidRPr="00B72107">
        <w:rPr>
          <w:rFonts w:cs="Times New Roman"/>
          <w:sz w:val="28"/>
          <w:szCs w:val="28"/>
        </w:rPr>
        <w:t>The likely symptoms of any overdose would be nausea, nomiting, headache, numbness and tingling, confusion, and vertigo. Urticaria or porphyria could occur.</w:t>
      </w:r>
    </w:p>
    <w:p w14:paraId="0A0675E0" w14:textId="77777777" w:rsidR="00B72107" w:rsidRDefault="00000000" w:rsidP="00B72107">
      <w:pPr>
        <w:pStyle w:val="ListParagraph"/>
        <w:ind w:left="794"/>
        <w:contextualSpacing w:val="0"/>
        <w:jc w:val="thaiDistribute"/>
        <w:rPr>
          <w:rFonts w:cs="Times New Roman"/>
          <w:b/>
          <w:bCs/>
          <w:iCs/>
          <w:sz w:val="28"/>
          <w:szCs w:val="28"/>
          <w:u w:val="single"/>
        </w:rPr>
      </w:pPr>
      <w:r w:rsidRPr="00E66A00">
        <w:rPr>
          <w:rFonts w:cs="Times New Roman"/>
          <w:b/>
          <w:bCs/>
          <w:iCs/>
          <w:sz w:val="28"/>
          <w:szCs w:val="28"/>
          <w:u w:val="single"/>
        </w:rPr>
        <w:t>Treatment:</w:t>
      </w:r>
    </w:p>
    <w:p w14:paraId="0A474672" w14:textId="6067D295" w:rsidR="003614E3" w:rsidRPr="00B72107" w:rsidRDefault="00000000" w:rsidP="00B72107">
      <w:pPr>
        <w:pStyle w:val="ListParagraph"/>
        <w:ind w:left="792"/>
        <w:jc w:val="thaiDistribute"/>
        <w:rPr>
          <w:iCs/>
          <w:sz w:val="28"/>
          <w:szCs w:val="28"/>
          <w:u w:val="single"/>
        </w:rPr>
      </w:pPr>
      <w:r w:rsidRPr="00B72107">
        <w:rPr>
          <w:rFonts w:cs="Times New Roman"/>
          <w:sz w:val="28"/>
          <w:szCs w:val="28"/>
        </w:rPr>
        <w:t xml:space="preserve">There is no specific antidote to </w:t>
      </w:r>
      <w:r w:rsidRPr="00B72107">
        <w:rPr>
          <w:rFonts w:cs="Times New Roman"/>
          <w:color w:val="FF0000"/>
          <w:sz w:val="28"/>
          <w:szCs w:val="28"/>
        </w:rPr>
        <w:t>&lt;GENERIC NAME&gt;</w:t>
      </w:r>
      <w:r w:rsidRPr="00B72107">
        <w:rPr>
          <w:rFonts w:cs="Times New Roman"/>
          <w:sz w:val="28"/>
          <w:szCs w:val="28"/>
        </w:rPr>
        <w:t>. Gastric lavage, or the induction of emesis may be of help, if ingestion is recent. Administration of activated charcoal may also be of use. Treatment should be symptomatic and supportive. Laboratory monitoring of haemopoetic, hepatic and nephritic parameters and electrolytes is recommended.</w:t>
      </w:r>
    </w:p>
    <w:p w14:paraId="624B4322" w14:textId="77777777" w:rsidR="00E66A00" w:rsidRDefault="00000000" w:rsidP="00E66A00">
      <w:pPr>
        <w:pStyle w:val="Heading1"/>
        <w:numPr>
          <w:ilvl w:val="0"/>
          <w:numId w:val="5"/>
        </w:numPr>
        <w:tabs>
          <w:tab w:val="center" w:pos="3150"/>
        </w:tabs>
        <w:spacing w:after="240" w:line="360" w:lineRule="auto"/>
        <w:ind w:left="357" w:hanging="357"/>
        <w:rPr>
          <w:szCs w:val="28"/>
        </w:rPr>
      </w:pPr>
      <w:r w:rsidRPr="007C5888">
        <w:rPr>
          <w:szCs w:val="28"/>
        </w:rPr>
        <w:lastRenderedPageBreak/>
        <w:t>PHARMACOLOGICAL PROPERTIES</w:t>
      </w:r>
    </w:p>
    <w:p w14:paraId="78B299CE" w14:textId="77777777" w:rsidR="00E66A00" w:rsidRDefault="00000000" w:rsidP="00E66A00">
      <w:pPr>
        <w:pStyle w:val="Heading1"/>
        <w:numPr>
          <w:ilvl w:val="1"/>
          <w:numId w:val="5"/>
        </w:numPr>
        <w:tabs>
          <w:tab w:val="center" w:pos="3150"/>
        </w:tabs>
        <w:spacing w:after="535"/>
        <w:rPr>
          <w:szCs w:val="28"/>
        </w:rPr>
      </w:pPr>
      <w:r w:rsidRPr="00E66A00">
        <w:rPr>
          <w:szCs w:val="28"/>
        </w:rPr>
        <w:t>Pharmacodynamic properties</w:t>
      </w:r>
    </w:p>
    <w:p w14:paraId="1B5B5C69" w14:textId="77777777" w:rsidR="00E66A00" w:rsidRDefault="00000000" w:rsidP="00E66A00">
      <w:pPr>
        <w:pStyle w:val="Heading1"/>
        <w:tabs>
          <w:tab w:val="center" w:pos="3150"/>
        </w:tabs>
        <w:spacing w:after="0" w:line="360" w:lineRule="auto"/>
        <w:ind w:left="792" w:firstLine="0"/>
        <w:rPr>
          <w:b w:val="0"/>
          <w:bCs/>
          <w:szCs w:val="28"/>
        </w:rPr>
      </w:pPr>
      <w:r w:rsidRPr="00E66A00">
        <w:rPr>
          <w:b w:val="0"/>
          <w:bCs/>
          <w:szCs w:val="28"/>
        </w:rPr>
        <w:t>Pharmacotherapeutic group: Antifungals for systemic use</w:t>
      </w:r>
    </w:p>
    <w:p w14:paraId="2B72B1BE" w14:textId="77777777" w:rsidR="00E66A00" w:rsidRDefault="00000000" w:rsidP="00E66A00">
      <w:pPr>
        <w:pStyle w:val="Heading1"/>
        <w:tabs>
          <w:tab w:val="center" w:pos="3150"/>
        </w:tabs>
        <w:spacing w:after="240" w:line="360" w:lineRule="auto"/>
        <w:ind w:left="794" w:firstLine="0"/>
        <w:rPr>
          <w:b w:val="0"/>
          <w:bCs/>
          <w:szCs w:val="28"/>
        </w:rPr>
      </w:pPr>
      <w:r w:rsidRPr="00E66A00">
        <w:rPr>
          <w:b w:val="0"/>
          <w:bCs/>
          <w:szCs w:val="28"/>
        </w:rPr>
        <w:t>ATC code: D01BA01</w:t>
      </w:r>
    </w:p>
    <w:p w14:paraId="2FC9A1C7" w14:textId="298D9DA9" w:rsidR="003614E3" w:rsidRPr="00E66A00" w:rsidRDefault="00000000" w:rsidP="00E66A00">
      <w:pPr>
        <w:pStyle w:val="Heading1"/>
        <w:tabs>
          <w:tab w:val="center" w:pos="3150"/>
        </w:tabs>
        <w:spacing w:after="240" w:line="360" w:lineRule="auto"/>
        <w:ind w:left="794" w:firstLine="0"/>
        <w:jc w:val="thaiDistribute"/>
        <w:rPr>
          <w:b w:val="0"/>
          <w:bCs/>
          <w:szCs w:val="28"/>
        </w:rPr>
      </w:pPr>
      <w:r w:rsidRPr="00E66A00">
        <w:rPr>
          <w:b w:val="0"/>
          <w:bCs/>
          <w:color w:val="FF0000"/>
          <w:szCs w:val="28"/>
        </w:rPr>
        <w:t xml:space="preserve">&lt;GENERIC NAME&gt; </w:t>
      </w:r>
      <w:r w:rsidRPr="00E66A00">
        <w:rPr>
          <w:b w:val="0"/>
          <w:bCs/>
          <w:szCs w:val="28"/>
        </w:rPr>
        <w:t xml:space="preserve">is an antifungal antibiotic that is active </w:t>
      </w:r>
      <w:r w:rsidRPr="00E66A00">
        <w:rPr>
          <w:b w:val="0"/>
          <w:bCs/>
          <w:i/>
          <w:szCs w:val="28"/>
        </w:rPr>
        <w:t xml:space="preserve">in vivo </w:t>
      </w:r>
      <w:r w:rsidRPr="00E66A00">
        <w:rPr>
          <w:b w:val="0"/>
          <w:bCs/>
          <w:szCs w:val="28"/>
        </w:rPr>
        <w:t>against common dermatophytes. The antifungal effect is manifested by binding to tubulin, at distinct binding sites, thus interferring with the microtubule function and causing inhibition of mitosis, and arresting cell division.</w:t>
      </w:r>
      <w:r w:rsidR="00E66A00">
        <w:rPr>
          <w:b w:val="0"/>
          <w:bCs/>
          <w:szCs w:val="28"/>
        </w:rPr>
        <w:t xml:space="preserve"> </w:t>
      </w:r>
      <w:r w:rsidR="00E66A00" w:rsidRPr="00E66A00">
        <w:rPr>
          <w:b w:val="0"/>
          <w:bCs/>
          <w:szCs w:val="28"/>
        </w:rPr>
        <w:t>The inhibition</w:t>
      </w:r>
      <w:r w:rsidR="00E66A00">
        <w:rPr>
          <w:b w:val="0"/>
          <w:bCs/>
          <w:szCs w:val="28"/>
        </w:rPr>
        <w:t xml:space="preserve"> </w:t>
      </w:r>
      <w:r w:rsidR="00E66A00" w:rsidRPr="00E66A00">
        <w:rPr>
          <w:b w:val="0"/>
          <w:bCs/>
          <w:szCs w:val="28"/>
        </w:rPr>
        <w:t>of</w:t>
      </w:r>
      <w:r w:rsidR="00E66A00">
        <w:rPr>
          <w:b w:val="0"/>
          <w:bCs/>
          <w:szCs w:val="28"/>
        </w:rPr>
        <w:t xml:space="preserve"> </w:t>
      </w:r>
      <w:r w:rsidR="00E66A00" w:rsidRPr="00E66A00">
        <w:rPr>
          <w:b w:val="0"/>
          <w:bCs/>
          <w:szCs w:val="28"/>
        </w:rPr>
        <w:t>fungal</w:t>
      </w:r>
      <w:r w:rsidR="00E66A00" w:rsidRPr="00E66A00">
        <w:rPr>
          <w:b w:val="0"/>
          <w:bCs/>
          <w:szCs w:val="28"/>
        </w:rPr>
        <w:tab/>
        <w:t>mitosis</w:t>
      </w:r>
      <w:r w:rsidR="00E66A00">
        <w:rPr>
          <w:b w:val="0"/>
          <w:bCs/>
          <w:szCs w:val="28"/>
        </w:rPr>
        <w:t xml:space="preserve"> </w:t>
      </w:r>
      <w:r w:rsidR="00E66A00" w:rsidRPr="00E66A00">
        <w:rPr>
          <w:b w:val="0"/>
          <w:bCs/>
          <w:szCs w:val="28"/>
        </w:rPr>
        <w:t>leads t</w:t>
      </w:r>
      <w:r w:rsidR="00E66A00">
        <w:rPr>
          <w:b w:val="0"/>
          <w:bCs/>
          <w:szCs w:val="28"/>
        </w:rPr>
        <w:t xml:space="preserve">o </w:t>
      </w:r>
      <w:r w:rsidR="00E66A00" w:rsidRPr="00E66A00">
        <w:rPr>
          <w:b w:val="0"/>
          <w:bCs/>
          <w:szCs w:val="28"/>
        </w:rPr>
        <w:t>the</w:t>
      </w:r>
      <w:r w:rsidR="00E66A00">
        <w:rPr>
          <w:b w:val="0"/>
          <w:bCs/>
          <w:szCs w:val="28"/>
        </w:rPr>
        <w:t xml:space="preserve"> </w:t>
      </w:r>
      <w:r w:rsidR="00E66A00" w:rsidRPr="00E66A00">
        <w:rPr>
          <w:b w:val="0"/>
          <w:bCs/>
          <w:szCs w:val="28"/>
        </w:rPr>
        <w:t>production</w:t>
      </w:r>
      <w:r w:rsidR="00E66A00" w:rsidRPr="00E66A00">
        <w:rPr>
          <w:b w:val="0"/>
          <w:bCs/>
          <w:szCs w:val="28"/>
        </w:rPr>
        <w:tab/>
        <w:t>of multinucleate cells of characteristic morphology.</w:t>
      </w:r>
      <w:r w:rsidR="00E66A00">
        <w:rPr>
          <w:b w:val="0"/>
          <w:bCs/>
          <w:szCs w:val="28"/>
        </w:rPr>
        <w:t xml:space="preserve"> </w:t>
      </w:r>
      <w:r w:rsidRPr="00E66A00">
        <w:rPr>
          <w:b w:val="0"/>
          <w:bCs/>
          <w:szCs w:val="28"/>
        </w:rPr>
        <w:t xml:space="preserve">On entering the systemic circulation, </w:t>
      </w:r>
      <w:r w:rsidRPr="00E66A00">
        <w:rPr>
          <w:b w:val="0"/>
          <w:bCs/>
          <w:color w:val="FF0000"/>
          <w:szCs w:val="28"/>
        </w:rPr>
        <w:t xml:space="preserve">&lt;GENERIC NAME&gt; </w:t>
      </w:r>
      <w:r w:rsidRPr="00E66A00">
        <w:rPr>
          <w:b w:val="0"/>
          <w:bCs/>
          <w:szCs w:val="28"/>
        </w:rPr>
        <w:t>binds to keratin in keratin precursor cells, thereby making them resistant to fungal infections. The drug only reaches the site of action when hair or skin is replaced by the keratin</w:t>
      </w:r>
      <w:r w:rsidRPr="00E66A00">
        <w:rPr>
          <w:b w:val="0"/>
          <w:bCs/>
          <w:color w:val="FF0000"/>
          <w:szCs w:val="28"/>
        </w:rPr>
        <w:t xml:space="preserve">&lt;GENERIC NAME&gt; </w:t>
      </w:r>
      <w:r w:rsidRPr="00E66A00">
        <w:rPr>
          <w:b w:val="0"/>
          <w:bCs/>
          <w:szCs w:val="28"/>
        </w:rPr>
        <w:t>complex</w:t>
      </w:r>
      <w:r w:rsidRPr="007C5888">
        <w:rPr>
          <w:szCs w:val="28"/>
        </w:rPr>
        <w:t>.</w:t>
      </w:r>
    </w:p>
    <w:p w14:paraId="08A71071" w14:textId="77777777" w:rsidR="00E66A00" w:rsidRDefault="00000000" w:rsidP="00E66A00">
      <w:pPr>
        <w:ind w:left="720"/>
        <w:rPr>
          <w:sz w:val="28"/>
          <w:szCs w:val="28"/>
        </w:rPr>
      </w:pPr>
      <w:r w:rsidRPr="007C5888">
        <w:rPr>
          <w:color w:val="FF0000"/>
          <w:sz w:val="28"/>
          <w:szCs w:val="28"/>
        </w:rPr>
        <w:t xml:space="preserve">&lt;GENERIC NAME&gt; </w:t>
      </w:r>
      <w:r w:rsidRPr="007C5888">
        <w:rPr>
          <w:sz w:val="28"/>
          <w:szCs w:val="28"/>
        </w:rPr>
        <w:t>then enters the dermatophyte through energy dependent transport processes and binds to the fungal microtubules, interferring with, and inhibiting mitosis, and the deposition of fungal cell walls.</w:t>
      </w:r>
    </w:p>
    <w:p w14:paraId="66082362" w14:textId="77777777" w:rsidR="00E66A00" w:rsidRDefault="00000000" w:rsidP="00E66A00">
      <w:pPr>
        <w:ind w:left="720"/>
        <w:rPr>
          <w:iCs/>
          <w:sz w:val="28"/>
          <w:szCs w:val="28"/>
          <w:u w:val="single"/>
        </w:rPr>
      </w:pPr>
      <w:r w:rsidRPr="00E66A00">
        <w:rPr>
          <w:iCs/>
          <w:sz w:val="28"/>
          <w:szCs w:val="28"/>
          <w:u w:val="single"/>
        </w:rPr>
        <w:t>Mycology:</w:t>
      </w:r>
    </w:p>
    <w:p w14:paraId="37476412" w14:textId="55E20233" w:rsidR="003614E3" w:rsidRPr="00E66A00" w:rsidRDefault="00000000" w:rsidP="00E66A00">
      <w:pPr>
        <w:ind w:left="720"/>
        <w:rPr>
          <w:iCs/>
          <w:sz w:val="28"/>
          <w:szCs w:val="28"/>
          <w:u w:val="single"/>
        </w:rPr>
      </w:pPr>
      <w:r w:rsidRPr="007C5888">
        <w:rPr>
          <w:color w:val="FF0000"/>
          <w:sz w:val="28"/>
          <w:szCs w:val="28"/>
        </w:rPr>
        <w:t xml:space="preserve">&lt;GENERIC NAME&gt; </w:t>
      </w:r>
      <w:r w:rsidRPr="007C5888">
        <w:rPr>
          <w:sz w:val="28"/>
          <w:szCs w:val="28"/>
        </w:rPr>
        <w:t>has antifungal activity against the following dermatophytes, although there is species and strain variability in susceptibility.</w:t>
      </w:r>
      <w:r w:rsidR="00E66A00">
        <w:rPr>
          <w:iCs/>
          <w:sz w:val="28"/>
          <w:szCs w:val="28"/>
        </w:rPr>
        <w:t xml:space="preserve"> </w:t>
      </w:r>
      <w:r w:rsidRPr="007C5888">
        <w:rPr>
          <w:i/>
          <w:sz w:val="28"/>
          <w:szCs w:val="28"/>
        </w:rPr>
        <w:t xml:space="preserve">Trichophyton rubrum, T. tonsurans, T. mentagrophytes, T. interdigitalis, T. verrucosum, T. megnini, T. gallinae, T. Crateriform, T. </w:t>
      </w:r>
      <w:r w:rsidRPr="007C5888">
        <w:rPr>
          <w:i/>
          <w:sz w:val="28"/>
          <w:szCs w:val="28"/>
        </w:rPr>
        <w:lastRenderedPageBreak/>
        <w:t xml:space="preserve">sulphureum </w:t>
      </w:r>
      <w:r w:rsidRPr="007C5888">
        <w:rPr>
          <w:sz w:val="28"/>
          <w:szCs w:val="28"/>
        </w:rPr>
        <w:t xml:space="preserve">and </w:t>
      </w:r>
      <w:r w:rsidRPr="007C5888">
        <w:rPr>
          <w:i/>
          <w:sz w:val="28"/>
          <w:szCs w:val="28"/>
        </w:rPr>
        <w:t>T.</w:t>
      </w:r>
      <w:r w:rsidR="00E66A00">
        <w:rPr>
          <w:iCs/>
          <w:sz w:val="28"/>
          <w:szCs w:val="28"/>
        </w:rPr>
        <w:t xml:space="preserve"> </w:t>
      </w:r>
      <w:r w:rsidRPr="007C5888">
        <w:rPr>
          <w:i/>
          <w:sz w:val="28"/>
          <w:szCs w:val="28"/>
        </w:rPr>
        <w:t>schoenleinii</w:t>
      </w:r>
      <w:r w:rsidRPr="007C5888">
        <w:rPr>
          <w:sz w:val="28"/>
          <w:szCs w:val="28"/>
        </w:rPr>
        <w:t>.</w:t>
      </w:r>
      <w:r w:rsidR="00E66A00">
        <w:rPr>
          <w:iCs/>
          <w:sz w:val="28"/>
          <w:szCs w:val="28"/>
        </w:rPr>
        <w:t xml:space="preserve"> </w:t>
      </w:r>
      <w:r w:rsidRPr="007C5888">
        <w:rPr>
          <w:i/>
          <w:sz w:val="28"/>
          <w:szCs w:val="28"/>
        </w:rPr>
        <w:t>Microsporum audouinii, M. Canis, M. gypseum</w:t>
      </w:r>
      <w:r w:rsidRPr="007C5888">
        <w:rPr>
          <w:sz w:val="28"/>
          <w:szCs w:val="28"/>
        </w:rPr>
        <w:t>.</w:t>
      </w:r>
      <w:r w:rsidR="00E66A00">
        <w:rPr>
          <w:iCs/>
          <w:sz w:val="28"/>
          <w:szCs w:val="28"/>
        </w:rPr>
        <w:t xml:space="preserve"> </w:t>
      </w:r>
      <w:r w:rsidRPr="007C5888">
        <w:rPr>
          <w:i/>
          <w:sz w:val="28"/>
          <w:szCs w:val="28"/>
        </w:rPr>
        <w:t>Epidermophyton floccosum</w:t>
      </w:r>
      <w:r w:rsidRPr="007C5888">
        <w:rPr>
          <w:sz w:val="28"/>
          <w:szCs w:val="28"/>
        </w:rPr>
        <w:t>.</w:t>
      </w:r>
    </w:p>
    <w:p w14:paraId="77A35CB9" w14:textId="77777777" w:rsidR="00B72107" w:rsidRDefault="00000000" w:rsidP="00B72107">
      <w:pPr>
        <w:ind w:left="720"/>
        <w:rPr>
          <w:sz w:val="28"/>
          <w:szCs w:val="28"/>
        </w:rPr>
      </w:pPr>
      <w:r w:rsidRPr="007C5888">
        <w:rPr>
          <w:color w:val="FF0000"/>
          <w:sz w:val="28"/>
          <w:szCs w:val="28"/>
        </w:rPr>
        <w:t xml:space="preserve">&lt;GENERIC NAME&gt; </w:t>
      </w:r>
      <w:r w:rsidRPr="007C5888">
        <w:rPr>
          <w:sz w:val="28"/>
          <w:szCs w:val="28"/>
        </w:rPr>
        <w:t>has no activity against dermatophyte fungi of other genera, nondermatophyte fungi, yeasts, gram positive bacteria, or gram negative bacteria. If any of these are cofactors in the pathology of infection, suitable additional therapy will be required for their eradication.</w:t>
      </w:r>
    </w:p>
    <w:p w14:paraId="5BDA5A72" w14:textId="77777777" w:rsidR="00B72107" w:rsidRDefault="00000000" w:rsidP="00B72107">
      <w:pPr>
        <w:pStyle w:val="ListParagraph"/>
        <w:numPr>
          <w:ilvl w:val="1"/>
          <w:numId w:val="5"/>
        </w:numPr>
        <w:rPr>
          <w:b/>
          <w:bCs/>
          <w:sz w:val="28"/>
          <w:szCs w:val="28"/>
        </w:rPr>
      </w:pPr>
      <w:r w:rsidRPr="00B72107">
        <w:rPr>
          <w:b/>
          <w:bCs/>
          <w:sz w:val="28"/>
          <w:szCs w:val="28"/>
        </w:rPr>
        <w:t>Pharmacokinetic properties</w:t>
      </w:r>
    </w:p>
    <w:p w14:paraId="6E598CBB" w14:textId="77777777" w:rsidR="00B72107" w:rsidRDefault="00000000" w:rsidP="00B72107">
      <w:pPr>
        <w:pStyle w:val="ListParagraph"/>
        <w:ind w:left="792"/>
        <w:rPr>
          <w:bCs/>
          <w:iCs/>
          <w:sz w:val="28"/>
          <w:szCs w:val="28"/>
          <w:u w:val="single"/>
        </w:rPr>
      </w:pPr>
      <w:r w:rsidRPr="00B72107">
        <w:rPr>
          <w:bCs/>
          <w:iCs/>
          <w:sz w:val="28"/>
          <w:szCs w:val="28"/>
          <w:u w:val="single"/>
        </w:rPr>
        <w:t>Absorption:</w:t>
      </w:r>
    </w:p>
    <w:p w14:paraId="1C5A091D" w14:textId="77777777" w:rsidR="00B72107" w:rsidRDefault="00000000" w:rsidP="00B72107">
      <w:pPr>
        <w:pStyle w:val="ListParagraph"/>
        <w:ind w:left="794"/>
        <w:contextualSpacing w:val="0"/>
        <w:rPr>
          <w:rFonts w:cs="Times New Roman"/>
          <w:sz w:val="28"/>
          <w:szCs w:val="28"/>
        </w:rPr>
      </w:pPr>
      <w:r w:rsidRPr="00B72107">
        <w:rPr>
          <w:rFonts w:cs="Times New Roman"/>
          <w:sz w:val="28"/>
          <w:szCs w:val="28"/>
        </w:rPr>
        <w:t xml:space="preserve">The absorption of </w:t>
      </w:r>
      <w:r w:rsidRPr="00B72107">
        <w:rPr>
          <w:rFonts w:cs="Times New Roman"/>
          <w:color w:val="FF0000"/>
          <w:sz w:val="28"/>
          <w:szCs w:val="28"/>
        </w:rPr>
        <w:t xml:space="preserve">&lt;GENERIC NAME&gt; </w:t>
      </w:r>
      <w:r w:rsidRPr="00B72107">
        <w:rPr>
          <w:rFonts w:cs="Times New Roman"/>
          <w:sz w:val="28"/>
          <w:szCs w:val="28"/>
        </w:rPr>
        <w:t>from the gastrointestinal tract is varaible and incomplete. On average, less than 50% of the oral dose is absorbed, but administration after a fatty meal, and a reduction in particle size will increase the rate and extent of the absorption.</w:t>
      </w:r>
    </w:p>
    <w:p w14:paraId="24ABC3E4" w14:textId="18840900" w:rsidR="00B72107" w:rsidRPr="00B72107" w:rsidRDefault="00000000" w:rsidP="00B72107">
      <w:pPr>
        <w:pStyle w:val="ListParagraph"/>
        <w:ind w:left="794"/>
        <w:contextualSpacing w:val="0"/>
        <w:rPr>
          <w:iCs/>
          <w:sz w:val="28"/>
          <w:szCs w:val="28"/>
          <w:u w:val="single"/>
        </w:rPr>
      </w:pPr>
      <w:r w:rsidRPr="00B72107">
        <w:rPr>
          <w:rFonts w:cs="Times New Roman"/>
          <w:sz w:val="28"/>
          <w:szCs w:val="28"/>
        </w:rPr>
        <w:t>Following oral administration there is a phase of rapid absorption, and thereafter a phase of slower prolonged absorption.</w:t>
      </w:r>
    </w:p>
    <w:p w14:paraId="3DF8F48C" w14:textId="77777777" w:rsidR="00B72107" w:rsidRPr="00B72107" w:rsidRDefault="00000000" w:rsidP="00B72107">
      <w:pPr>
        <w:pStyle w:val="ListParagraph"/>
        <w:ind w:left="794"/>
        <w:contextualSpacing w:val="0"/>
        <w:rPr>
          <w:rFonts w:cs="Times New Roman"/>
          <w:sz w:val="28"/>
          <w:szCs w:val="28"/>
        </w:rPr>
      </w:pPr>
      <w:r w:rsidRPr="00B72107">
        <w:rPr>
          <w:rFonts w:cs="Times New Roman"/>
          <w:sz w:val="28"/>
          <w:szCs w:val="28"/>
        </w:rPr>
        <w:t xml:space="preserve">Peak plasma levels, 0.5 </w:t>
      </w:r>
      <w:r w:rsidRPr="00B72107">
        <w:rPr>
          <w:rFonts w:eastAsia="Calibri" w:cs="Times New Roman"/>
          <w:sz w:val="28"/>
          <w:szCs w:val="28"/>
          <w:vertAlign w:val="subscript"/>
        </w:rPr>
        <w:t>µ</w:t>
      </w:r>
      <w:r w:rsidRPr="00B72107">
        <w:rPr>
          <w:rFonts w:cs="Times New Roman"/>
          <w:sz w:val="28"/>
          <w:szCs w:val="28"/>
        </w:rPr>
        <w:t xml:space="preserve">g / ml-1.5 </w:t>
      </w:r>
      <w:r w:rsidRPr="00B72107">
        <w:rPr>
          <w:rFonts w:eastAsia="Calibri" w:cs="Times New Roman"/>
          <w:sz w:val="28"/>
          <w:szCs w:val="28"/>
          <w:vertAlign w:val="subscript"/>
        </w:rPr>
        <w:t>µ</w:t>
      </w:r>
      <w:r w:rsidRPr="00B72107">
        <w:rPr>
          <w:rFonts w:cs="Times New Roman"/>
          <w:sz w:val="28"/>
          <w:szCs w:val="28"/>
        </w:rPr>
        <w:t>g / ml after a 500 mg dose, and</w:t>
      </w:r>
      <w:r w:rsidR="00E66A00" w:rsidRPr="00B72107">
        <w:rPr>
          <w:sz w:val="28"/>
          <w:szCs w:val="28"/>
        </w:rPr>
        <w:t xml:space="preserve"> </w:t>
      </w:r>
      <w:r w:rsidRPr="00B72107">
        <w:rPr>
          <w:rFonts w:cs="Times New Roman"/>
          <w:sz w:val="28"/>
          <w:szCs w:val="28"/>
        </w:rPr>
        <w:t xml:space="preserve">1.5 </w:t>
      </w:r>
      <w:r w:rsidRPr="00B72107">
        <w:rPr>
          <w:rFonts w:eastAsia="Calibri" w:cs="Times New Roman"/>
          <w:sz w:val="28"/>
          <w:szCs w:val="28"/>
          <w:vertAlign w:val="subscript"/>
        </w:rPr>
        <w:t>µ</w:t>
      </w:r>
      <w:r w:rsidRPr="00B72107">
        <w:rPr>
          <w:rFonts w:cs="Times New Roman"/>
          <w:sz w:val="28"/>
          <w:szCs w:val="28"/>
        </w:rPr>
        <w:t xml:space="preserve">g / ml-3.0 </w:t>
      </w:r>
      <w:r w:rsidRPr="00B72107">
        <w:rPr>
          <w:rFonts w:eastAsia="Calibri" w:cs="Times New Roman"/>
          <w:sz w:val="28"/>
          <w:szCs w:val="28"/>
          <w:vertAlign w:val="subscript"/>
        </w:rPr>
        <w:t>µ</w:t>
      </w:r>
      <w:r w:rsidRPr="00B72107">
        <w:rPr>
          <w:rFonts w:cs="Times New Roman"/>
          <w:sz w:val="28"/>
          <w:szCs w:val="28"/>
        </w:rPr>
        <w:t>g / ml after a 1000 mg dose, are reached in 2-4 hours, and are maintained for some 10-20 hours.</w:t>
      </w:r>
    </w:p>
    <w:p w14:paraId="1A0A6BA5" w14:textId="77777777" w:rsidR="00B72107" w:rsidRDefault="00000000" w:rsidP="00B72107">
      <w:pPr>
        <w:pStyle w:val="ListParagraph"/>
        <w:ind w:left="794"/>
        <w:contextualSpacing w:val="0"/>
        <w:rPr>
          <w:rFonts w:cs="Times New Roman"/>
          <w:sz w:val="28"/>
          <w:szCs w:val="28"/>
        </w:rPr>
      </w:pPr>
      <w:r w:rsidRPr="00B72107">
        <w:rPr>
          <w:rFonts w:cs="Times New Roman"/>
          <w:color w:val="FF0000"/>
          <w:sz w:val="28"/>
          <w:szCs w:val="28"/>
        </w:rPr>
        <w:t xml:space="preserve">&lt;GENERIC NAME&gt; </w:t>
      </w:r>
      <w:r w:rsidRPr="00B72107">
        <w:rPr>
          <w:rFonts w:cs="Times New Roman"/>
          <w:sz w:val="28"/>
          <w:szCs w:val="28"/>
        </w:rPr>
        <w:t>exhibits linear pharmacokinetics.</w:t>
      </w:r>
    </w:p>
    <w:p w14:paraId="7D46CC49" w14:textId="77777777" w:rsidR="00B72107" w:rsidRPr="00B72107" w:rsidRDefault="00000000" w:rsidP="00B72107">
      <w:pPr>
        <w:pStyle w:val="ListParagraph"/>
        <w:ind w:left="794"/>
        <w:contextualSpacing w:val="0"/>
        <w:rPr>
          <w:rFonts w:cs="Times New Roman"/>
          <w:iCs/>
          <w:sz w:val="28"/>
          <w:szCs w:val="28"/>
          <w:u w:val="single"/>
        </w:rPr>
      </w:pPr>
      <w:r w:rsidRPr="00B72107">
        <w:rPr>
          <w:rFonts w:cs="Times New Roman"/>
          <w:iCs/>
          <w:sz w:val="28"/>
          <w:szCs w:val="28"/>
          <w:u w:val="single"/>
        </w:rPr>
        <w:t>Distribution:</w:t>
      </w:r>
    </w:p>
    <w:p w14:paraId="65A05DDD" w14:textId="2CB6D644" w:rsidR="003614E3" w:rsidRPr="00B72107" w:rsidRDefault="00000000" w:rsidP="00B72107">
      <w:pPr>
        <w:pStyle w:val="ListParagraph"/>
        <w:ind w:left="792"/>
        <w:rPr>
          <w:sz w:val="28"/>
          <w:szCs w:val="28"/>
        </w:rPr>
      </w:pPr>
      <w:r w:rsidRPr="00B72107">
        <w:rPr>
          <w:rFonts w:cs="Times New Roman"/>
          <w:sz w:val="28"/>
          <w:szCs w:val="28"/>
        </w:rPr>
        <w:t xml:space="preserve">The volume of distribution is about 0.7 L / Kg, and </w:t>
      </w:r>
      <w:r w:rsidRPr="00B72107">
        <w:rPr>
          <w:rFonts w:cs="Times New Roman"/>
          <w:color w:val="FF0000"/>
          <w:sz w:val="28"/>
          <w:szCs w:val="28"/>
        </w:rPr>
        <w:t xml:space="preserve">&lt;GENERIC NAME&gt; </w:t>
      </w:r>
      <w:r w:rsidRPr="00B72107">
        <w:rPr>
          <w:rFonts w:cs="Times New Roman"/>
          <w:sz w:val="28"/>
          <w:szCs w:val="28"/>
        </w:rPr>
        <w:t xml:space="preserve">is </w:t>
      </w:r>
      <w:r w:rsidRPr="00B72107">
        <w:rPr>
          <w:rFonts w:cs="Times New Roman"/>
          <w:i/>
          <w:sz w:val="28"/>
          <w:szCs w:val="28"/>
        </w:rPr>
        <w:t xml:space="preserve">ca </w:t>
      </w:r>
      <w:r w:rsidRPr="00B72107">
        <w:rPr>
          <w:rFonts w:cs="Times New Roman"/>
          <w:sz w:val="28"/>
          <w:szCs w:val="28"/>
        </w:rPr>
        <w:t>80 % bound to plasma proteins, predominantly serum albumin.</w:t>
      </w:r>
    </w:p>
    <w:p w14:paraId="543DD8E0" w14:textId="77777777" w:rsidR="003614E3" w:rsidRPr="007C5888" w:rsidRDefault="00000000" w:rsidP="00E66A00">
      <w:pPr>
        <w:ind w:left="720"/>
        <w:rPr>
          <w:sz w:val="28"/>
          <w:szCs w:val="28"/>
        </w:rPr>
      </w:pPr>
      <w:r w:rsidRPr="007C5888">
        <w:rPr>
          <w:color w:val="FF0000"/>
          <w:sz w:val="28"/>
          <w:szCs w:val="28"/>
        </w:rPr>
        <w:lastRenderedPageBreak/>
        <w:t xml:space="preserve">&lt;GENERIC NAME&gt; </w:t>
      </w:r>
      <w:r w:rsidRPr="007C5888">
        <w:rPr>
          <w:sz w:val="28"/>
          <w:szCs w:val="28"/>
        </w:rPr>
        <w:t xml:space="preserve">crosses the placenta, and may be excreted in breast milk. There is selective deposition of </w:t>
      </w:r>
      <w:r w:rsidRPr="007C5888">
        <w:rPr>
          <w:color w:val="FF0000"/>
          <w:sz w:val="28"/>
          <w:szCs w:val="28"/>
        </w:rPr>
        <w:t xml:space="preserve">&lt;GENERIC NAME&gt; </w:t>
      </w:r>
      <w:r w:rsidRPr="007C5888">
        <w:rPr>
          <w:sz w:val="28"/>
          <w:szCs w:val="28"/>
        </w:rPr>
        <w:t>in newly formed keratin of hair, skin, and nails, which gradually moves to the surface of these appendages.</w:t>
      </w:r>
    </w:p>
    <w:p w14:paraId="1C08A2CA" w14:textId="77777777" w:rsidR="00E66A00" w:rsidRDefault="00000000" w:rsidP="00B72107">
      <w:pPr>
        <w:spacing w:line="264" w:lineRule="auto"/>
        <w:rPr>
          <w:iCs/>
          <w:sz w:val="28"/>
          <w:szCs w:val="28"/>
          <w:u w:val="single"/>
        </w:rPr>
      </w:pPr>
      <w:r w:rsidRPr="00E66A00">
        <w:rPr>
          <w:iCs/>
          <w:sz w:val="28"/>
          <w:szCs w:val="28"/>
          <w:u w:val="single"/>
        </w:rPr>
        <w:t>Metabolism:</w:t>
      </w:r>
    </w:p>
    <w:p w14:paraId="55F6EE57" w14:textId="46BB5715" w:rsidR="003614E3" w:rsidRPr="00E66A00" w:rsidRDefault="00000000" w:rsidP="00E66A00">
      <w:pPr>
        <w:ind w:left="709"/>
        <w:rPr>
          <w:iCs/>
          <w:sz w:val="28"/>
          <w:szCs w:val="28"/>
          <w:u w:val="single"/>
        </w:rPr>
      </w:pPr>
      <w:r w:rsidRPr="007C5888">
        <w:rPr>
          <w:color w:val="FF0000"/>
          <w:sz w:val="28"/>
          <w:szCs w:val="28"/>
        </w:rPr>
        <w:t xml:space="preserve">&lt;GENERIC NAME&gt; </w:t>
      </w:r>
      <w:r w:rsidRPr="007C5888">
        <w:rPr>
          <w:sz w:val="28"/>
          <w:szCs w:val="28"/>
        </w:rPr>
        <w:t>undergoes metabolism to inactive metabolites, principally 6- desmethylgriseofulvin, or its glucuronide conjugate.</w:t>
      </w:r>
    </w:p>
    <w:p w14:paraId="7D225180" w14:textId="77777777" w:rsidR="003614E3" w:rsidRPr="00E66A00" w:rsidRDefault="00000000" w:rsidP="00E66A00">
      <w:pPr>
        <w:spacing w:line="264" w:lineRule="auto"/>
        <w:ind w:left="0" w:firstLine="709"/>
        <w:rPr>
          <w:iCs/>
          <w:sz w:val="28"/>
          <w:szCs w:val="28"/>
          <w:u w:val="single"/>
        </w:rPr>
      </w:pPr>
      <w:r w:rsidRPr="00E66A00">
        <w:rPr>
          <w:iCs/>
          <w:sz w:val="28"/>
          <w:szCs w:val="28"/>
          <w:u w:val="single"/>
        </w:rPr>
        <w:t>Excretion:</w:t>
      </w:r>
    </w:p>
    <w:p w14:paraId="095CAD4E" w14:textId="77777777" w:rsidR="00E66A00" w:rsidRDefault="00000000" w:rsidP="00E66A00">
      <w:pPr>
        <w:ind w:left="720"/>
        <w:rPr>
          <w:sz w:val="28"/>
          <w:szCs w:val="28"/>
        </w:rPr>
      </w:pPr>
      <w:r w:rsidRPr="007C5888">
        <w:rPr>
          <w:sz w:val="28"/>
          <w:szCs w:val="28"/>
        </w:rPr>
        <w:t xml:space="preserve">The terminal plasma half life ranges from 9.5-21 hours, with considerable intersubject variability. The majority of the dose, as 6-desmethylgriseofulvin or the glucuronide conjugate, and other metabolites is excreted in the urine, with less than 1% administered dose beinge excreted as unchanged </w:t>
      </w:r>
      <w:r w:rsidRPr="007C5888">
        <w:rPr>
          <w:color w:val="FF0000"/>
          <w:sz w:val="28"/>
          <w:szCs w:val="28"/>
        </w:rPr>
        <w:t>&lt;GENERIC NAME&gt;</w:t>
      </w:r>
      <w:r w:rsidRPr="007C5888">
        <w:rPr>
          <w:sz w:val="28"/>
          <w:szCs w:val="28"/>
        </w:rPr>
        <w:t>. The remainder of the dose, principally as metabolites, is excreted in bile and faeces.</w:t>
      </w:r>
    </w:p>
    <w:p w14:paraId="6B594922" w14:textId="77777777" w:rsidR="00B72107" w:rsidRDefault="00000000" w:rsidP="00B72107">
      <w:pPr>
        <w:ind w:left="720"/>
        <w:rPr>
          <w:sz w:val="28"/>
          <w:szCs w:val="28"/>
        </w:rPr>
      </w:pPr>
      <w:r w:rsidRPr="007C5888">
        <w:rPr>
          <w:sz w:val="28"/>
          <w:szCs w:val="28"/>
        </w:rPr>
        <w:t>Renal insufficiency does not lead to accumulation.</w:t>
      </w:r>
    </w:p>
    <w:p w14:paraId="41106112" w14:textId="77777777" w:rsidR="00B72107" w:rsidRDefault="00000000" w:rsidP="00B72107">
      <w:pPr>
        <w:pStyle w:val="ListParagraph"/>
        <w:numPr>
          <w:ilvl w:val="1"/>
          <w:numId w:val="5"/>
        </w:numPr>
        <w:rPr>
          <w:b/>
          <w:bCs/>
          <w:sz w:val="28"/>
          <w:szCs w:val="28"/>
        </w:rPr>
      </w:pPr>
      <w:r w:rsidRPr="00B72107">
        <w:rPr>
          <w:b/>
          <w:bCs/>
          <w:sz w:val="28"/>
          <w:szCs w:val="28"/>
        </w:rPr>
        <w:t>Preclinical safety data</w:t>
      </w:r>
    </w:p>
    <w:p w14:paraId="740305A7" w14:textId="635EA5ED" w:rsidR="003614E3" w:rsidRPr="00B72107" w:rsidRDefault="00000000" w:rsidP="00B72107">
      <w:pPr>
        <w:pStyle w:val="ListParagraph"/>
        <w:ind w:left="792"/>
        <w:rPr>
          <w:b/>
          <w:bCs/>
          <w:sz w:val="28"/>
          <w:szCs w:val="28"/>
        </w:rPr>
      </w:pPr>
      <w:r w:rsidRPr="00B72107">
        <w:rPr>
          <w:bCs/>
          <w:color w:val="FF0000"/>
          <w:sz w:val="28"/>
          <w:szCs w:val="28"/>
        </w:rPr>
        <w:t xml:space="preserve">&lt;GENERIC NAME&gt; </w:t>
      </w:r>
      <w:r w:rsidRPr="00B72107">
        <w:rPr>
          <w:bCs/>
          <w:sz w:val="28"/>
          <w:szCs w:val="28"/>
        </w:rPr>
        <w:t xml:space="preserve">can induce aneuploidy and meiotic delay in mouse oocytes following oral administration of high doses, i.e. 250mg/kg or greater. In addition, </w:t>
      </w:r>
      <w:r w:rsidRPr="00B72107">
        <w:rPr>
          <w:bCs/>
          <w:color w:val="FF0000"/>
          <w:sz w:val="28"/>
          <w:szCs w:val="28"/>
        </w:rPr>
        <w:t xml:space="preserve">&lt;GENERIC NAME&gt; </w:t>
      </w:r>
      <w:r w:rsidRPr="00B72107">
        <w:rPr>
          <w:bCs/>
          <w:sz w:val="28"/>
          <w:szCs w:val="28"/>
        </w:rPr>
        <w:t>caused increases in numerical and structural chromosome aberrations in mouse spermatocytes at doses of 500mg/kg and above. Aneuploidy was observed at doses of 1500mg/kg.</w:t>
      </w:r>
    </w:p>
    <w:p w14:paraId="32FCC776" w14:textId="77777777" w:rsidR="003614E3" w:rsidRPr="007C5888" w:rsidRDefault="00000000" w:rsidP="00E66A00">
      <w:pPr>
        <w:ind w:left="720"/>
        <w:rPr>
          <w:sz w:val="28"/>
          <w:szCs w:val="28"/>
        </w:rPr>
      </w:pPr>
      <w:r w:rsidRPr="007C5888">
        <w:rPr>
          <w:color w:val="FF0000"/>
          <w:sz w:val="28"/>
          <w:szCs w:val="28"/>
        </w:rPr>
        <w:t xml:space="preserve">&lt;GENERIC NAME&gt; </w:t>
      </w:r>
      <w:r w:rsidRPr="007C5888">
        <w:rPr>
          <w:sz w:val="28"/>
          <w:szCs w:val="28"/>
        </w:rPr>
        <w:t>administered to rats and mice during pregnancy has been associated with foetotoxicity and foetal malformations. Long-</w:t>
      </w:r>
      <w:r w:rsidRPr="007C5888">
        <w:rPr>
          <w:sz w:val="28"/>
          <w:szCs w:val="28"/>
        </w:rPr>
        <w:lastRenderedPageBreak/>
        <w:t xml:space="preserve">term administration of high doses of </w:t>
      </w:r>
      <w:r w:rsidRPr="007C5888">
        <w:rPr>
          <w:color w:val="FF0000"/>
          <w:sz w:val="28"/>
          <w:szCs w:val="28"/>
        </w:rPr>
        <w:t xml:space="preserve">&lt;GENERIC NAME&gt; </w:t>
      </w:r>
      <w:r w:rsidRPr="007C5888">
        <w:rPr>
          <w:sz w:val="28"/>
          <w:szCs w:val="28"/>
        </w:rPr>
        <w:t>with food has been reported to induce hepatomas in mice and thyroid tumours in rats but not hamsters (see contraindications). The effects in mice may be due to a species specific effect on porphyrin metabolism.</w:t>
      </w:r>
    </w:p>
    <w:p w14:paraId="07E89C7C" w14:textId="77777777" w:rsidR="00E66A00" w:rsidRDefault="00000000" w:rsidP="00E66A00">
      <w:pPr>
        <w:pStyle w:val="Heading1"/>
        <w:numPr>
          <w:ilvl w:val="0"/>
          <w:numId w:val="5"/>
        </w:numPr>
        <w:tabs>
          <w:tab w:val="center" w:pos="3120"/>
        </w:tabs>
        <w:spacing w:after="267"/>
        <w:rPr>
          <w:szCs w:val="28"/>
        </w:rPr>
      </w:pPr>
      <w:r w:rsidRPr="007C5888">
        <w:rPr>
          <w:szCs w:val="28"/>
        </w:rPr>
        <w:t>PHARMACEUTICAL PARTICULARS</w:t>
      </w:r>
    </w:p>
    <w:p w14:paraId="1A0C5C91" w14:textId="77777777" w:rsidR="00E66A00" w:rsidRDefault="00000000" w:rsidP="00E66A00">
      <w:pPr>
        <w:pStyle w:val="Heading1"/>
        <w:numPr>
          <w:ilvl w:val="1"/>
          <w:numId w:val="5"/>
        </w:numPr>
        <w:tabs>
          <w:tab w:val="center" w:pos="3120"/>
        </w:tabs>
        <w:spacing w:after="267"/>
        <w:rPr>
          <w:szCs w:val="28"/>
        </w:rPr>
      </w:pPr>
      <w:r w:rsidRPr="00E66A00">
        <w:rPr>
          <w:szCs w:val="28"/>
        </w:rPr>
        <w:t>List of excipients</w:t>
      </w:r>
    </w:p>
    <w:p w14:paraId="063102D7" w14:textId="77777777" w:rsidR="00E66A00" w:rsidRDefault="00000000" w:rsidP="00E66A00">
      <w:pPr>
        <w:pStyle w:val="Heading1"/>
        <w:tabs>
          <w:tab w:val="center" w:pos="3120"/>
        </w:tabs>
        <w:spacing w:after="240" w:line="360" w:lineRule="auto"/>
        <w:ind w:left="794" w:firstLine="0"/>
        <w:rPr>
          <w:b w:val="0"/>
          <w:bCs/>
          <w:color w:val="FF0000"/>
          <w:szCs w:val="28"/>
        </w:rPr>
      </w:pPr>
      <w:r w:rsidRPr="00E66A00">
        <w:rPr>
          <w:b w:val="0"/>
          <w:bCs/>
          <w:color w:val="FF0000"/>
          <w:szCs w:val="28"/>
        </w:rPr>
        <w:t>&lt;REGARDING THE APPROVAL&gt;</w:t>
      </w:r>
    </w:p>
    <w:p w14:paraId="37AA2C73" w14:textId="77777777" w:rsidR="00E66A00" w:rsidRPr="00E66A00" w:rsidRDefault="00000000" w:rsidP="00E66A00">
      <w:pPr>
        <w:pStyle w:val="Heading1"/>
        <w:numPr>
          <w:ilvl w:val="1"/>
          <w:numId w:val="5"/>
        </w:numPr>
        <w:tabs>
          <w:tab w:val="center" w:pos="3120"/>
        </w:tabs>
        <w:spacing w:after="240" w:line="360" w:lineRule="auto"/>
        <w:rPr>
          <w:b w:val="0"/>
          <w:bCs/>
          <w:szCs w:val="28"/>
        </w:rPr>
      </w:pPr>
      <w:r w:rsidRPr="007C5888">
        <w:rPr>
          <w:szCs w:val="28"/>
        </w:rPr>
        <w:t>Incompatibilities</w:t>
      </w:r>
    </w:p>
    <w:p w14:paraId="3CD2AC82" w14:textId="77777777" w:rsidR="00E66A00" w:rsidRPr="00E66A00" w:rsidRDefault="00000000" w:rsidP="00E66A00">
      <w:pPr>
        <w:pStyle w:val="Heading1"/>
        <w:tabs>
          <w:tab w:val="center" w:pos="3120"/>
        </w:tabs>
        <w:spacing w:after="240" w:line="360" w:lineRule="auto"/>
        <w:ind w:left="794" w:firstLine="0"/>
        <w:rPr>
          <w:b w:val="0"/>
          <w:bCs/>
          <w:color w:val="FF0000"/>
          <w:szCs w:val="28"/>
        </w:rPr>
      </w:pPr>
      <w:r w:rsidRPr="00E66A00">
        <w:rPr>
          <w:b w:val="0"/>
          <w:bCs/>
          <w:color w:val="FF0000"/>
          <w:szCs w:val="28"/>
        </w:rPr>
        <w:t>&lt;REGARDING THE APPROVAL&gt;</w:t>
      </w:r>
    </w:p>
    <w:p w14:paraId="04FDF996" w14:textId="77777777" w:rsidR="00E66A00" w:rsidRPr="00E66A00" w:rsidRDefault="00000000" w:rsidP="00E66A00">
      <w:pPr>
        <w:pStyle w:val="Heading1"/>
        <w:numPr>
          <w:ilvl w:val="1"/>
          <w:numId w:val="5"/>
        </w:numPr>
        <w:tabs>
          <w:tab w:val="center" w:pos="3120"/>
        </w:tabs>
        <w:spacing w:after="240" w:line="360" w:lineRule="auto"/>
        <w:rPr>
          <w:b w:val="0"/>
          <w:bCs/>
          <w:szCs w:val="28"/>
        </w:rPr>
      </w:pPr>
      <w:r w:rsidRPr="007C5888">
        <w:rPr>
          <w:szCs w:val="28"/>
        </w:rPr>
        <w:t>Shelf life</w:t>
      </w:r>
    </w:p>
    <w:p w14:paraId="7F62C589" w14:textId="45D484F8" w:rsidR="003614E3" w:rsidRPr="00E66A00" w:rsidRDefault="00000000" w:rsidP="00E66A00">
      <w:pPr>
        <w:pStyle w:val="Heading1"/>
        <w:tabs>
          <w:tab w:val="center" w:pos="3120"/>
        </w:tabs>
        <w:spacing w:after="240" w:line="360" w:lineRule="auto"/>
        <w:ind w:left="794" w:firstLine="0"/>
        <w:rPr>
          <w:b w:val="0"/>
          <w:bCs/>
          <w:szCs w:val="28"/>
        </w:rPr>
      </w:pPr>
      <w:r w:rsidRPr="00E66A00">
        <w:rPr>
          <w:b w:val="0"/>
          <w:bCs/>
          <w:color w:val="FF0000"/>
          <w:szCs w:val="28"/>
        </w:rPr>
        <w:t>&lt;REGARDING THE APPROVAL&gt;</w:t>
      </w:r>
    </w:p>
    <w:p w14:paraId="0835C56F" w14:textId="77777777" w:rsidR="00E66A00" w:rsidRPr="00E66A00" w:rsidRDefault="00000000" w:rsidP="00E66A00">
      <w:pPr>
        <w:pStyle w:val="ListParagraph"/>
        <w:numPr>
          <w:ilvl w:val="1"/>
          <w:numId w:val="5"/>
        </w:numPr>
        <w:tabs>
          <w:tab w:val="center" w:pos="2310"/>
        </w:tabs>
        <w:ind w:left="788" w:hanging="431"/>
        <w:contextualSpacing w:val="0"/>
        <w:jc w:val="left"/>
        <w:rPr>
          <w:sz w:val="28"/>
          <w:szCs w:val="28"/>
        </w:rPr>
      </w:pPr>
      <w:r w:rsidRPr="00E66A00">
        <w:rPr>
          <w:b/>
          <w:sz w:val="28"/>
          <w:szCs w:val="28"/>
        </w:rPr>
        <w:t>Special precautions for storage</w:t>
      </w:r>
    </w:p>
    <w:p w14:paraId="3FBB7BB7" w14:textId="77777777" w:rsidR="00E66A00" w:rsidRDefault="00000000" w:rsidP="00E66A00">
      <w:pPr>
        <w:pStyle w:val="ListParagraph"/>
        <w:tabs>
          <w:tab w:val="center" w:pos="2310"/>
        </w:tabs>
        <w:ind w:left="794"/>
        <w:contextualSpacing w:val="0"/>
        <w:jc w:val="left"/>
        <w:rPr>
          <w:color w:val="FF0000"/>
          <w:sz w:val="28"/>
          <w:szCs w:val="28"/>
        </w:rPr>
      </w:pPr>
      <w:r w:rsidRPr="00E66A00">
        <w:rPr>
          <w:color w:val="FF0000"/>
          <w:sz w:val="28"/>
          <w:szCs w:val="28"/>
        </w:rPr>
        <w:t>&lt;REGARDING THE APPROVAL&gt;</w:t>
      </w:r>
    </w:p>
    <w:p w14:paraId="3E51C1C4" w14:textId="77777777" w:rsidR="00E66A00" w:rsidRPr="00E66A00" w:rsidRDefault="00000000" w:rsidP="00E66A00">
      <w:pPr>
        <w:pStyle w:val="ListParagraph"/>
        <w:numPr>
          <w:ilvl w:val="1"/>
          <w:numId w:val="5"/>
        </w:numPr>
        <w:tabs>
          <w:tab w:val="center" w:pos="2310"/>
        </w:tabs>
        <w:ind w:left="788" w:hanging="431"/>
        <w:contextualSpacing w:val="0"/>
        <w:jc w:val="left"/>
        <w:rPr>
          <w:sz w:val="28"/>
          <w:szCs w:val="28"/>
        </w:rPr>
      </w:pPr>
      <w:r w:rsidRPr="007C5888">
        <w:rPr>
          <w:rFonts w:cs="Times New Roman"/>
          <w:b/>
          <w:sz w:val="28"/>
          <w:szCs w:val="28"/>
        </w:rPr>
        <w:t>Nature and contents of container</w:t>
      </w:r>
    </w:p>
    <w:p w14:paraId="23DD43B7" w14:textId="77777777" w:rsidR="00E66A00" w:rsidRDefault="00000000" w:rsidP="00E66A00">
      <w:pPr>
        <w:pStyle w:val="ListParagraph"/>
        <w:tabs>
          <w:tab w:val="center" w:pos="2310"/>
        </w:tabs>
        <w:ind w:left="794"/>
        <w:contextualSpacing w:val="0"/>
        <w:jc w:val="left"/>
        <w:rPr>
          <w:color w:val="FF0000"/>
          <w:sz w:val="28"/>
          <w:szCs w:val="28"/>
        </w:rPr>
      </w:pPr>
      <w:r w:rsidRPr="00E66A00">
        <w:rPr>
          <w:color w:val="FF0000"/>
          <w:sz w:val="28"/>
          <w:szCs w:val="28"/>
        </w:rPr>
        <w:t>&lt;REGARDING THE APPROVAL&gt;</w:t>
      </w:r>
    </w:p>
    <w:p w14:paraId="61A1936E" w14:textId="77777777" w:rsidR="00E66A00" w:rsidRPr="00E66A00" w:rsidRDefault="00000000" w:rsidP="00E66A00">
      <w:pPr>
        <w:pStyle w:val="ListParagraph"/>
        <w:numPr>
          <w:ilvl w:val="1"/>
          <w:numId w:val="5"/>
        </w:numPr>
        <w:tabs>
          <w:tab w:val="center" w:pos="2310"/>
        </w:tabs>
        <w:ind w:left="788" w:hanging="431"/>
        <w:contextualSpacing w:val="0"/>
        <w:jc w:val="left"/>
        <w:rPr>
          <w:sz w:val="28"/>
          <w:szCs w:val="28"/>
        </w:rPr>
      </w:pPr>
      <w:r w:rsidRPr="007C5888">
        <w:rPr>
          <w:rFonts w:cs="Times New Roman"/>
          <w:b/>
          <w:sz w:val="28"/>
          <w:szCs w:val="28"/>
        </w:rPr>
        <w:t>Special precautions for disposal</w:t>
      </w:r>
    </w:p>
    <w:p w14:paraId="7666554E" w14:textId="21D0C851" w:rsidR="003614E3" w:rsidRPr="00E66A00" w:rsidRDefault="00000000" w:rsidP="00E66A00">
      <w:pPr>
        <w:pStyle w:val="ListParagraph"/>
        <w:tabs>
          <w:tab w:val="center" w:pos="2310"/>
        </w:tabs>
        <w:ind w:left="794"/>
        <w:contextualSpacing w:val="0"/>
        <w:jc w:val="left"/>
        <w:rPr>
          <w:sz w:val="28"/>
          <w:szCs w:val="28"/>
        </w:rPr>
      </w:pPr>
      <w:r w:rsidRPr="00E66A00">
        <w:rPr>
          <w:color w:val="FF0000"/>
          <w:sz w:val="28"/>
          <w:szCs w:val="28"/>
        </w:rPr>
        <w:t>&lt;REGARDING THE APPROVAL&gt;</w:t>
      </w:r>
    </w:p>
    <w:p w14:paraId="34392579" w14:textId="77777777" w:rsidR="00E66A00" w:rsidRPr="00E66A00" w:rsidRDefault="00000000" w:rsidP="00E66A00">
      <w:pPr>
        <w:pStyle w:val="ListParagraph"/>
        <w:numPr>
          <w:ilvl w:val="0"/>
          <w:numId w:val="5"/>
        </w:numPr>
        <w:spacing w:line="264" w:lineRule="auto"/>
        <w:ind w:left="357" w:hanging="357"/>
        <w:contextualSpacing w:val="0"/>
        <w:jc w:val="left"/>
        <w:rPr>
          <w:sz w:val="28"/>
          <w:szCs w:val="28"/>
        </w:rPr>
      </w:pPr>
      <w:r w:rsidRPr="00E66A00">
        <w:rPr>
          <w:b/>
          <w:sz w:val="28"/>
          <w:szCs w:val="28"/>
        </w:rPr>
        <w:t>MARKETING AUTHORISATION HOLDER</w:t>
      </w:r>
    </w:p>
    <w:p w14:paraId="0A47D8D6" w14:textId="78DC3DBB" w:rsidR="003614E3" w:rsidRPr="00E66A00" w:rsidRDefault="00000000" w:rsidP="00E66A00">
      <w:pPr>
        <w:pStyle w:val="ListParagraph"/>
        <w:spacing w:line="264" w:lineRule="auto"/>
        <w:ind w:left="357"/>
        <w:contextualSpacing w:val="0"/>
        <w:jc w:val="left"/>
        <w:rPr>
          <w:sz w:val="28"/>
          <w:szCs w:val="28"/>
        </w:rPr>
      </w:pPr>
      <w:r w:rsidRPr="00E66A00">
        <w:rPr>
          <w:color w:val="FF0000"/>
          <w:sz w:val="28"/>
          <w:szCs w:val="28"/>
        </w:rPr>
        <w:t>&lt;REGARDING THE APPROVAL&gt;</w:t>
      </w:r>
    </w:p>
    <w:p w14:paraId="641DDD1D" w14:textId="77777777" w:rsidR="00E66A00" w:rsidRPr="00E66A00" w:rsidRDefault="00000000" w:rsidP="00E66A00">
      <w:pPr>
        <w:pStyle w:val="ListParagraph"/>
        <w:numPr>
          <w:ilvl w:val="0"/>
          <w:numId w:val="5"/>
        </w:numPr>
        <w:spacing w:line="264" w:lineRule="auto"/>
        <w:ind w:left="357" w:hanging="357"/>
        <w:contextualSpacing w:val="0"/>
        <w:jc w:val="left"/>
        <w:rPr>
          <w:sz w:val="28"/>
          <w:szCs w:val="28"/>
        </w:rPr>
      </w:pPr>
      <w:r w:rsidRPr="00E66A00">
        <w:rPr>
          <w:b/>
          <w:sz w:val="28"/>
          <w:szCs w:val="28"/>
        </w:rPr>
        <w:lastRenderedPageBreak/>
        <w:t>MARKETING AUTHORISATION NUMBER(S)</w:t>
      </w:r>
    </w:p>
    <w:p w14:paraId="6C9C02B9" w14:textId="77777777" w:rsidR="00E66A00" w:rsidRDefault="00000000" w:rsidP="00E66A00">
      <w:pPr>
        <w:pStyle w:val="ListParagraph"/>
        <w:spacing w:line="264" w:lineRule="auto"/>
        <w:ind w:left="357"/>
        <w:contextualSpacing w:val="0"/>
        <w:jc w:val="left"/>
        <w:rPr>
          <w:color w:val="FF0000"/>
          <w:sz w:val="28"/>
          <w:szCs w:val="28"/>
        </w:rPr>
      </w:pPr>
      <w:r w:rsidRPr="00E66A00">
        <w:rPr>
          <w:color w:val="FF0000"/>
          <w:sz w:val="28"/>
          <w:szCs w:val="28"/>
        </w:rPr>
        <w:t>&lt;REGARDING THE APPROVAL&gt;</w:t>
      </w:r>
    </w:p>
    <w:p w14:paraId="5B1A4E25" w14:textId="77777777" w:rsidR="00E66A00" w:rsidRPr="00E66A00" w:rsidRDefault="00000000" w:rsidP="00E66A00">
      <w:pPr>
        <w:pStyle w:val="ListParagraph"/>
        <w:numPr>
          <w:ilvl w:val="0"/>
          <w:numId w:val="5"/>
        </w:numPr>
        <w:spacing w:line="264" w:lineRule="auto"/>
        <w:ind w:left="357" w:hanging="357"/>
        <w:contextualSpacing w:val="0"/>
        <w:jc w:val="left"/>
        <w:rPr>
          <w:sz w:val="28"/>
          <w:szCs w:val="28"/>
        </w:rPr>
      </w:pPr>
      <w:r w:rsidRPr="007C5888">
        <w:rPr>
          <w:rFonts w:cs="Times New Roman"/>
          <w:b/>
          <w:sz w:val="28"/>
          <w:szCs w:val="28"/>
        </w:rPr>
        <w:t>DATE OF FIRST AUTHORISATION/RENEWAL OF THE AUTHORISATION</w:t>
      </w:r>
    </w:p>
    <w:p w14:paraId="5555951F" w14:textId="77777777" w:rsidR="00E66A00" w:rsidRDefault="00000000" w:rsidP="00E66A00">
      <w:pPr>
        <w:pStyle w:val="ListParagraph"/>
        <w:spacing w:line="264" w:lineRule="auto"/>
        <w:ind w:left="357"/>
        <w:contextualSpacing w:val="0"/>
        <w:jc w:val="left"/>
        <w:rPr>
          <w:color w:val="FF0000"/>
          <w:sz w:val="28"/>
          <w:szCs w:val="28"/>
        </w:rPr>
      </w:pPr>
      <w:r w:rsidRPr="00E66A00">
        <w:rPr>
          <w:color w:val="FF0000"/>
          <w:sz w:val="28"/>
          <w:szCs w:val="28"/>
        </w:rPr>
        <w:t>&lt;REGARDING THE APPROVAL&gt;</w:t>
      </w:r>
    </w:p>
    <w:p w14:paraId="4A21633C" w14:textId="77777777" w:rsidR="00E66A00" w:rsidRPr="00E66A00" w:rsidRDefault="00000000" w:rsidP="00E66A00">
      <w:pPr>
        <w:pStyle w:val="ListParagraph"/>
        <w:numPr>
          <w:ilvl w:val="0"/>
          <w:numId w:val="5"/>
        </w:numPr>
        <w:spacing w:line="264" w:lineRule="auto"/>
        <w:ind w:left="357" w:hanging="357"/>
        <w:contextualSpacing w:val="0"/>
        <w:jc w:val="left"/>
        <w:rPr>
          <w:b/>
          <w:bCs/>
          <w:sz w:val="28"/>
          <w:szCs w:val="28"/>
        </w:rPr>
      </w:pPr>
      <w:r w:rsidRPr="00E66A00">
        <w:rPr>
          <w:rFonts w:cs="Times New Roman"/>
          <w:b/>
          <w:bCs/>
          <w:sz w:val="28"/>
          <w:szCs w:val="28"/>
        </w:rPr>
        <w:t xml:space="preserve">DATE OF REVISION OF THE TEXT </w:t>
      </w:r>
      <w:r w:rsidRPr="00E66A00">
        <w:rPr>
          <w:rFonts w:cs="Times New Roman"/>
          <w:b/>
          <w:bCs/>
          <w:sz w:val="28"/>
          <w:szCs w:val="28"/>
          <w:vertAlign w:val="superscript"/>
        </w:rPr>
        <w:footnoteReference w:id="1"/>
      </w:r>
    </w:p>
    <w:p w14:paraId="0EE82B27" w14:textId="759AAE66" w:rsidR="003614E3" w:rsidRPr="00E66A00" w:rsidRDefault="00000000" w:rsidP="00E66A00">
      <w:pPr>
        <w:pStyle w:val="ListParagraph"/>
        <w:spacing w:line="264" w:lineRule="auto"/>
        <w:ind w:left="360"/>
        <w:contextualSpacing w:val="0"/>
        <w:jc w:val="left"/>
        <w:rPr>
          <w:b/>
          <w:bCs/>
          <w:sz w:val="28"/>
          <w:szCs w:val="28"/>
        </w:rPr>
      </w:pPr>
      <w:r w:rsidRPr="00E66A00">
        <w:rPr>
          <w:color w:val="FF0000"/>
          <w:sz w:val="28"/>
          <w:szCs w:val="28"/>
        </w:rPr>
        <w:t>&lt;REGARDING THE APPROVAL&gt;</w:t>
      </w:r>
    </w:p>
    <w:sectPr w:rsidR="003614E3" w:rsidRPr="00E66A00" w:rsidSect="007C5888">
      <w:footnotePr>
        <w:numRestart w:val="eachPage"/>
      </w:footnotePr>
      <w:pgSz w:w="11920" w:h="16840"/>
      <w:pgMar w:top="1985" w:right="1418" w:bottom="1985"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A82B" w14:textId="77777777" w:rsidR="0012616B" w:rsidRDefault="0012616B">
      <w:pPr>
        <w:spacing w:after="0" w:line="240" w:lineRule="auto"/>
      </w:pPr>
      <w:r>
        <w:separator/>
      </w:r>
    </w:p>
  </w:endnote>
  <w:endnote w:type="continuationSeparator" w:id="0">
    <w:p w14:paraId="506D71BD" w14:textId="77777777" w:rsidR="0012616B" w:rsidRDefault="0012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EFB1E" w14:textId="77777777" w:rsidR="0012616B" w:rsidRDefault="0012616B">
      <w:pPr>
        <w:spacing w:after="0" w:line="259" w:lineRule="auto"/>
        <w:ind w:left="735"/>
        <w:jc w:val="left"/>
      </w:pPr>
      <w:r>
        <w:separator/>
      </w:r>
    </w:p>
  </w:footnote>
  <w:footnote w:type="continuationSeparator" w:id="0">
    <w:p w14:paraId="31CC03B6" w14:textId="77777777" w:rsidR="0012616B" w:rsidRDefault="0012616B">
      <w:pPr>
        <w:spacing w:after="0" w:line="259" w:lineRule="auto"/>
        <w:ind w:left="735"/>
        <w:jc w:val="left"/>
      </w:pPr>
      <w:r>
        <w:continuationSeparator/>
      </w:r>
    </w:p>
  </w:footnote>
  <w:footnote w:id="1">
    <w:p w14:paraId="3B446FF5" w14:textId="77777777" w:rsidR="003614E3" w:rsidRDefault="00000000" w:rsidP="00E66A00">
      <w:pPr>
        <w:pStyle w:val="footnotedescription"/>
        <w:ind w:left="0"/>
      </w:pPr>
      <w:r>
        <w:rPr>
          <w:rStyle w:val="footnotemark"/>
        </w:rPr>
        <w:footnoteRef/>
      </w:r>
      <w:r>
        <w:t xml:space="preserve"> Ref: Griseofulvin, MHRA, 30/11/2011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BF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38A020E"/>
    <w:multiLevelType w:val="hybridMultilevel"/>
    <w:tmpl w:val="1F8210B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10DD20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14582C"/>
    <w:multiLevelType w:val="hybridMultilevel"/>
    <w:tmpl w:val="93D61BDA"/>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52C7827"/>
    <w:multiLevelType w:val="hybridMultilevel"/>
    <w:tmpl w:val="5F768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02361"/>
    <w:multiLevelType w:val="hybridMultilevel"/>
    <w:tmpl w:val="17EE6A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2C9225A1"/>
    <w:multiLevelType w:val="hybridMultilevel"/>
    <w:tmpl w:val="BADE509C"/>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3C40341A"/>
    <w:multiLevelType w:val="hybridMultilevel"/>
    <w:tmpl w:val="0DC0FC64"/>
    <w:lvl w:ilvl="0" w:tplc="162CEE98">
      <w:start w:val="7"/>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D8193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683AC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1B05D0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5A66A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046657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D36BDD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682B8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04EE1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DD9680D"/>
    <w:multiLevelType w:val="hybridMultilevel"/>
    <w:tmpl w:val="F72E57D4"/>
    <w:lvl w:ilvl="0" w:tplc="B8D2D85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0F35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6C1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C489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28FA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831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0C4E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2F79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AC60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B26C85"/>
    <w:multiLevelType w:val="multilevel"/>
    <w:tmpl w:val="6AB642DC"/>
    <w:lvl w:ilvl="0">
      <w:start w:val="1"/>
      <w:numFmt w:val="decimal"/>
      <w:lvlText w:val="%1."/>
      <w:lvlJc w:val="left"/>
      <w:pPr>
        <w:ind w:left="360" w:hanging="360"/>
      </w:pPr>
      <w:rPr>
        <w:b/>
        <w:bCs/>
      </w:rPr>
    </w:lvl>
    <w:lvl w:ilvl="1">
      <w:start w:val="1"/>
      <w:numFmt w:val="decimal"/>
      <w:lvlText w:val="%1.%2."/>
      <w:lvlJc w:val="left"/>
      <w:pPr>
        <w:ind w:left="792" w:hanging="432"/>
      </w:pPr>
      <w:rPr>
        <w:b/>
        <w:bCs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A05B2F"/>
    <w:multiLevelType w:val="hybridMultilevel"/>
    <w:tmpl w:val="A50AF6A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41FB0581"/>
    <w:multiLevelType w:val="hybridMultilevel"/>
    <w:tmpl w:val="A7B661A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46C2D2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67382E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247B04"/>
    <w:multiLevelType w:val="multilevel"/>
    <w:tmpl w:val="6AB642DC"/>
    <w:lvl w:ilvl="0">
      <w:start w:val="1"/>
      <w:numFmt w:val="decimal"/>
      <w:lvlText w:val="%1."/>
      <w:lvlJc w:val="left"/>
      <w:pPr>
        <w:ind w:left="360" w:hanging="360"/>
      </w:pPr>
      <w:rPr>
        <w:b/>
        <w:bCs/>
      </w:rPr>
    </w:lvl>
    <w:lvl w:ilvl="1">
      <w:start w:val="1"/>
      <w:numFmt w:val="decimal"/>
      <w:lvlText w:val="%1.%2."/>
      <w:lvlJc w:val="left"/>
      <w:pPr>
        <w:ind w:left="792" w:hanging="432"/>
      </w:pPr>
      <w:rPr>
        <w:b/>
        <w:bCs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3E4571"/>
    <w:multiLevelType w:val="hybridMultilevel"/>
    <w:tmpl w:val="848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C128B"/>
    <w:multiLevelType w:val="hybridMultilevel"/>
    <w:tmpl w:val="0ADCFC0A"/>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16cid:durableId="1025014865">
    <w:abstractNumId w:val="8"/>
  </w:num>
  <w:num w:numId="2" w16cid:durableId="1574315790">
    <w:abstractNumId w:val="7"/>
  </w:num>
  <w:num w:numId="3" w16cid:durableId="844049156">
    <w:abstractNumId w:val="15"/>
  </w:num>
  <w:num w:numId="4" w16cid:durableId="1209608001">
    <w:abstractNumId w:val="4"/>
  </w:num>
  <w:num w:numId="5" w16cid:durableId="939263018">
    <w:abstractNumId w:val="14"/>
  </w:num>
  <w:num w:numId="6" w16cid:durableId="793057644">
    <w:abstractNumId w:val="1"/>
  </w:num>
  <w:num w:numId="7" w16cid:durableId="923881414">
    <w:abstractNumId w:val="5"/>
  </w:num>
  <w:num w:numId="8" w16cid:durableId="2146969834">
    <w:abstractNumId w:val="11"/>
  </w:num>
  <w:num w:numId="9" w16cid:durableId="2008898009">
    <w:abstractNumId w:val="6"/>
  </w:num>
  <w:num w:numId="10" w16cid:durableId="1332026106">
    <w:abstractNumId w:val="3"/>
  </w:num>
  <w:num w:numId="11" w16cid:durableId="1400523059">
    <w:abstractNumId w:val="13"/>
  </w:num>
  <w:num w:numId="12" w16cid:durableId="890387243">
    <w:abstractNumId w:val="2"/>
  </w:num>
  <w:num w:numId="13" w16cid:durableId="1105737172">
    <w:abstractNumId w:val="12"/>
  </w:num>
  <w:num w:numId="14" w16cid:durableId="1317685622">
    <w:abstractNumId w:val="0"/>
  </w:num>
  <w:num w:numId="15" w16cid:durableId="866334751">
    <w:abstractNumId w:val="10"/>
  </w:num>
  <w:num w:numId="16" w16cid:durableId="1243754481">
    <w:abstractNumId w:val="16"/>
  </w:num>
  <w:num w:numId="17" w16cid:durableId="270557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E3"/>
    <w:rsid w:val="0012616B"/>
    <w:rsid w:val="003614E3"/>
    <w:rsid w:val="003C0B33"/>
    <w:rsid w:val="007C5888"/>
    <w:rsid w:val="00800F90"/>
    <w:rsid w:val="00B72107"/>
    <w:rsid w:val="00E66A00"/>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0620698D"/>
  <w15:docId w15:val="{8097A68C-62FA-D74C-BA1D-C878602F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240" w:line="360" w:lineRule="auto"/>
        <w:ind w:left="79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79" w:line="265" w:lineRule="auto"/>
      <w:ind w:left="745" w:hanging="10"/>
      <w:jc w:val="left"/>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39" w:line="265" w:lineRule="auto"/>
      <w:ind w:left="10" w:hanging="10"/>
      <w:jc w:val="left"/>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735"/>
      <w:jc w:val="left"/>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ListParagraph">
    <w:name w:val="List Paragraph"/>
    <w:basedOn w:val="Normal"/>
    <w:uiPriority w:val="34"/>
    <w:qFormat/>
    <w:rsid w:val="007C5888"/>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0</TotalTime>
  <Pages>17</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6912_1_griseofulvin_tablet_smpc_MHRA.docx</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6912_1_griseofulvin_tablet_smpc_MHRA.docx</dc:title>
  <dc:subject/>
  <dc:creator>PIYATIDA PANITSUPAKAMOL</dc:creator>
  <cp:keywords/>
  <cp:lastModifiedBy>PIYATIDA PANITSUPAKAMOL</cp:lastModifiedBy>
  <cp:revision>2</cp:revision>
  <dcterms:created xsi:type="dcterms:W3CDTF">2024-09-05T15:11:00Z</dcterms:created>
  <dcterms:modified xsi:type="dcterms:W3CDTF">2024-09-05T15:11:00Z</dcterms:modified>
</cp:coreProperties>
</file>