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7979F20C" w:rsidR="00227FD4" w:rsidRPr="008F5678" w:rsidRDefault="00000000" w:rsidP="00AF212D">
      <w:pPr>
        <w:pStyle w:val="BodyTextSMPC"/>
      </w:pPr>
      <w:r w:rsidRPr="008F5678">
        <w:t xml:space="preserve">&lt;TRADE NAME&gt; &lt;STRENGTH&gt; </w:t>
      </w:r>
      <w:r w:rsidR="00E37D3E">
        <w:t>S</w:t>
      </w:r>
      <w:r w:rsidR="00175DAF">
        <w:t xml:space="preserve">olution for </w:t>
      </w:r>
      <w:r w:rsidR="00E37D3E">
        <w:t>I</w:t>
      </w:r>
      <w:r w:rsidR="00175DAF">
        <w:t>nfusion</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472ECA3E" w:rsidR="00AF212D" w:rsidRPr="008F5678" w:rsidRDefault="00175DAF" w:rsidP="00AF212D">
      <w:pPr>
        <w:pStyle w:val="BodyTextSMPC"/>
      </w:pPr>
      <w:r>
        <w:t>Each ml contains</w:t>
      </w:r>
      <w:r w:rsidRPr="008F5678">
        <w:t xml:space="preserve"> &lt;STRENGTH&gt; </w:t>
      </w:r>
      <w:r>
        <w:t>w/v of glucose</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520FBA43" w14:textId="18DD1C5B" w:rsidR="000E166A" w:rsidRPr="000E166A" w:rsidRDefault="000E166A" w:rsidP="00AF212D">
      <w:pPr>
        <w:pStyle w:val="BodyTextSMPC"/>
        <w:rPr>
          <w:color w:val="000000" w:themeColor="text1"/>
        </w:rPr>
      </w:pPr>
      <w:r w:rsidRPr="000E166A">
        <w:rPr>
          <w:color w:val="000000" w:themeColor="text1"/>
        </w:rPr>
        <w:t xml:space="preserve">Solution for </w:t>
      </w:r>
      <w:r w:rsidR="00E37D3E">
        <w:rPr>
          <w:color w:val="000000" w:themeColor="text1"/>
        </w:rPr>
        <w:t>I</w:t>
      </w:r>
      <w:r w:rsidRPr="000E166A">
        <w:rPr>
          <w:color w:val="000000" w:themeColor="text1"/>
        </w:rPr>
        <w:t>nfusion</w:t>
      </w:r>
    </w:p>
    <w:p w14:paraId="74CE521D" w14:textId="209D6A9D"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3FF900A3" w14:textId="0E912C69" w:rsidR="000E166A" w:rsidRDefault="000E166A" w:rsidP="000E166A">
      <w:pPr>
        <w:pStyle w:val="BodyTextSMPC"/>
      </w:pPr>
      <w:r>
        <w:t xml:space="preserve">Glucose </w:t>
      </w:r>
      <w:r w:rsidR="0023647B" w:rsidRPr="008F5678">
        <w:t>&lt;STRENGTH&gt;</w:t>
      </w:r>
      <w:r>
        <w:t xml:space="preserve"> is hypertonic and provides a source of calories in a minimal volume of water. Glucose </w:t>
      </w:r>
      <w:r w:rsidR="0023647B" w:rsidRPr="008F5678">
        <w:t>&lt;STRENGTH&gt;</w:t>
      </w:r>
      <w:r>
        <w:t xml:space="preserve"> is frequently used in both adults and children to restore blood glucose concentrations in the treatment of hypoglycaemia resulting from insulin excess or from other causes.</w:t>
      </w:r>
    </w:p>
    <w:p w14:paraId="13EF1B36" w14:textId="21CE9D61" w:rsidR="00177864" w:rsidRPr="008F5678" w:rsidRDefault="000E166A" w:rsidP="000E166A">
      <w:pPr>
        <w:pStyle w:val="BodyTextSMPC"/>
      </w:pPr>
      <w:r>
        <w:t xml:space="preserve">Glucose </w:t>
      </w:r>
      <w:r w:rsidR="0023647B" w:rsidRPr="008F5678">
        <w:t>&lt;STRENGTH&gt;</w:t>
      </w:r>
      <w:r>
        <w:t xml:space="preserve"> may be used to provide temporary relief from the symptoms of cerebral oedema and from hypoglycaemic coma. Hyperosmotic Glucose with or without insulin may correct hyperkalaemia in renal failure and also some forms of hyponatraemia</w:t>
      </w:r>
      <w:r w:rsidRPr="008F5678">
        <w:t>.</w:t>
      </w:r>
    </w:p>
    <w:p w14:paraId="1953512A" w14:textId="77777777" w:rsidR="00233A79" w:rsidRPr="008F5678" w:rsidRDefault="00000000" w:rsidP="00C21A1C">
      <w:pPr>
        <w:pStyle w:val="SubHeafingSMPC"/>
      </w:pPr>
      <w:r w:rsidRPr="008F5678">
        <w:t>Posology and method of administration</w:t>
      </w:r>
    </w:p>
    <w:p w14:paraId="5CB6D93A" w14:textId="1F22113A" w:rsidR="000E166A" w:rsidRDefault="000E166A" w:rsidP="000E166A">
      <w:pPr>
        <w:pStyle w:val="BodyTextSMPC"/>
      </w:pPr>
      <w:r>
        <w:t xml:space="preserve">Glucose </w:t>
      </w:r>
      <w:r w:rsidR="0023647B" w:rsidRPr="008F5678">
        <w:t>&lt;STRENGTH&gt;</w:t>
      </w:r>
      <w:r>
        <w:t xml:space="preserve"> must be administered by the intravenous route; it must not be administered by subcutaneous or intramuscular route. Except in the emergency treatment of severe hypoglycaemia, Glucose </w:t>
      </w:r>
      <w:r w:rsidR="0023647B" w:rsidRPr="008F5678">
        <w:lastRenderedPageBreak/>
        <w:t>&lt;STRENGTH&gt;</w:t>
      </w:r>
      <w:r>
        <w:t xml:space="preserve"> should be administered via a central vein after appropriate dilution. When used for the emergency treatment of hypoglycaemia, Glucose </w:t>
      </w:r>
      <w:r w:rsidR="0023647B" w:rsidRPr="008F5678">
        <w:t>&lt;STRENGTH&gt;</w:t>
      </w:r>
      <w:r>
        <w:t xml:space="preserve"> may be administered slowly into a peripheral vein at a rate not greater than 3mls per minute.</w:t>
      </w:r>
    </w:p>
    <w:p w14:paraId="6DB87EDA" w14:textId="77777777" w:rsidR="000E166A" w:rsidRDefault="000E166A" w:rsidP="000E166A">
      <w:pPr>
        <w:pStyle w:val="BodyTextSMPC"/>
      </w:pPr>
      <w:r>
        <w:t>Dosage of Glucose depends on the age, weight, clinical condition, the fluid, electrolyte and acid base balance of the patient. For the treatment of hypoglycaemia resulting from insulin excess or other causes in adults (including the elderly) and children, the usual dose is as follows:</w:t>
      </w:r>
    </w:p>
    <w:p w14:paraId="59E769E7" w14:textId="6AF680E2" w:rsidR="000E166A" w:rsidRDefault="000E166A" w:rsidP="000E166A">
      <w:pPr>
        <w:pStyle w:val="BodyTextSMPC"/>
      </w:pPr>
      <w:r>
        <w:t xml:space="preserve">20-50ml of Glucose </w:t>
      </w:r>
      <w:r w:rsidR="0023647B" w:rsidRPr="008F5678">
        <w:t>&lt;STRENGTH&gt;</w:t>
      </w:r>
      <w:r>
        <w:t xml:space="preserve"> administered slowly intravenously. This represents 3mls per minute.</w:t>
      </w:r>
    </w:p>
    <w:p w14:paraId="6A0540B3" w14:textId="1FED9303" w:rsidR="000E166A" w:rsidRPr="008F5678" w:rsidRDefault="000E166A" w:rsidP="000E166A">
      <w:pPr>
        <w:pStyle w:val="BodyTextSMPC"/>
      </w:pPr>
      <w:r>
        <w:t>Repeated doses and supportive therapy may be required in some cases</w:t>
      </w:r>
      <w:r w:rsidRPr="008F5678">
        <w:t xml:space="preserve">. </w:t>
      </w:r>
    </w:p>
    <w:p w14:paraId="5B05A77F" w14:textId="77777777" w:rsidR="00671E86" w:rsidRPr="008F5678" w:rsidRDefault="00000000" w:rsidP="00233A79">
      <w:pPr>
        <w:pStyle w:val="SubHeafingSMPC"/>
      </w:pPr>
      <w:r w:rsidRPr="008F5678">
        <w:t>Contraindications</w:t>
      </w:r>
    </w:p>
    <w:p w14:paraId="1CA7C2E2" w14:textId="67C1AC38" w:rsidR="00F055C4" w:rsidRDefault="000E166A" w:rsidP="00671E86">
      <w:pPr>
        <w:pStyle w:val="BodyTextSMPC"/>
        <w:jc w:val="thaiDistribute"/>
      </w:pPr>
      <w:r w:rsidRPr="000E166A">
        <w:t xml:space="preserve">Glucose </w:t>
      </w:r>
      <w:r w:rsidR="0023647B" w:rsidRPr="008F5678">
        <w:t>&lt;STRENGTH&gt;</w:t>
      </w:r>
      <w:r w:rsidRPr="000E166A">
        <w:t xml:space="preserve"> is contraindicated in patients with the glucose – galactose malabsorption syndrome. </w:t>
      </w:r>
    </w:p>
    <w:p w14:paraId="7CF23985" w14:textId="77777777" w:rsidR="00F055C4" w:rsidRDefault="000E166A" w:rsidP="00671E86">
      <w:pPr>
        <w:pStyle w:val="BodyTextSMPC"/>
        <w:jc w:val="thaiDistribute"/>
      </w:pPr>
      <w:r w:rsidRPr="000E166A">
        <w:t xml:space="preserve">Hypertonic Glucose solutions are contraindicated in patients with anuria or intraspinal or intracranial haemorrhage, or ischaemic stroke and in patients with delirium tremens if such patients are already dehydrated. </w:t>
      </w:r>
    </w:p>
    <w:p w14:paraId="66CD8858" w14:textId="6AEC0E6C" w:rsidR="00A144D2" w:rsidRPr="008F5678" w:rsidRDefault="000E166A" w:rsidP="00671E86">
      <w:pPr>
        <w:pStyle w:val="BodyTextSMPC"/>
        <w:jc w:val="thaiDistribute"/>
        <w:rPr>
          <w:cs/>
        </w:rPr>
      </w:pPr>
      <w:r w:rsidRPr="000E166A">
        <w:t>Hypertonic Glucose solutions are also contraindicated in patients with diabetic coma or known allergy to corn or corn products</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3FD3DE0F" w14:textId="06A1183A" w:rsidR="000E166A" w:rsidRDefault="000E166A" w:rsidP="000E166A">
      <w:pPr>
        <w:pStyle w:val="BodyTextSMPC"/>
      </w:pPr>
      <w:r>
        <w:t>Hypertonic solutions of Glucose should be administered via a large central vein to minimise damage at the site of injection (see section 4.2 Posology).</w:t>
      </w:r>
    </w:p>
    <w:p w14:paraId="3DFACD86" w14:textId="77777777" w:rsidR="000E166A" w:rsidRDefault="000E166A" w:rsidP="000E166A">
      <w:pPr>
        <w:pStyle w:val="BodyTextSMPC"/>
      </w:pPr>
      <w:r>
        <w:t>Glucose solutions should be used with caution in patients with overt or known sub- clinical diabetes mellitus, carbohydrate intolerance for any reason, severe under- nutrition, thiamine deficiency, hypophosphataemia, haemodilution, sepsis, trauma, shock, metabolic acidosis or severe dehydration.</w:t>
      </w:r>
    </w:p>
    <w:p w14:paraId="59AB72FB" w14:textId="77777777" w:rsidR="000E166A" w:rsidRDefault="000E166A" w:rsidP="000E166A">
      <w:pPr>
        <w:pStyle w:val="BodyTextSMPC"/>
      </w:pPr>
      <w:r>
        <w:t xml:space="preserve">Rapid administration of hypertonic glucose solutions may produce substantial hyperglycaemia and hyperosmolar syndrome; patients should be observed for signs of mental confusion and loss of </w:t>
      </w:r>
      <w:r>
        <w:lastRenderedPageBreak/>
        <w:t>consciousness, especially those patients with chronic uraemia or carbohydrate intolerance.</w:t>
      </w:r>
    </w:p>
    <w:p w14:paraId="2166F734" w14:textId="77777777" w:rsidR="000E166A" w:rsidRDefault="000E166A" w:rsidP="000E166A">
      <w:pPr>
        <w:pStyle w:val="BodyTextSMPC"/>
      </w:pPr>
      <w:r>
        <w:t>Prolonged use in parenteral nutrition may affect insulin production; blood and urine glucose should be monitored.</w:t>
      </w:r>
    </w:p>
    <w:p w14:paraId="14F2DC79" w14:textId="06264E93" w:rsidR="00A144D2" w:rsidRPr="008F5678" w:rsidRDefault="000E166A" w:rsidP="000E166A">
      <w:pPr>
        <w:pStyle w:val="BodyTextSMPC"/>
        <w:jc w:val="thaiDistribute"/>
      </w:pPr>
      <w:r>
        <w:t>Changed in fluid balance, electrolyte concentrations and acid-base balance should be evaluated during prolonged therapy. Intravenous administration of Glucose may result in hypokalaemia, hypophosphataemia and hypomagnesaemia</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75F12885" w14:textId="0F4C3392" w:rsidR="00227FD4" w:rsidRPr="008F5678" w:rsidRDefault="000E166A" w:rsidP="000E166A">
      <w:pPr>
        <w:pStyle w:val="BodyTextSMPC"/>
      </w:pPr>
      <w:r w:rsidRPr="000E166A">
        <w:t>None known</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53E75989" w14:textId="05412E27" w:rsidR="00227FD4" w:rsidRPr="008F5678" w:rsidRDefault="000E166A" w:rsidP="00671E86">
      <w:pPr>
        <w:pStyle w:val="BodyTextSMPC"/>
      </w:pPr>
      <w:r w:rsidRPr="000E166A">
        <w:t>Intravenous glucose may result in foetal insulin production, with an associated risk of rebound hypoglycaemia in the neonate. Infusions of glucose administered during Caesarean section and labour should not exceed 5-10g glucose/hour</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29EBA99E" w:rsidR="00227FD4" w:rsidRPr="008F5678" w:rsidRDefault="000E166A" w:rsidP="00671E86">
      <w:pPr>
        <w:pStyle w:val="BodyTextSMPC"/>
      </w:pPr>
      <w:r w:rsidRPr="000E166A">
        <w:t>None known</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4ED73006" w14:textId="211DCC24" w:rsidR="000E166A" w:rsidRPr="000E166A" w:rsidRDefault="000E166A" w:rsidP="000E166A">
      <w:pPr>
        <w:pStyle w:val="BodyTextSMPC"/>
        <w:rPr>
          <w:i/>
          <w:iCs/>
        </w:rPr>
      </w:pPr>
      <w:r w:rsidRPr="000E166A">
        <w:rPr>
          <w:i/>
          <w:iCs/>
        </w:rPr>
        <w:t>Metabolic and nutrition disorders:</w:t>
      </w:r>
    </w:p>
    <w:p w14:paraId="305A2E26" w14:textId="77777777" w:rsidR="000E166A" w:rsidRDefault="000E166A" w:rsidP="000E166A">
      <w:pPr>
        <w:pStyle w:val="BodyTextSMPC"/>
        <w:jc w:val="left"/>
      </w:pPr>
      <w:r>
        <w:t>Hyperglycaemia, hypokalaemia, hypophosphataemia, hypomagnesaemia, fluid and electrolyte imbalance.</w:t>
      </w:r>
    </w:p>
    <w:p w14:paraId="0EA924BA" w14:textId="77777777" w:rsidR="000E166A" w:rsidRDefault="000E166A" w:rsidP="000E166A">
      <w:pPr>
        <w:pStyle w:val="BodyTextSMPC"/>
      </w:pPr>
      <w:r>
        <w:t>Hyperglycaemia (possibly indicated by mental confusion or loss of consciousness) and glycosuria may occur as a result of the rate of administration or metabolic insufficiency. If undetected and untreated hyperglycaemia can lead to dehydration, hyperosmolar coma and death.</w:t>
      </w:r>
    </w:p>
    <w:p w14:paraId="09F29A89" w14:textId="77777777" w:rsidR="000E166A" w:rsidRDefault="000E166A" w:rsidP="000E166A">
      <w:pPr>
        <w:pStyle w:val="BodyTextSMPC"/>
      </w:pPr>
      <w:r>
        <w:t>The administration of glucose without adequate levels of thiamine may precipitate overt deficiency states e.g. Wernicke’s encephalopathy. Sodium retention, oedema, pulmonary oedema and congestive heart failure may be induced in patients with severe under-nutrition.</w:t>
      </w:r>
    </w:p>
    <w:p w14:paraId="3B1F3EA1" w14:textId="77777777" w:rsidR="000E166A" w:rsidRPr="000E166A" w:rsidRDefault="000E166A" w:rsidP="000E166A">
      <w:pPr>
        <w:pStyle w:val="BodyTextSMPC"/>
        <w:rPr>
          <w:i/>
          <w:iCs/>
        </w:rPr>
      </w:pPr>
      <w:r w:rsidRPr="000E166A">
        <w:rPr>
          <w:i/>
          <w:iCs/>
        </w:rPr>
        <w:lastRenderedPageBreak/>
        <w:t>Nervous system:</w:t>
      </w:r>
    </w:p>
    <w:p w14:paraId="38B27D8E" w14:textId="77777777" w:rsidR="000E166A" w:rsidRDefault="000E166A" w:rsidP="000E166A">
      <w:pPr>
        <w:pStyle w:val="BodyTextSMPC"/>
      </w:pPr>
      <w:r>
        <w:t>See Metabolic and nutrition disorders.</w:t>
      </w:r>
    </w:p>
    <w:p w14:paraId="32878CF9" w14:textId="77777777" w:rsidR="000E166A" w:rsidRPr="000E166A" w:rsidRDefault="000E166A" w:rsidP="000E166A">
      <w:pPr>
        <w:pStyle w:val="BodyTextSMPC"/>
        <w:rPr>
          <w:i/>
          <w:iCs/>
        </w:rPr>
      </w:pPr>
      <w:r w:rsidRPr="000E166A">
        <w:rPr>
          <w:i/>
          <w:iCs/>
        </w:rPr>
        <w:t>General and administration site disorders:</w:t>
      </w:r>
    </w:p>
    <w:p w14:paraId="39CF9E7F" w14:textId="2150501A" w:rsidR="00227FD4" w:rsidRPr="008F5678" w:rsidRDefault="000E166A" w:rsidP="000E166A">
      <w:pPr>
        <w:pStyle w:val="BodyTextSMPC"/>
      </w:pPr>
      <w:r>
        <w:t>Pain at the injection site, vein irritation, venous thrombosis, phlebitis</w:t>
      </w:r>
      <w:r w:rsidRPr="008F5678">
        <w:t xml:space="preserve">. </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7EF5A86C" w14:textId="63896686" w:rsidR="000E166A" w:rsidRDefault="000E166A" w:rsidP="000E166A">
      <w:pPr>
        <w:pStyle w:val="BodyTextSMPC"/>
      </w:pPr>
      <w:r>
        <w:t xml:space="preserve">Overdose of Glucose </w:t>
      </w:r>
      <w:r w:rsidR="0023647B" w:rsidRPr="008F5678">
        <w:t>&lt;STRENGTH&gt;</w:t>
      </w:r>
      <w:r>
        <w:t xml:space="preserve"> may lead to hyperglycaemia and glycosuria leading to dehydration, hyperosmolar coma and death.</w:t>
      </w:r>
    </w:p>
    <w:p w14:paraId="779748E9" w14:textId="0DF00595" w:rsidR="00227FD4" w:rsidRPr="008F5678" w:rsidRDefault="000E166A" w:rsidP="000E166A">
      <w:pPr>
        <w:pStyle w:val="BodyTextSMPC"/>
      </w:pPr>
      <w:r>
        <w:t xml:space="preserve">In the event of overdose of Glucose </w:t>
      </w:r>
      <w:r w:rsidR="0023647B" w:rsidRPr="008F5678">
        <w:t>&lt;STRENGTH&gt;</w:t>
      </w:r>
      <w:r>
        <w:t xml:space="preserve"> it may be necessary to administer appropriate doses of insulin</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2AC6965C" w14:textId="419F9D05" w:rsidR="00F055C4" w:rsidRDefault="00000000" w:rsidP="00F055C4">
      <w:pPr>
        <w:pStyle w:val="BodyTextSMPC"/>
      </w:pPr>
      <w:r w:rsidRPr="008F5678">
        <w:t xml:space="preserve">Pharmacotherapeutic </w:t>
      </w:r>
      <w:r w:rsidR="00F055C4">
        <w:t>group: Solutions for parenteral nutrition, Carbohydrates, ATC code: B05BA03</w:t>
      </w:r>
    </w:p>
    <w:p w14:paraId="2F059951" w14:textId="7A0A87D8" w:rsidR="00227FD4" w:rsidRPr="008F5678" w:rsidRDefault="00F055C4" w:rsidP="00F055C4">
      <w:pPr>
        <w:pStyle w:val="BodyTextSMPC"/>
      </w:pPr>
      <w:r>
        <w:t>The metabolism of glucose is an energy source for the body</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492AD855" w14:textId="2E2CA512" w:rsidR="00227FD4" w:rsidRPr="008F5678" w:rsidRDefault="006B4456" w:rsidP="00671E86">
      <w:pPr>
        <w:pStyle w:val="BodyTextSMPC"/>
      </w:pPr>
      <w:r w:rsidRPr="006B4456">
        <w:t>Glucose is rapidly metabolised into carbon dioxide and water</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BE4B9BC" w14:textId="67B867D5" w:rsidR="00227FD4" w:rsidRPr="008F5678" w:rsidRDefault="006B4456" w:rsidP="006B4456">
      <w:pPr>
        <w:pStyle w:val="BodyTextSMPC"/>
      </w:pPr>
      <w:r>
        <w:t>No further information other than that which is included in the Summary of Product Characteristics</w:t>
      </w:r>
      <w:r w:rsidRPr="008F5678">
        <w:t xml:space="preserve">. </w:t>
      </w:r>
    </w:p>
    <w:p w14:paraId="1C50E84B" w14:textId="77777777" w:rsidR="00671E86" w:rsidRPr="008F5678" w:rsidRDefault="00000000" w:rsidP="00671E86">
      <w:pPr>
        <w:pStyle w:val="HEADING1SMPC"/>
      </w:pPr>
      <w:r w:rsidRPr="008F5678">
        <w:lastRenderedPageBreak/>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36CC8A41" w:rsidR="00227FD4" w:rsidRPr="008F5678" w:rsidRDefault="006B4456" w:rsidP="00671E86">
      <w:pPr>
        <w:pStyle w:val="BodyTextSMPC"/>
      </w:pPr>
      <w:r w:rsidRPr="006B4456">
        <w:t>Glucose solutions which do not contain electrolytes, should not be administered concomitantly with blood through the same infusion set, because of the possibilities of agglomeration</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F36C3" w14:textId="77777777" w:rsidR="00A85573" w:rsidRDefault="00A85573" w:rsidP="008F5678">
      <w:pPr>
        <w:spacing w:line="240" w:lineRule="auto"/>
      </w:pPr>
      <w:r>
        <w:separator/>
      </w:r>
    </w:p>
  </w:endnote>
  <w:endnote w:type="continuationSeparator" w:id="0">
    <w:p w14:paraId="69E99BCF" w14:textId="77777777" w:rsidR="00A85573" w:rsidRDefault="00A85573"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08E639AB" w:rsidR="008F5678" w:rsidRPr="00E37D3E" w:rsidRDefault="008F5678" w:rsidP="008F5678">
    <w:pPr>
      <w:rPr>
        <w:rFonts w:ascii="Times New Roman" w:eastAsia="Times New Roman" w:hAnsi="Times New Roman" w:cs="Times New Roman"/>
        <w:sz w:val="15"/>
        <w:szCs w:val="15"/>
      </w:rPr>
    </w:pPr>
    <w:r w:rsidRPr="00E37D3E">
      <w:rPr>
        <w:rFonts w:ascii="Times New Roman" w:eastAsia="Times New Roman" w:hAnsi="Times New Roman" w:cs="Times New Roman"/>
        <w:sz w:val="15"/>
        <w:szCs w:val="15"/>
        <w:vertAlign w:val="superscript"/>
      </w:rPr>
      <w:t xml:space="preserve">1 </w:t>
    </w:r>
    <w:r w:rsidRPr="00E37D3E">
      <w:rPr>
        <w:rFonts w:ascii="Times New Roman" w:hAnsi="Times New Roman" w:cs="Times New Roman"/>
        <w:sz w:val="15"/>
        <w:szCs w:val="15"/>
      </w:rPr>
      <w:t>Ref:</w:t>
    </w:r>
    <w:r w:rsidR="006B4456" w:rsidRPr="00E37D3E">
      <w:rPr>
        <w:rFonts w:ascii="Times New Roman" w:hAnsi="Times New Roman" w:cs="Times New Roman"/>
        <w:sz w:val="15"/>
        <w:szCs w:val="15"/>
      </w:rPr>
      <w:t>Glucose Intravenous Infusion BP 50% w/v</w:t>
    </w:r>
    <w:r w:rsidRPr="00E37D3E">
      <w:rPr>
        <w:rFonts w:ascii="Times New Roman" w:hAnsi="Times New Roman" w:cs="Times New Roman"/>
        <w:sz w:val="15"/>
        <w:szCs w:val="15"/>
      </w:rPr>
      <w:t xml:space="preserve">, MHRA, </w:t>
    </w:r>
    <w:r w:rsidR="006B4456" w:rsidRPr="00E37D3E">
      <w:rPr>
        <w:rFonts w:ascii="Times New Roman" w:eastAsia="Times New Roman" w:hAnsi="Times New Roman" w:cs="Times New Roman"/>
        <w:sz w:val="15"/>
        <w:szCs w:val="15"/>
      </w:rPr>
      <w:t>23</w:t>
    </w:r>
    <w:r w:rsidRPr="00E37D3E">
      <w:rPr>
        <w:rFonts w:ascii="Times New Roman" w:eastAsia="Times New Roman" w:hAnsi="Times New Roman" w:cs="Times New Roman"/>
        <w:sz w:val="15"/>
        <w:szCs w:val="15"/>
      </w:rPr>
      <w:t>/1</w:t>
    </w:r>
    <w:r w:rsidR="006B4456" w:rsidRPr="00E37D3E">
      <w:rPr>
        <w:rFonts w:ascii="Times New Roman" w:eastAsia="Times New Roman" w:hAnsi="Times New Roman" w:cs="Times New Roman"/>
        <w:sz w:val="15"/>
        <w:szCs w:val="15"/>
      </w:rPr>
      <w:t>0</w:t>
    </w:r>
    <w:r w:rsidRPr="00E37D3E">
      <w:rPr>
        <w:rFonts w:ascii="Times New Roman" w:eastAsia="Times New Roman" w:hAnsi="Times New Roman" w:cs="Times New Roman"/>
        <w:sz w:val="15"/>
        <w:szCs w:val="15"/>
      </w:rPr>
      <w:t>/2020</w:t>
    </w:r>
  </w:p>
  <w:p w14:paraId="3CCFF233" w14:textId="7F97854E" w:rsidR="006B4456" w:rsidRPr="00E37D3E" w:rsidRDefault="006B4456" w:rsidP="008F5678">
    <w:pPr>
      <w:rPr>
        <w:rFonts w:ascii="Times New Roman" w:hAnsi="Times New Roman" w:cs="Times New Roman"/>
        <w:color w:val="FF0000"/>
        <w:sz w:val="15"/>
        <w:szCs w:val="15"/>
        <w:cs/>
      </w:rPr>
    </w:pPr>
    <w:r w:rsidRPr="00E37D3E">
      <w:rPr>
        <w:rFonts w:ascii="Times New Roman" w:eastAsia="Times New Roman" w:hAnsi="Times New Roman" w:cs="Times New Roman"/>
        <w:sz w:val="15"/>
        <w:szCs w:val="15"/>
      </w:rPr>
      <w:t xml:space="preserve">         Glucose 20% w/v Solution for Infusion, MHRA, 22/06/2020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8BAAA" w14:textId="77777777" w:rsidR="00A85573" w:rsidRDefault="00A85573" w:rsidP="008F5678">
      <w:pPr>
        <w:spacing w:line="240" w:lineRule="auto"/>
      </w:pPr>
      <w:r>
        <w:separator/>
      </w:r>
    </w:p>
  </w:footnote>
  <w:footnote w:type="continuationSeparator" w:id="0">
    <w:p w14:paraId="2DFEE2DD" w14:textId="77777777" w:rsidR="00A85573" w:rsidRDefault="00A85573"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1"/>
  </w:num>
  <w:num w:numId="2" w16cid:durableId="65872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E166A"/>
    <w:rsid w:val="00175DAF"/>
    <w:rsid w:val="00177864"/>
    <w:rsid w:val="00227FD4"/>
    <w:rsid w:val="00233A79"/>
    <w:rsid w:val="0023647B"/>
    <w:rsid w:val="00671E86"/>
    <w:rsid w:val="006B4456"/>
    <w:rsid w:val="007258BA"/>
    <w:rsid w:val="00811EB7"/>
    <w:rsid w:val="00834A79"/>
    <w:rsid w:val="008F5678"/>
    <w:rsid w:val="00944976"/>
    <w:rsid w:val="00A144D2"/>
    <w:rsid w:val="00A560E6"/>
    <w:rsid w:val="00A85573"/>
    <w:rsid w:val="00A85894"/>
    <w:rsid w:val="00AF212D"/>
    <w:rsid w:val="00B24321"/>
    <w:rsid w:val="00B36B0E"/>
    <w:rsid w:val="00BE7516"/>
    <w:rsid w:val="00C21A1C"/>
    <w:rsid w:val="00C5591F"/>
    <w:rsid w:val="00DA6720"/>
    <w:rsid w:val="00E37D3E"/>
    <w:rsid w:val="00F055C4"/>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94163">
      <w:bodyDiv w:val="1"/>
      <w:marLeft w:val="0"/>
      <w:marRight w:val="0"/>
      <w:marTop w:val="0"/>
      <w:marBottom w:val="0"/>
      <w:divBdr>
        <w:top w:val="none" w:sz="0" w:space="0" w:color="auto"/>
        <w:left w:val="none" w:sz="0" w:space="0" w:color="auto"/>
        <w:bottom w:val="none" w:sz="0" w:space="0" w:color="auto"/>
        <w:right w:val="none" w:sz="0" w:space="0" w:color="auto"/>
      </w:divBdr>
      <w:divsChild>
        <w:div w:id="1428883383">
          <w:marLeft w:val="0"/>
          <w:marRight w:val="0"/>
          <w:marTop w:val="0"/>
          <w:marBottom w:val="0"/>
          <w:divBdr>
            <w:top w:val="none" w:sz="0" w:space="0" w:color="auto"/>
            <w:left w:val="none" w:sz="0" w:space="0" w:color="auto"/>
            <w:bottom w:val="none" w:sz="0" w:space="0" w:color="auto"/>
            <w:right w:val="none" w:sz="0" w:space="0" w:color="auto"/>
          </w:divBdr>
          <w:divsChild>
            <w:div w:id="557742010">
              <w:marLeft w:val="0"/>
              <w:marRight w:val="0"/>
              <w:marTop w:val="0"/>
              <w:marBottom w:val="0"/>
              <w:divBdr>
                <w:top w:val="none" w:sz="0" w:space="0" w:color="auto"/>
                <w:left w:val="none" w:sz="0" w:space="0" w:color="auto"/>
                <w:bottom w:val="none" w:sz="0" w:space="0" w:color="auto"/>
                <w:right w:val="none" w:sz="0" w:space="0" w:color="auto"/>
              </w:divBdr>
              <w:divsChild>
                <w:div w:id="9978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792">
      <w:bodyDiv w:val="1"/>
      <w:marLeft w:val="0"/>
      <w:marRight w:val="0"/>
      <w:marTop w:val="0"/>
      <w:marBottom w:val="0"/>
      <w:divBdr>
        <w:top w:val="none" w:sz="0" w:space="0" w:color="auto"/>
        <w:left w:val="none" w:sz="0" w:space="0" w:color="auto"/>
        <w:bottom w:val="none" w:sz="0" w:space="0" w:color="auto"/>
        <w:right w:val="none" w:sz="0" w:space="0" w:color="auto"/>
      </w:divBdr>
      <w:divsChild>
        <w:div w:id="1532918960">
          <w:marLeft w:val="0"/>
          <w:marRight w:val="0"/>
          <w:marTop w:val="0"/>
          <w:marBottom w:val="0"/>
          <w:divBdr>
            <w:top w:val="none" w:sz="0" w:space="0" w:color="auto"/>
            <w:left w:val="none" w:sz="0" w:space="0" w:color="auto"/>
            <w:bottom w:val="none" w:sz="0" w:space="0" w:color="auto"/>
            <w:right w:val="none" w:sz="0" w:space="0" w:color="auto"/>
          </w:divBdr>
          <w:divsChild>
            <w:div w:id="1137259629">
              <w:marLeft w:val="0"/>
              <w:marRight w:val="0"/>
              <w:marTop w:val="0"/>
              <w:marBottom w:val="0"/>
              <w:divBdr>
                <w:top w:val="none" w:sz="0" w:space="0" w:color="auto"/>
                <w:left w:val="none" w:sz="0" w:space="0" w:color="auto"/>
                <w:bottom w:val="none" w:sz="0" w:space="0" w:color="auto"/>
                <w:right w:val="none" w:sz="0" w:space="0" w:color="auto"/>
              </w:divBdr>
              <w:divsChild>
                <w:div w:id="13726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5283">
      <w:bodyDiv w:val="1"/>
      <w:marLeft w:val="0"/>
      <w:marRight w:val="0"/>
      <w:marTop w:val="0"/>
      <w:marBottom w:val="0"/>
      <w:divBdr>
        <w:top w:val="none" w:sz="0" w:space="0" w:color="auto"/>
        <w:left w:val="none" w:sz="0" w:space="0" w:color="auto"/>
        <w:bottom w:val="none" w:sz="0" w:space="0" w:color="auto"/>
        <w:right w:val="none" w:sz="0" w:space="0" w:color="auto"/>
      </w:divBdr>
      <w:divsChild>
        <w:div w:id="898056887">
          <w:marLeft w:val="0"/>
          <w:marRight w:val="0"/>
          <w:marTop w:val="0"/>
          <w:marBottom w:val="0"/>
          <w:divBdr>
            <w:top w:val="none" w:sz="0" w:space="0" w:color="auto"/>
            <w:left w:val="none" w:sz="0" w:space="0" w:color="auto"/>
            <w:bottom w:val="none" w:sz="0" w:space="0" w:color="auto"/>
            <w:right w:val="none" w:sz="0" w:space="0" w:color="auto"/>
          </w:divBdr>
          <w:divsChild>
            <w:div w:id="282272545">
              <w:marLeft w:val="0"/>
              <w:marRight w:val="0"/>
              <w:marTop w:val="0"/>
              <w:marBottom w:val="0"/>
              <w:divBdr>
                <w:top w:val="none" w:sz="0" w:space="0" w:color="auto"/>
                <w:left w:val="none" w:sz="0" w:space="0" w:color="auto"/>
                <w:bottom w:val="none" w:sz="0" w:space="0" w:color="auto"/>
                <w:right w:val="none" w:sz="0" w:space="0" w:color="auto"/>
              </w:divBdr>
              <w:divsChild>
                <w:div w:id="20817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747622">
      <w:bodyDiv w:val="1"/>
      <w:marLeft w:val="0"/>
      <w:marRight w:val="0"/>
      <w:marTop w:val="0"/>
      <w:marBottom w:val="0"/>
      <w:divBdr>
        <w:top w:val="none" w:sz="0" w:space="0" w:color="auto"/>
        <w:left w:val="none" w:sz="0" w:space="0" w:color="auto"/>
        <w:bottom w:val="none" w:sz="0" w:space="0" w:color="auto"/>
        <w:right w:val="none" w:sz="0" w:space="0" w:color="auto"/>
      </w:divBdr>
      <w:divsChild>
        <w:div w:id="691951872">
          <w:marLeft w:val="0"/>
          <w:marRight w:val="0"/>
          <w:marTop w:val="0"/>
          <w:marBottom w:val="0"/>
          <w:divBdr>
            <w:top w:val="none" w:sz="0" w:space="0" w:color="auto"/>
            <w:left w:val="none" w:sz="0" w:space="0" w:color="auto"/>
            <w:bottom w:val="none" w:sz="0" w:space="0" w:color="auto"/>
            <w:right w:val="none" w:sz="0" w:space="0" w:color="auto"/>
          </w:divBdr>
          <w:divsChild>
            <w:div w:id="1132822334">
              <w:marLeft w:val="0"/>
              <w:marRight w:val="0"/>
              <w:marTop w:val="0"/>
              <w:marBottom w:val="0"/>
              <w:divBdr>
                <w:top w:val="none" w:sz="0" w:space="0" w:color="auto"/>
                <w:left w:val="none" w:sz="0" w:space="0" w:color="auto"/>
                <w:bottom w:val="none" w:sz="0" w:space="0" w:color="auto"/>
                <w:right w:val="none" w:sz="0" w:space="0" w:color="auto"/>
              </w:divBdr>
              <w:divsChild>
                <w:div w:id="5113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7844">
          <w:marLeft w:val="0"/>
          <w:marRight w:val="0"/>
          <w:marTop w:val="0"/>
          <w:marBottom w:val="0"/>
          <w:divBdr>
            <w:top w:val="none" w:sz="0" w:space="0" w:color="auto"/>
            <w:left w:val="none" w:sz="0" w:space="0" w:color="auto"/>
            <w:bottom w:val="none" w:sz="0" w:space="0" w:color="auto"/>
            <w:right w:val="none" w:sz="0" w:space="0" w:color="auto"/>
          </w:divBdr>
          <w:divsChild>
            <w:div w:id="2134014417">
              <w:marLeft w:val="0"/>
              <w:marRight w:val="0"/>
              <w:marTop w:val="0"/>
              <w:marBottom w:val="0"/>
              <w:divBdr>
                <w:top w:val="none" w:sz="0" w:space="0" w:color="auto"/>
                <w:left w:val="none" w:sz="0" w:space="0" w:color="auto"/>
                <w:bottom w:val="none" w:sz="0" w:space="0" w:color="auto"/>
                <w:right w:val="none" w:sz="0" w:space="0" w:color="auto"/>
              </w:divBdr>
              <w:divsChild>
                <w:div w:id="1120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10122">
      <w:bodyDiv w:val="1"/>
      <w:marLeft w:val="0"/>
      <w:marRight w:val="0"/>
      <w:marTop w:val="0"/>
      <w:marBottom w:val="0"/>
      <w:divBdr>
        <w:top w:val="none" w:sz="0" w:space="0" w:color="auto"/>
        <w:left w:val="none" w:sz="0" w:space="0" w:color="auto"/>
        <w:bottom w:val="none" w:sz="0" w:space="0" w:color="auto"/>
        <w:right w:val="none" w:sz="0" w:space="0" w:color="auto"/>
      </w:divBdr>
      <w:divsChild>
        <w:div w:id="2095008587">
          <w:marLeft w:val="0"/>
          <w:marRight w:val="0"/>
          <w:marTop w:val="0"/>
          <w:marBottom w:val="0"/>
          <w:divBdr>
            <w:top w:val="none" w:sz="0" w:space="0" w:color="auto"/>
            <w:left w:val="none" w:sz="0" w:space="0" w:color="auto"/>
            <w:bottom w:val="none" w:sz="0" w:space="0" w:color="auto"/>
            <w:right w:val="none" w:sz="0" w:space="0" w:color="auto"/>
          </w:divBdr>
          <w:divsChild>
            <w:div w:id="1043792799">
              <w:marLeft w:val="0"/>
              <w:marRight w:val="0"/>
              <w:marTop w:val="0"/>
              <w:marBottom w:val="0"/>
              <w:divBdr>
                <w:top w:val="none" w:sz="0" w:space="0" w:color="auto"/>
                <w:left w:val="none" w:sz="0" w:space="0" w:color="auto"/>
                <w:bottom w:val="none" w:sz="0" w:space="0" w:color="auto"/>
                <w:right w:val="none" w:sz="0" w:space="0" w:color="auto"/>
              </w:divBdr>
              <w:divsChild>
                <w:div w:id="353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961877">
      <w:bodyDiv w:val="1"/>
      <w:marLeft w:val="0"/>
      <w:marRight w:val="0"/>
      <w:marTop w:val="0"/>
      <w:marBottom w:val="0"/>
      <w:divBdr>
        <w:top w:val="none" w:sz="0" w:space="0" w:color="auto"/>
        <w:left w:val="none" w:sz="0" w:space="0" w:color="auto"/>
        <w:bottom w:val="none" w:sz="0" w:space="0" w:color="auto"/>
        <w:right w:val="none" w:sz="0" w:space="0" w:color="auto"/>
      </w:divBdr>
      <w:divsChild>
        <w:div w:id="1786147628">
          <w:marLeft w:val="0"/>
          <w:marRight w:val="0"/>
          <w:marTop w:val="0"/>
          <w:marBottom w:val="0"/>
          <w:divBdr>
            <w:top w:val="none" w:sz="0" w:space="0" w:color="auto"/>
            <w:left w:val="none" w:sz="0" w:space="0" w:color="auto"/>
            <w:bottom w:val="none" w:sz="0" w:space="0" w:color="auto"/>
            <w:right w:val="none" w:sz="0" w:space="0" w:color="auto"/>
          </w:divBdr>
          <w:divsChild>
            <w:div w:id="689258313">
              <w:marLeft w:val="0"/>
              <w:marRight w:val="0"/>
              <w:marTop w:val="0"/>
              <w:marBottom w:val="0"/>
              <w:divBdr>
                <w:top w:val="none" w:sz="0" w:space="0" w:color="auto"/>
                <w:left w:val="none" w:sz="0" w:space="0" w:color="auto"/>
                <w:bottom w:val="none" w:sz="0" w:space="0" w:color="auto"/>
                <w:right w:val="none" w:sz="0" w:space="0" w:color="auto"/>
              </w:divBdr>
              <w:divsChild>
                <w:div w:id="16254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4603">
      <w:bodyDiv w:val="1"/>
      <w:marLeft w:val="0"/>
      <w:marRight w:val="0"/>
      <w:marTop w:val="0"/>
      <w:marBottom w:val="0"/>
      <w:divBdr>
        <w:top w:val="none" w:sz="0" w:space="0" w:color="auto"/>
        <w:left w:val="none" w:sz="0" w:space="0" w:color="auto"/>
        <w:bottom w:val="none" w:sz="0" w:space="0" w:color="auto"/>
        <w:right w:val="none" w:sz="0" w:space="0" w:color="auto"/>
      </w:divBdr>
      <w:divsChild>
        <w:div w:id="677973297">
          <w:marLeft w:val="0"/>
          <w:marRight w:val="0"/>
          <w:marTop w:val="0"/>
          <w:marBottom w:val="0"/>
          <w:divBdr>
            <w:top w:val="none" w:sz="0" w:space="0" w:color="auto"/>
            <w:left w:val="none" w:sz="0" w:space="0" w:color="auto"/>
            <w:bottom w:val="none" w:sz="0" w:space="0" w:color="auto"/>
            <w:right w:val="none" w:sz="0" w:space="0" w:color="auto"/>
          </w:divBdr>
          <w:divsChild>
            <w:div w:id="220140636">
              <w:marLeft w:val="0"/>
              <w:marRight w:val="0"/>
              <w:marTop w:val="0"/>
              <w:marBottom w:val="0"/>
              <w:divBdr>
                <w:top w:val="none" w:sz="0" w:space="0" w:color="auto"/>
                <w:left w:val="none" w:sz="0" w:space="0" w:color="auto"/>
                <w:bottom w:val="none" w:sz="0" w:space="0" w:color="auto"/>
                <w:right w:val="none" w:sz="0" w:space="0" w:color="auto"/>
              </w:divBdr>
              <w:divsChild>
                <w:div w:id="14984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46285">
      <w:bodyDiv w:val="1"/>
      <w:marLeft w:val="0"/>
      <w:marRight w:val="0"/>
      <w:marTop w:val="0"/>
      <w:marBottom w:val="0"/>
      <w:divBdr>
        <w:top w:val="none" w:sz="0" w:space="0" w:color="auto"/>
        <w:left w:val="none" w:sz="0" w:space="0" w:color="auto"/>
        <w:bottom w:val="none" w:sz="0" w:space="0" w:color="auto"/>
        <w:right w:val="none" w:sz="0" w:space="0" w:color="auto"/>
      </w:divBdr>
      <w:divsChild>
        <w:div w:id="2086107592">
          <w:marLeft w:val="0"/>
          <w:marRight w:val="0"/>
          <w:marTop w:val="0"/>
          <w:marBottom w:val="0"/>
          <w:divBdr>
            <w:top w:val="none" w:sz="0" w:space="0" w:color="auto"/>
            <w:left w:val="none" w:sz="0" w:space="0" w:color="auto"/>
            <w:bottom w:val="none" w:sz="0" w:space="0" w:color="auto"/>
            <w:right w:val="none" w:sz="0" w:space="0" w:color="auto"/>
          </w:divBdr>
          <w:divsChild>
            <w:div w:id="789399954">
              <w:marLeft w:val="0"/>
              <w:marRight w:val="0"/>
              <w:marTop w:val="0"/>
              <w:marBottom w:val="0"/>
              <w:divBdr>
                <w:top w:val="none" w:sz="0" w:space="0" w:color="auto"/>
                <w:left w:val="none" w:sz="0" w:space="0" w:color="auto"/>
                <w:bottom w:val="none" w:sz="0" w:space="0" w:color="auto"/>
                <w:right w:val="none" w:sz="0" w:space="0" w:color="auto"/>
              </w:divBdr>
              <w:divsChild>
                <w:div w:id="18668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02009">
      <w:bodyDiv w:val="1"/>
      <w:marLeft w:val="0"/>
      <w:marRight w:val="0"/>
      <w:marTop w:val="0"/>
      <w:marBottom w:val="0"/>
      <w:divBdr>
        <w:top w:val="none" w:sz="0" w:space="0" w:color="auto"/>
        <w:left w:val="none" w:sz="0" w:space="0" w:color="auto"/>
        <w:bottom w:val="none" w:sz="0" w:space="0" w:color="auto"/>
        <w:right w:val="none" w:sz="0" w:space="0" w:color="auto"/>
      </w:divBdr>
      <w:divsChild>
        <w:div w:id="2055152693">
          <w:marLeft w:val="0"/>
          <w:marRight w:val="0"/>
          <w:marTop w:val="0"/>
          <w:marBottom w:val="0"/>
          <w:divBdr>
            <w:top w:val="none" w:sz="0" w:space="0" w:color="auto"/>
            <w:left w:val="none" w:sz="0" w:space="0" w:color="auto"/>
            <w:bottom w:val="none" w:sz="0" w:space="0" w:color="auto"/>
            <w:right w:val="none" w:sz="0" w:space="0" w:color="auto"/>
          </w:divBdr>
          <w:divsChild>
            <w:div w:id="1753312964">
              <w:marLeft w:val="0"/>
              <w:marRight w:val="0"/>
              <w:marTop w:val="0"/>
              <w:marBottom w:val="0"/>
              <w:divBdr>
                <w:top w:val="none" w:sz="0" w:space="0" w:color="auto"/>
                <w:left w:val="none" w:sz="0" w:space="0" w:color="auto"/>
                <w:bottom w:val="none" w:sz="0" w:space="0" w:color="auto"/>
                <w:right w:val="none" w:sz="0" w:space="0" w:color="auto"/>
              </w:divBdr>
              <w:divsChild>
                <w:div w:id="13210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47974">
      <w:bodyDiv w:val="1"/>
      <w:marLeft w:val="0"/>
      <w:marRight w:val="0"/>
      <w:marTop w:val="0"/>
      <w:marBottom w:val="0"/>
      <w:divBdr>
        <w:top w:val="none" w:sz="0" w:space="0" w:color="auto"/>
        <w:left w:val="none" w:sz="0" w:space="0" w:color="auto"/>
        <w:bottom w:val="none" w:sz="0" w:space="0" w:color="auto"/>
        <w:right w:val="none" w:sz="0" w:space="0" w:color="auto"/>
      </w:divBdr>
      <w:divsChild>
        <w:div w:id="1636986995">
          <w:marLeft w:val="0"/>
          <w:marRight w:val="0"/>
          <w:marTop w:val="0"/>
          <w:marBottom w:val="0"/>
          <w:divBdr>
            <w:top w:val="none" w:sz="0" w:space="0" w:color="auto"/>
            <w:left w:val="none" w:sz="0" w:space="0" w:color="auto"/>
            <w:bottom w:val="none" w:sz="0" w:space="0" w:color="auto"/>
            <w:right w:val="none" w:sz="0" w:space="0" w:color="auto"/>
          </w:divBdr>
          <w:divsChild>
            <w:div w:id="1375613741">
              <w:marLeft w:val="0"/>
              <w:marRight w:val="0"/>
              <w:marTop w:val="0"/>
              <w:marBottom w:val="0"/>
              <w:divBdr>
                <w:top w:val="none" w:sz="0" w:space="0" w:color="auto"/>
                <w:left w:val="none" w:sz="0" w:space="0" w:color="auto"/>
                <w:bottom w:val="none" w:sz="0" w:space="0" w:color="auto"/>
                <w:right w:val="none" w:sz="0" w:space="0" w:color="auto"/>
              </w:divBdr>
              <w:divsChild>
                <w:div w:id="63059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90909">
      <w:bodyDiv w:val="1"/>
      <w:marLeft w:val="0"/>
      <w:marRight w:val="0"/>
      <w:marTop w:val="0"/>
      <w:marBottom w:val="0"/>
      <w:divBdr>
        <w:top w:val="none" w:sz="0" w:space="0" w:color="auto"/>
        <w:left w:val="none" w:sz="0" w:space="0" w:color="auto"/>
        <w:bottom w:val="none" w:sz="0" w:space="0" w:color="auto"/>
        <w:right w:val="none" w:sz="0" w:space="0" w:color="auto"/>
      </w:divBdr>
      <w:divsChild>
        <w:div w:id="1106846246">
          <w:marLeft w:val="0"/>
          <w:marRight w:val="0"/>
          <w:marTop w:val="0"/>
          <w:marBottom w:val="0"/>
          <w:divBdr>
            <w:top w:val="none" w:sz="0" w:space="0" w:color="auto"/>
            <w:left w:val="none" w:sz="0" w:space="0" w:color="auto"/>
            <w:bottom w:val="none" w:sz="0" w:space="0" w:color="auto"/>
            <w:right w:val="none" w:sz="0" w:space="0" w:color="auto"/>
          </w:divBdr>
          <w:divsChild>
            <w:div w:id="859584160">
              <w:marLeft w:val="0"/>
              <w:marRight w:val="0"/>
              <w:marTop w:val="0"/>
              <w:marBottom w:val="0"/>
              <w:divBdr>
                <w:top w:val="none" w:sz="0" w:space="0" w:color="auto"/>
                <w:left w:val="none" w:sz="0" w:space="0" w:color="auto"/>
                <w:bottom w:val="none" w:sz="0" w:space="0" w:color="auto"/>
                <w:right w:val="none" w:sz="0" w:space="0" w:color="auto"/>
              </w:divBdr>
              <w:divsChild>
                <w:div w:id="21204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76239">
      <w:bodyDiv w:val="1"/>
      <w:marLeft w:val="0"/>
      <w:marRight w:val="0"/>
      <w:marTop w:val="0"/>
      <w:marBottom w:val="0"/>
      <w:divBdr>
        <w:top w:val="none" w:sz="0" w:space="0" w:color="auto"/>
        <w:left w:val="none" w:sz="0" w:space="0" w:color="auto"/>
        <w:bottom w:val="none" w:sz="0" w:space="0" w:color="auto"/>
        <w:right w:val="none" w:sz="0" w:space="0" w:color="auto"/>
      </w:divBdr>
      <w:divsChild>
        <w:div w:id="435708522">
          <w:marLeft w:val="0"/>
          <w:marRight w:val="0"/>
          <w:marTop w:val="0"/>
          <w:marBottom w:val="0"/>
          <w:divBdr>
            <w:top w:val="none" w:sz="0" w:space="0" w:color="auto"/>
            <w:left w:val="none" w:sz="0" w:space="0" w:color="auto"/>
            <w:bottom w:val="none" w:sz="0" w:space="0" w:color="auto"/>
            <w:right w:val="none" w:sz="0" w:space="0" w:color="auto"/>
          </w:divBdr>
          <w:divsChild>
            <w:div w:id="1280988947">
              <w:marLeft w:val="0"/>
              <w:marRight w:val="0"/>
              <w:marTop w:val="0"/>
              <w:marBottom w:val="0"/>
              <w:divBdr>
                <w:top w:val="none" w:sz="0" w:space="0" w:color="auto"/>
                <w:left w:val="none" w:sz="0" w:space="0" w:color="auto"/>
                <w:bottom w:val="none" w:sz="0" w:space="0" w:color="auto"/>
                <w:right w:val="none" w:sz="0" w:space="0" w:color="auto"/>
              </w:divBdr>
              <w:divsChild>
                <w:div w:id="8199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5935">
      <w:bodyDiv w:val="1"/>
      <w:marLeft w:val="0"/>
      <w:marRight w:val="0"/>
      <w:marTop w:val="0"/>
      <w:marBottom w:val="0"/>
      <w:divBdr>
        <w:top w:val="none" w:sz="0" w:space="0" w:color="auto"/>
        <w:left w:val="none" w:sz="0" w:space="0" w:color="auto"/>
        <w:bottom w:val="none" w:sz="0" w:space="0" w:color="auto"/>
        <w:right w:val="none" w:sz="0" w:space="0" w:color="auto"/>
      </w:divBdr>
      <w:divsChild>
        <w:div w:id="1072432863">
          <w:marLeft w:val="0"/>
          <w:marRight w:val="0"/>
          <w:marTop w:val="0"/>
          <w:marBottom w:val="0"/>
          <w:divBdr>
            <w:top w:val="none" w:sz="0" w:space="0" w:color="auto"/>
            <w:left w:val="none" w:sz="0" w:space="0" w:color="auto"/>
            <w:bottom w:val="none" w:sz="0" w:space="0" w:color="auto"/>
            <w:right w:val="none" w:sz="0" w:space="0" w:color="auto"/>
          </w:divBdr>
          <w:divsChild>
            <w:div w:id="855773737">
              <w:marLeft w:val="0"/>
              <w:marRight w:val="0"/>
              <w:marTop w:val="0"/>
              <w:marBottom w:val="0"/>
              <w:divBdr>
                <w:top w:val="none" w:sz="0" w:space="0" w:color="auto"/>
                <w:left w:val="none" w:sz="0" w:space="0" w:color="auto"/>
                <w:bottom w:val="none" w:sz="0" w:space="0" w:color="auto"/>
                <w:right w:val="none" w:sz="0" w:space="0" w:color="auto"/>
              </w:divBdr>
              <w:divsChild>
                <w:div w:id="18040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20362">
      <w:bodyDiv w:val="1"/>
      <w:marLeft w:val="0"/>
      <w:marRight w:val="0"/>
      <w:marTop w:val="0"/>
      <w:marBottom w:val="0"/>
      <w:divBdr>
        <w:top w:val="none" w:sz="0" w:space="0" w:color="auto"/>
        <w:left w:val="none" w:sz="0" w:space="0" w:color="auto"/>
        <w:bottom w:val="none" w:sz="0" w:space="0" w:color="auto"/>
        <w:right w:val="none" w:sz="0" w:space="0" w:color="auto"/>
      </w:divBdr>
      <w:divsChild>
        <w:div w:id="714617407">
          <w:marLeft w:val="0"/>
          <w:marRight w:val="0"/>
          <w:marTop w:val="0"/>
          <w:marBottom w:val="0"/>
          <w:divBdr>
            <w:top w:val="none" w:sz="0" w:space="0" w:color="auto"/>
            <w:left w:val="none" w:sz="0" w:space="0" w:color="auto"/>
            <w:bottom w:val="none" w:sz="0" w:space="0" w:color="auto"/>
            <w:right w:val="none" w:sz="0" w:space="0" w:color="auto"/>
          </w:divBdr>
          <w:divsChild>
            <w:div w:id="1552500822">
              <w:marLeft w:val="0"/>
              <w:marRight w:val="0"/>
              <w:marTop w:val="0"/>
              <w:marBottom w:val="0"/>
              <w:divBdr>
                <w:top w:val="none" w:sz="0" w:space="0" w:color="auto"/>
                <w:left w:val="none" w:sz="0" w:space="0" w:color="auto"/>
                <w:bottom w:val="none" w:sz="0" w:space="0" w:color="auto"/>
                <w:right w:val="none" w:sz="0" w:space="0" w:color="auto"/>
              </w:divBdr>
              <w:divsChild>
                <w:div w:id="2003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59255">
      <w:bodyDiv w:val="1"/>
      <w:marLeft w:val="0"/>
      <w:marRight w:val="0"/>
      <w:marTop w:val="0"/>
      <w:marBottom w:val="0"/>
      <w:divBdr>
        <w:top w:val="none" w:sz="0" w:space="0" w:color="auto"/>
        <w:left w:val="none" w:sz="0" w:space="0" w:color="auto"/>
        <w:bottom w:val="none" w:sz="0" w:space="0" w:color="auto"/>
        <w:right w:val="none" w:sz="0" w:space="0" w:color="auto"/>
      </w:divBdr>
      <w:divsChild>
        <w:div w:id="1559782582">
          <w:marLeft w:val="0"/>
          <w:marRight w:val="0"/>
          <w:marTop w:val="0"/>
          <w:marBottom w:val="0"/>
          <w:divBdr>
            <w:top w:val="none" w:sz="0" w:space="0" w:color="auto"/>
            <w:left w:val="none" w:sz="0" w:space="0" w:color="auto"/>
            <w:bottom w:val="none" w:sz="0" w:space="0" w:color="auto"/>
            <w:right w:val="none" w:sz="0" w:space="0" w:color="auto"/>
          </w:divBdr>
          <w:divsChild>
            <w:div w:id="296569016">
              <w:marLeft w:val="0"/>
              <w:marRight w:val="0"/>
              <w:marTop w:val="0"/>
              <w:marBottom w:val="0"/>
              <w:divBdr>
                <w:top w:val="none" w:sz="0" w:space="0" w:color="auto"/>
                <w:left w:val="none" w:sz="0" w:space="0" w:color="auto"/>
                <w:bottom w:val="none" w:sz="0" w:space="0" w:color="auto"/>
                <w:right w:val="none" w:sz="0" w:space="0" w:color="auto"/>
              </w:divBdr>
              <w:divsChild>
                <w:div w:id="111440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96521">
      <w:bodyDiv w:val="1"/>
      <w:marLeft w:val="0"/>
      <w:marRight w:val="0"/>
      <w:marTop w:val="0"/>
      <w:marBottom w:val="0"/>
      <w:divBdr>
        <w:top w:val="none" w:sz="0" w:space="0" w:color="auto"/>
        <w:left w:val="none" w:sz="0" w:space="0" w:color="auto"/>
        <w:bottom w:val="none" w:sz="0" w:space="0" w:color="auto"/>
        <w:right w:val="none" w:sz="0" w:space="0" w:color="auto"/>
      </w:divBdr>
      <w:divsChild>
        <w:div w:id="1434204356">
          <w:marLeft w:val="0"/>
          <w:marRight w:val="0"/>
          <w:marTop w:val="0"/>
          <w:marBottom w:val="0"/>
          <w:divBdr>
            <w:top w:val="none" w:sz="0" w:space="0" w:color="auto"/>
            <w:left w:val="none" w:sz="0" w:space="0" w:color="auto"/>
            <w:bottom w:val="none" w:sz="0" w:space="0" w:color="auto"/>
            <w:right w:val="none" w:sz="0" w:space="0" w:color="auto"/>
          </w:divBdr>
          <w:divsChild>
            <w:div w:id="137847143">
              <w:marLeft w:val="0"/>
              <w:marRight w:val="0"/>
              <w:marTop w:val="0"/>
              <w:marBottom w:val="0"/>
              <w:divBdr>
                <w:top w:val="none" w:sz="0" w:space="0" w:color="auto"/>
                <w:left w:val="none" w:sz="0" w:space="0" w:color="auto"/>
                <w:bottom w:val="none" w:sz="0" w:space="0" w:color="auto"/>
                <w:right w:val="none" w:sz="0" w:space="0" w:color="auto"/>
              </w:divBdr>
              <w:divsChild>
                <w:div w:id="867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3867">
      <w:bodyDiv w:val="1"/>
      <w:marLeft w:val="0"/>
      <w:marRight w:val="0"/>
      <w:marTop w:val="0"/>
      <w:marBottom w:val="0"/>
      <w:divBdr>
        <w:top w:val="none" w:sz="0" w:space="0" w:color="auto"/>
        <w:left w:val="none" w:sz="0" w:space="0" w:color="auto"/>
        <w:bottom w:val="none" w:sz="0" w:space="0" w:color="auto"/>
        <w:right w:val="none" w:sz="0" w:space="0" w:color="auto"/>
      </w:divBdr>
      <w:divsChild>
        <w:div w:id="838352872">
          <w:marLeft w:val="0"/>
          <w:marRight w:val="0"/>
          <w:marTop w:val="0"/>
          <w:marBottom w:val="0"/>
          <w:divBdr>
            <w:top w:val="none" w:sz="0" w:space="0" w:color="auto"/>
            <w:left w:val="none" w:sz="0" w:space="0" w:color="auto"/>
            <w:bottom w:val="none" w:sz="0" w:space="0" w:color="auto"/>
            <w:right w:val="none" w:sz="0" w:space="0" w:color="auto"/>
          </w:divBdr>
          <w:divsChild>
            <w:div w:id="1833521102">
              <w:marLeft w:val="0"/>
              <w:marRight w:val="0"/>
              <w:marTop w:val="0"/>
              <w:marBottom w:val="0"/>
              <w:divBdr>
                <w:top w:val="none" w:sz="0" w:space="0" w:color="auto"/>
                <w:left w:val="none" w:sz="0" w:space="0" w:color="auto"/>
                <w:bottom w:val="none" w:sz="0" w:space="0" w:color="auto"/>
                <w:right w:val="none" w:sz="0" w:space="0" w:color="auto"/>
              </w:divBdr>
              <w:divsChild>
                <w:div w:id="10122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56265">
      <w:bodyDiv w:val="1"/>
      <w:marLeft w:val="0"/>
      <w:marRight w:val="0"/>
      <w:marTop w:val="0"/>
      <w:marBottom w:val="0"/>
      <w:divBdr>
        <w:top w:val="none" w:sz="0" w:space="0" w:color="auto"/>
        <w:left w:val="none" w:sz="0" w:space="0" w:color="auto"/>
        <w:bottom w:val="none" w:sz="0" w:space="0" w:color="auto"/>
        <w:right w:val="none" w:sz="0" w:space="0" w:color="auto"/>
      </w:divBdr>
      <w:divsChild>
        <w:div w:id="766929646">
          <w:marLeft w:val="0"/>
          <w:marRight w:val="0"/>
          <w:marTop w:val="0"/>
          <w:marBottom w:val="0"/>
          <w:divBdr>
            <w:top w:val="none" w:sz="0" w:space="0" w:color="auto"/>
            <w:left w:val="none" w:sz="0" w:space="0" w:color="auto"/>
            <w:bottom w:val="none" w:sz="0" w:space="0" w:color="auto"/>
            <w:right w:val="none" w:sz="0" w:space="0" w:color="auto"/>
          </w:divBdr>
          <w:divsChild>
            <w:div w:id="1124618610">
              <w:marLeft w:val="0"/>
              <w:marRight w:val="0"/>
              <w:marTop w:val="0"/>
              <w:marBottom w:val="0"/>
              <w:divBdr>
                <w:top w:val="none" w:sz="0" w:space="0" w:color="auto"/>
                <w:left w:val="none" w:sz="0" w:space="0" w:color="auto"/>
                <w:bottom w:val="none" w:sz="0" w:space="0" w:color="auto"/>
                <w:right w:val="none" w:sz="0" w:space="0" w:color="auto"/>
              </w:divBdr>
              <w:divsChild>
                <w:div w:id="15964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19210">
      <w:bodyDiv w:val="1"/>
      <w:marLeft w:val="0"/>
      <w:marRight w:val="0"/>
      <w:marTop w:val="0"/>
      <w:marBottom w:val="0"/>
      <w:divBdr>
        <w:top w:val="none" w:sz="0" w:space="0" w:color="auto"/>
        <w:left w:val="none" w:sz="0" w:space="0" w:color="auto"/>
        <w:bottom w:val="none" w:sz="0" w:space="0" w:color="auto"/>
        <w:right w:val="none" w:sz="0" w:space="0" w:color="auto"/>
      </w:divBdr>
      <w:divsChild>
        <w:div w:id="758330561">
          <w:marLeft w:val="0"/>
          <w:marRight w:val="0"/>
          <w:marTop w:val="0"/>
          <w:marBottom w:val="0"/>
          <w:divBdr>
            <w:top w:val="none" w:sz="0" w:space="0" w:color="auto"/>
            <w:left w:val="none" w:sz="0" w:space="0" w:color="auto"/>
            <w:bottom w:val="none" w:sz="0" w:space="0" w:color="auto"/>
            <w:right w:val="none" w:sz="0" w:space="0" w:color="auto"/>
          </w:divBdr>
          <w:divsChild>
            <w:div w:id="258175492">
              <w:marLeft w:val="0"/>
              <w:marRight w:val="0"/>
              <w:marTop w:val="0"/>
              <w:marBottom w:val="0"/>
              <w:divBdr>
                <w:top w:val="none" w:sz="0" w:space="0" w:color="auto"/>
                <w:left w:val="none" w:sz="0" w:space="0" w:color="auto"/>
                <w:bottom w:val="none" w:sz="0" w:space="0" w:color="auto"/>
                <w:right w:val="none" w:sz="0" w:space="0" w:color="auto"/>
              </w:divBdr>
              <w:divsChild>
                <w:div w:id="3250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80487">
      <w:bodyDiv w:val="1"/>
      <w:marLeft w:val="0"/>
      <w:marRight w:val="0"/>
      <w:marTop w:val="0"/>
      <w:marBottom w:val="0"/>
      <w:divBdr>
        <w:top w:val="none" w:sz="0" w:space="0" w:color="auto"/>
        <w:left w:val="none" w:sz="0" w:space="0" w:color="auto"/>
        <w:bottom w:val="none" w:sz="0" w:space="0" w:color="auto"/>
        <w:right w:val="none" w:sz="0" w:space="0" w:color="auto"/>
      </w:divBdr>
      <w:divsChild>
        <w:div w:id="1731880736">
          <w:marLeft w:val="0"/>
          <w:marRight w:val="0"/>
          <w:marTop w:val="0"/>
          <w:marBottom w:val="0"/>
          <w:divBdr>
            <w:top w:val="none" w:sz="0" w:space="0" w:color="auto"/>
            <w:left w:val="none" w:sz="0" w:space="0" w:color="auto"/>
            <w:bottom w:val="none" w:sz="0" w:space="0" w:color="auto"/>
            <w:right w:val="none" w:sz="0" w:space="0" w:color="auto"/>
          </w:divBdr>
          <w:divsChild>
            <w:div w:id="1132600098">
              <w:marLeft w:val="0"/>
              <w:marRight w:val="0"/>
              <w:marTop w:val="0"/>
              <w:marBottom w:val="0"/>
              <w:divBdr>
                <w:top w:val="none" w:sz="0" w:space="0" w:color="auto"/>
                <w:left w:val="none" w:sz="0" w:space="0" w:color="auto"/>
                <w:bottom w:val="none" w:sz="0" w:space="0" w:color="auto"/>
                <w:right w:val="none" w:sz="0" w:space="0" w:color="auto"/>
              </w:divBdr>
              <w:divsChild>
                <w:div w:id="14827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95870">
      <w:bodyDiv w:val="1"/>
      <w:marLeft w:val="0"/>
      <w:marRight w:val="0"/>
      <w:marTop w:val="0"/>
      <w:marBottom w:val="0"/>
      <w:divBdr>
        <w:top w:val="none" w:sz="0" w:space="0" w:color="auto"/>
        <w:left w:val="none" w:sz="0" w:space="0" w:color="auto"/>
        <w:bottom w:val="none" w:sz="0" w:space="0" w:color="auto"/>
        <w:right w:val="none" w:sz="0" w:space="0" w:color="auto"/>
      </w:divBdr>
      <w:divsChild>
        <w:div w:id="1662154306">
          <w:marLeft w:val="0"/>
          <w:marRight w:val="0"/>
          <w:marTop w:val="0"/>
          <w:marBottom w:val="0"/>
          <w:divBdr>
            <w:top w:val="none" w:sz="0" w:space="0" w:color="auto"/>
            <w:left w:val="none" w:sz="0" w:space="0" w:color="auto"/>
            <w:bottom w:val="none" w:sz="0" w:space="0" w:color="auto"/>
            <w:right w:val="none" w:sz="0" w:space="0" w:color="auto"/>
          </w:divBdr>
          <w:divsChild>
            <w:div w:id="427771214">
              <w:marLeft w:val="0"/>
              <w:marRight w:val="0"/>
              <w:marTop w:val="0"/>
              <w:marBottom w:val="0"/>
              <w:divBdr>
                <w:top w:val="none" w:sz="0" w:space="0" w:color="auto"/>
                <w:left w:val="none" w:sz="0" w:space="0" w:color="auto"/>
                <w:bottom w:val="none" w:sz="0" w:space="0" w:color="auto"/>
                <w:right w:val="none" w:sz="0" w:space="0" w:color="auto"/>
              </w:divBdr>
              <w:divsChild>
                <w:div w:id="94391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0957">
      <w:bodyDiv w:val="1"/>
      <w:marLeft w:val="0"/>
      <w:marRight w:val="0"/>
      <w:marTop w:val="0"/>
      <w:marBottom w:val="0"/>
      <w:divBdr>
        <w:top w:val="none" w:sz="0" w:space="0" w:color="auto"/>
        <w:left w:val="none" w:sz="0" w:space="0" w:color="auto"/>
        <w:bottom w:val="none" w:sz="0" w:space="0" w:color="auto"/>
        <w:right w:val="none" w:sz="0" w:space="0" w:color="auto"/>
      </w:divBdr>
      <w:divsChild>
        <w:div w:id="1599559158">
          <w:marLeft w:val="0"/>
          <w:marRight w:val="0"/>
          <w:marTop w:val="0"/>
          <w:marBottom w:val="0"/>
          <w:divBdr>
            <w:top w:val="none" w:sz="0" w:space="0" w:color="auto"/>
            <w:left w:val="none" w:sz="0" w:space="0" w:color="auto"/>
            <w:bottom w:val="none" w:sz="0" w:space="0" w:color="auto"/>
            <w:right w:val="none" w:sz="0" w:space="0" w:color="auto"/>
          </w:divBdr>
          <w:divsChild>
            <w:div w:id="1779333558">
              <w:marLeft w:val="0"/>
              <w:marRight w:val="0"/>
              <w:marTop w:val="0"/>
              <w:marBottom w:val="0"/>
              <w:divBdr>
                <w:top w:val="none" w:sz="0" w:space="0" w:color="auto"/>
                <w:left w:val="none" w:sz="0" w:space="0" w:color="auto"/>
                <w:bottom w:val="none" w:sz="0" w:space="0" w:color="auto"/>
                <w:right w:val="none" w:sz="0" w:space="0" w:color="auto"/>
              </w:divBdr>
              <w:divsChild>
                <w:div w:id="134501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557243">
      <w:bodyDiv w:val="1"/>
      <w:marLeft w:val="0"/>
      <w:marRight w:val="0"/>
      <w:marTop w:val="0"/>
      <w:marBottom w:val="0"/>
      <w:divBdr>
        <w:top w:val="none" w:sz="0" w:space="0" w:color="auto"/>
        <w:left w:val="none" w:sz="0" w:space="0" w:color="auto"/>
        <w:bottom w:val="none" w:sz="0" w:space="0" w:color="auto"/>
        <w:right w:val="none" w:sz="0" w:space="0" w:color="auto"/>
      </w:divBdr>
      <w:divsChild>
        <w:div w:id="686368346">
          <w:marLeft w:val="0"/>
          <w:marRight w:val="0"/>
          <w:marTop w:val="0"/>
          <w:marBottom w:val="0"/>
          <w:divBdr>
            <w:top w:val="none" w:sz="0" w:space="0" w:color="auto"/>
            <w:left w:val="none" w:sz="0" w:space="0" w:color="auto"/>
            <w:bottom w:val="none" w:sz="0" w:space="0" w:color="auto"/>
            <w:right w:val="none" w:sz="0" w:space="0" w:color="auto"/>
          </w:divBdr>
          <w:divsChild>
            <w:div w:id="393090244">
              <w:marLeft w:val="0"/>
              <w:marRight w:val="0"/>
              <w:marTop w:val="0"/>
              <w:marBottom w:val="0"/>
              <w:divBdr>
                <w:top w:val="none" w:sz="0" w:space="0" w:color="auto"/>
                <w:left w:val="none" w:sz="0" w:space="0" w:color="auto"/>
                <w:bottom w:val="none" w:sz="0" w:space="0" w:color="auto"/>
                <w:right w:val="none" w:sz="0" w:space="0" w:color="auto"/>
              </w:divBdr>
              <w:divsChild>
                <w:div w:id="5176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87122">
      <w:bodyDiv w:val="1"/>
      <w:marLeft w:val="0"/>
      <w:marRight w:val="0"/>
      <w:marTop w:val="0"/>
      <w:marBottom w:val="0"/>
      <w:divBdr>
        <w:top w:val="none" w:sz="0" w:space="0" w:color="auto"/>
        <w:left w:val="none" w:sz="0" w:space="0" w:color="auto"/>
        <w:bottom w:val="none" w:sz="0" w:space="0" w:color="auto"/>
        <w:right w:val="none" w:sz="0" w:space="0" w:color="auto"/>
      </w:divBdr>
      <w:divsChild>
        <w:div w:id="280382602">
          <w:marLeft w:val="0"/>
          <w:marRight w:val="0"/>
          <w:marTop w:val="0"/>
          <w:marBottom w:val="0"/>
          <w:divBdr>
            <w:top w:val="none" w:sz="0" w:space="0" w:color="auto"/>
            <w:left w:val="none" w:sz="0" w:space="0" w:color="auto"/>
            <w:bottom w:val="none" w:sz="0" w:space="0" w:color="auto"/>
            <w:right w:val="none" w:sz="0" w:space="0" w:color="auto"/>
          </w:divBdr>
          <w:divsChild>
            <w:div w:id="1784769657">
              <w:marLeft w:val="0"/>
              <w:marRight w:val="0"/>
              <w:marTop w:val="0"/>
              <w:marBottom w:val="0"/>
              <w:divBdr>
                <w:top w:val="none" w:sz="0" w:space="0" w:color="auto"/>
                <w:left w:val="none" w:sz="0" w:space="0" w:color="auto"/>
                <w:bottom w:val="none" w:sz="0" w:space="0" w:color="auto"/>
                <w:right w:val="none" w:sz="0" w:space="0" w:color="auto"/>
              </w:divBdr>
              <w:divsChild>
                <w:div w:id="11569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27090">
      <w:bodyDiv w:val="1"/>
      <w:marLeft w:val="0"/>
      <w:marRight w:val="0"/>
      <w:marTop w:val="0"/>
      <w:marBottom w:val="0"/>
      <w:divBdr>
        <w:top w:val="none" w:sz="0" w:space="0" w:color="auto"/>
        <w:left w:val="none" w:sz="0" w:space="0" w:color="auto"/>
        <w:bottom w:val="none" w:sz="0" w:space="0" w:color="auto"/>
        <w:right w:val="none" w:sz="0" w:space="0" w:color="auto"/>
      </w:divBdr>
      <w:divsChild>
        <w:div w:id="796681713">
          <w:marLeft w:val="0"/>
          <w:marRight w:val="0"/>
          <w:marTop w:val="0"/>
          <w:marBottom w:val="0"/>
          <w:divBdr>
            <w:top w:val="none" w:sz="0" w:space="0" w:color="auto"/>
            <w:left w:val="none" w:sz="0" w:space="0" w:color="auto"/>
            <w:bottom w:val="none" w:sz="0" w:space="0" w:color="auto"/>
            <w:right w:val="none" w:sz="0" w:space="0" w:color="auto"/>
          </w:divBdr>
          <w:divsChild>
            <w:div w:id="523439319">
              <w:marLeft w:val="0"/>
              <w:marRight w:val="0"/>
              <w:marTop w:val="0"/>
              <w:marBottom w:val="0"/>
              <w:divBdr>
                <w:top w:val="none" w:sz="0" w:space="0" w:color="auto"/>
                <w:left w:val="none" w:sz="0" w:space="0" w:color="auto"/>
                <w:bottom w:val="none" w:sz="0" w:space="0" w:color="auto"/>
                <w:right w:val="none" w:sz="0" w:space="0" w:color="auto"/>
              </w:divBdr>
              <w:divsChild>
                <w:div w:id="5973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98894">
      <w:bodyDiv w:val="1"/>
      <w:marLeft w:val="0"/>
      <w:marRight w:val="0"/>
      <w:marTop w:val="0"/>
      <w:marBottom w:val="0"/>
      <w:divBdr>
        <w:top w:val="none" w:sz="0" w:space="0" w:color="auto"/>
        <w:left w:val="none" w:sz="0" w:space="0" w:color="auto"/>
        <w:bottom w:val="none" w:sz="0" w:space="0" w:color="auto"/>
        <w:right w:val="none" w:sz="0" w:space="0" w:color="auto"/>
      </w:divBdr>
      <w:divsChild>
        <w:div w:id="119538879">
          <w:marLeft w:val="0"/>
          <w:marRight w:val="0"/>
          <w:marTop w:val="0"/>
          <w:marBottom w:val="0"/>
          <w:divBdr>
            <w:top w:val="none" w:sz="0" w:space="0" w:color="auto"/>
            <w:left w:val="none" w:sz="0" w:space="0" w:color="auto"/>
            <w:bottom w:val="none" w:sz="0" w:space="0" w:color="auto"/>
            <w:right w:val="none" w:sz="0" w:space="0" w:color="auto"/>
          </w:divBdr>
          <w:divsChild>
            <w:div w:id="1959602089">
              <w:marLeft w:val="0"/>
              <w:marRight w:val="0"/>
              <w:marTop w:val="0"/>
              <w:marBottom w:val="0"/>
              <w:divBdr>
                <w:top w:val="none" w:sz="0" w:space="0" w:color="auto"/>
                <w:left w:val="none" w:sz="0" w:space="0" w:color="auto"/>
                <w:bottom w:val="none" w:sz="0" w:space="0" w:color="auto"/>
                <w:right w:val="none" w:sz="0" w:space="0" w:color="auto"/>
              </w:divBdr>
              <w:divsChild>
                <w:div w:id="9423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1428">
          <w:marLeft w:val="0"/>
          <w:marRight w:val="0"/>
          <w:marTop w:val="0"/>
          <w:marBottom w:val="0"/>
          <w:divBdr>
            <w:top w:val="none" w:sz="0" w:space="0" w:color="auto"/>
            <w:left w:val="none" w:sz="0" w:space="0" w:color="auto"/>
            <w:bottom w:val="none" w:sz="0" w:space="0" w:color="auto"/>
            <w:right w:val="none" w:sz="0" w:space="0" w:color="auto"/>
          </w:divBdr>
          <w:divsChild>
            <w:div w:id="500580560">
              <w:marLeft w:val="0"/>
              <w:marRight w:val="0"/>
              <w:marTop w:val="0"/>
              <w:marBottom w:val="0"/>
              <w:divBdr>
                <w:top w:val="none" w:sz="0" w:space="0" w:color="auto"/>
                <w:left w:val="none" w:sz="0" w:space="0" w:color="auto"/>
                <w:bottom w:val="none" w:sz="0" w:space="0" w:color="auto"/>
                <w:right w:val="none" w:sz="0" w:space="0" w:color="auto"/>
              </w:divBdr>
              <w:divsChild>
                <w:div w:id="5686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7</TotalTime>
  <Pages>5</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8</cp:revision>
  <dcterms:created xsi:type="dcterms:W3CDTF">2024-07-22T05:56:00Z</dcterms:created>
  <dcterms:modified xsi:type="dcterms:W3CDTF">2024-08-28T05:18:00Z</dcterms:modified>
</cp:coreProperties>
</file>