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4B107FB1" w:rsidR="00227FD4" w:rsidRPr="00E641A1" w:rsidRDefault="00E71A67" w:rsidP="00AF212D">
      <w:pPr>
        <w:pStyle w:val="BodyTextSMPC"/>
        <w:rPr>
          <w:rFonts w:cstheme="minorBidi"/>
        </w:rPr>
      </w:pPr>
      <w:r w:rsidRPr="00E71A67">
        <w:t>Calcium Folinate</w:t>
      </w:r>
      <w:r>
        <w:rPr>
          <w:color w:val="FF0000"/>
        </w:rPr>
        <w:t xml:space="preserve"> </w:t>
      </w:r>
      <w:r w:rsidR="00C069FE" w:rsidRPr="005574FA">
        <w:rPr>
          <w:color w:val="FF0000"/>
        </w:rPr>
        <w:t>&lt;TRADE NAME&gt; &lt;STRENGTH&gt;</w:t>
      </w:r>
      <w:r w:rsidR="00A10233">
        <w:rPr>
          <w:color w:val="FF0000"/>
        </w:rPr>
        <w:t xml:space="preserve"> </w:t>
      </w:r>
      <w:r w:rsidR="004A2E5C">
        <w:t>S</w:t>
      </w:r>
      <w:r w:rsidR="004A2E5C" w:rsidRPr="004A2E5C">
        <w:t>olutions for injections or infusions</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0DA9DC66" w14:textId="3DEDE109" w:rsidR="00A10233" w:rsidRDefault="008639E1" w:rsidP="00E71A67">
      <w:pPr>
        <w:pStyle w:val="BodyTextSMPC"/>
      </w:pPr>
      <w:r w:rsidRPr="008639E1">
        <w:t xml:space="preserve">Each </w:t>
      </w:r>
      <w:r w:rsidR="007D1E27" w:rsidRPr="007D1E27">
        <w:rPr>
          <w:color w:val="FF0000"/>
        </w:rPr>
        <w:t>&lt;ml&gt;</w:t>
      </w:r>
      <w:r w:rsidR="001A30EC" w:rsidRPr="001A30EC">
        <w:t xml:space="preserve"> </w:t>
      </w:r>
      <w:r w:rsidR="00E71A67" w:rsidRPr="00E71A67">
        <w:t xml:space="preserve">of solution for injection/infusion contains </w:t>
      </w:r>
      <w:r w:rsidR="00E71A67">
        <w:rPr>
          <w:color w:val="FF0000"/>
        </w:rPr>
        <w:t xml:space="preserve"> </w:t>
      </w:r>
      <w:r w:rsidR="00A10233" w:rsidRPr="005574FA">
        <w:rPr>
          <w:color w:val="FF0000"/>
        </w:rPr>
        <w:t>&lt;STRENGTH&gt;</w:t>
      </w:r>
      <w:r w:rsidR="008C0C75">
        <w:rPr>
          <w:color w:val="FF0000"/>
        </w:rPr>
        <w:t xml:space="preserve"> </w:t>
      </w:r>
      <w:r w:rsidR="008C0C75" w:rsidRPr="008C0C75">
        <w:t>of</w:t>
      </w:r>
      <w:r w:rsidR="00A10233">
        <w:rPr>
          <w:color w:val="FF0000"/>
        </w:rPr>
        <w:t xml:space="preserve"> </w:t>
      </w:r>
      <w:r w:rsidR="00E71A67">
        <w:t>folinic acid provided as calcium folinate hydrate.</w:t>
      </w:r>
    </w:p>
    <w:p w14:paraId="5C373BE4" w14:textId="42A391AC" w:rsidR="00A144D2" w:rsidRPr="008F5678" w:rsidRDefault="00000000" w:rsidP="00AF212D">
      <w:pPr>
        <w:pStyle w:val="BodyTextSMPC"/>
      </w:pPr>
      <w:r w:rsidRPr="008F5678">
        <w:t xml:space="preserve">For the full list of excipients, see section 6.1. </w:t>
      </w:r>
    </w:p>
    <w:p w14:paraId="52CB22EB" w14:textId="13522123" w:rsidR="00227FD4" w:rsidRPr="008F5678" w:rsidRDefault="00000000" w:rsidP="00AF212D">
      <w:pPr>
        <w:pStyle w:val="BodyTextSMPC"/>
        <w:rPr>
          <w:color w:val="FF0000"/>
        </w:rPr>
      </w:pPr>
      <w:r w:rsidRPr="008F5678">
        <w:rPr>
          <w:color w:val="FF0000"/>
        </w:rPr>
        <w:t>&lt;REGARDING THE APPROVAL&gt;</w:t>
      </w:r>
    </w:p>
    <w:p w14:paraId="7E05B8A9" w14:textId="77777777" w:rsidR="00A144D2" w:rsidRPr="008F5678" w:rsidRDefault="00000000" w:rsidP="00834A79">
      <w:pPr>
        <w:pStyle w:val="HEADING1SMPC"/>
      </w:pPr>
      <w:r w:rsidRPr="008F5678">
        <w:t xml:space="preserve">PHARMACEUTICAL FORM </w:t>
      </w:r>
    </w:p>
    <w:p w14:paraId="74CE521D" w14:textId="0A6EB54B" w:rsidR="00227FD4" w:rsidRPr="00070173" w:rsidRDefault="004A2E5C" w:rsidP="00AF212D">
      <w:pPr>
        <w:pStyle w:val="BodyTextSMPC"/>
        <w:rPr>
          <w:rFonts w:cs="Angsana New"/>
          <w:szCs w:val="35"/>
        </w:rPr>
      </w:pPr>
      <w:r>
        <w:t>S</w:t>
      </w:r>
      <w:r w:rsidRPr="004A2E5C">
        <w:t>olutions for injections or infusions</w:t>
      </w:r>
      <w:r w:rsidR="001A30EC" w:rsidRPr="001A30EC">
        <w:t xml:space="preserve">. </w:t>
      </w:r>
      <w:r w:rsidR="008639E1" w:rsidRPr="008F5678">
        <w:rPr>
          <w:color w:val="FF0000"/>
        </w:rPr>
        <w:t>&lt;REGARDING THE APPROVAL&gt;</w:t>
      </w:r>
    </w:p>
    <w:p w14:paraId="5A03DC4E" w14:textId="77777777" w:rsidR="00177864" w:rsidRPr="008F5678" w:rsidRDefault="00000000" w:rsidP="00834A79">
      <w:pPr>
        <w:pStyle w:val="HEADING1SMPC"/>
        <w:rPr>
          <w:szCs w:val="28"/>
        </w:rPr>
      </w:pPr>
      <w:r w:rsidRPr="008F5678">
        <w:t>CLINICAL PARTICULARS</w:t>
      </w:r>
    </w:p>
    <w:p w14:paraId="00BC808A" w14:textId="6248A261" w:rsidR="00A10233" w:rsidRPr="00E86F32" w:rsidRDefault="00000000" w:rsidP="00E86F32">
      <w:pPr>
        <w:pStyle w:val="SubHeafingSMPC"/>
      </w:pPr>
      <w:r w:rsidRPr="008F5678">
        <w:t xml:space="preserve">Therapeutic indications </w:t>
      </w:r>
    </w:p>
    <w:p w14:paraId="1D1ADA97" w14:textId="77777777" w:rsidR="00E71A67" w:rsidRPr="00E71A67" w:rsidRDefault="00E71A67" w:rsidP="00E71A67">
      <w:pPr>
        <w:pStyle w:val="BodyTextSMPC"/>
        <w:rPr>
          <w:rFonts w:cstheme="minorBidi"/>
        </w:rPr>
      </w:pPr>
      <w:r w:rsidRPr="00E71A67">
        <w:rPr>
          <w:rFonts w:cstheme="minorBidi"/>
        </w:rPr>
        <w:t xml:space="preserve">Calcium folinate is indicated </w:t>
      </w:r>
    </w:p>
    <w:p w14:paraId="63296BD9" w14:textId="7A1B3FEC" w:rsidR="00E71A67" w:rsidRPr="00E71A67" w:rsidRDefault="00E71A67" w:rsidP="00E71A67">
      <w:pPr>
        <w:pStyle w:val="BodyTextSMPC"/>
        <w:rPr>
          <w:rFonts w:cstheme="minorBidi"/>
        </w:rPr>
      </w:pPr>
      <w:r w:rsidRPr="00E71A67">
        <w:rPr>
          <w:rFonts w:cstheme="minorBidi"/>
        </w:rPr>
        <w:t xml:space="preserve">• to diminish the toxicity and counteract the action of folic acid antagonists such as methotrexate in cytotoxic therapy and overdose in adults and children. In cytotoxic therapy, this procedure is commonly known as "Calcium Folinate Rescue" </w:t>
      </w:r>
    </w:p>
    <w:p w14:paraId="2BCE2209" w14:textId="02703361" w:rsidR="00C864CB" w:rsidRDefault="00E71A67" w:rsidP="00E71A67">
      <w:pPr>
        <w:pStyle w:val="BodyTextSMPC"/>
        <w:rPr>
          <w:rFonts w:cstheme="minorBidi"/>
        </w:rPr>
      </w:pPr>
      <w:r w:rsidRPr="00E71A67">
        <w:rPr>
          <w:rFonts w:cstheme="minorBidi"/>
        </w:rPr>
        <w:t>• in combination with 5-fluorouracil in cytotoxic therapy.</w:t>
      </w:r>
    </w:p>
    <w:p w14:paraId="361392E9" w14:textId="0F394946" w:rsidR="00732389" w:rsidRPr="00C864CB" w:rsidRDefault="00000000" w:rsidP="00C864CB">
      <w:pPr>
        <w:pStyle w:val="SubHeafingSMPC"/>
      </w:pPr>
      <w:r w:rsidRPr="008F5678">
        <w:t>Posology and method of administration</w:t>
      </w:r>
    </w:p>
    <w:p w14:paraId="6DEA1F38" w14:textId="58E24440" w:rsidR="00BA3DFB" w:rsidRDefault="00BA3DFB" w:rsidP="00BA3DFB">
      <w:pPr>
        <w:pStyle w:val="BodyTextSMPC"/>
      </w:pPr>
      <w:r w:rsidRPr="008F5678">
        <w:rPr>
          <w:color w:val="FF0000"/>
        </w:rPr>
        <w:t>&lt;REGARDING THE APPROVAL&gt;</w:t>
      </w:r>
    </w:p>
    <w:p w14:paraId="7F727D72" w14:textId="77777777" w:rsidR="00E71A67" w:rsidRPr="00E71A67" w:rsidRDefault="00E71A67" w:rsidP="00E71A67">
      <w:pPr>
        <w:pStyle w:val="BodyTextSMPC"/>
        <w:rPr>
          <w:b/>
          <w:bCs/>
        </w:rPr>
      </w:pPr>
      <w:r w:rsidRPr="00E71A67">
        <w:rPr>
          <w:b/>
          <w:bCs/>
        </w:rPr>
        <w:t>Posology</w:t>
      </w:r>
    </w:p>
    <w:p w14:paraId="66437613" w14:textId="77777777" w:rsidR="00E71A67" w:rsidRDefault="00E71A67" w:rsidP="00E71A67">
      <w:pPr>
        <w:pStyle w:val="BodyTextSMPC"/>
      </w:pPr>
      <w:r w:rsidRPr="00E71A67">
        <w:rPr>
          <w:u w:val="single"/>
        </w:rPr>
        <w:lastRenderedPageBreak/>
        <w:t>Calcium Folinate Rescue in methotrexate therap</w:t>
      </w:r>
      <w:r>
        <w:t>y:</w:t>
      </w:r>
    </w:p>
    <w:p w14:paraId="114F4151" w14:textId="30C77911" w:rsidR="00E71A67" w:rsidRDefault="00E71A67" w:rsidP="00E71A67">
      <w:pPr>
        <w:pStyle w:val="BodyTextSMPC"/>
      </w:pPr>
      <w:r>
        <w:t xml:space="preserve">Refer to the applied intermediate- or high-dose methotrexate protocol for posology and method of administration of calcium folinate. The methotrexate protocol will dictate the dosage regimen of Calcium Folinate Rescue because it depends heavily on the posology and method of the intermediate- or high-dose methotrexate administration. </w:t>
      </w:r>
    </w:p>
    <w:p w14:paraId="3CA6114A" w14:textId="3FC80628" w:rsidR="00E71A67" w:rsidRDefault="00E71A67" w:rsidP="002449CF">
      <w:pPr>
        <w:pStyle w:val="BodyTextSMPC"/>
      </w:pPr>
      <w:r>
        <w:t xml:space="preserve">The following guidelines may serve as an illustration of regimens used in adults, elderly and children: </w:t>
      </w:r>
    </w:p>
    <w:p w14:paraId="5C1C9D06" w14:textId="22FA1368" w:rsidR="00E71A67" w:rsidRDefault="00E71A67" w:rsidP="002449CF">
      <w:pPr>
        <w:pStyle w:val="BodyTextSMPC"/>
      </w:pPr>
      <w:r>
        <w:t xml:space="preserve">Calcium folinate rescue has to be performed by parenteral administration in patients with malabsorption syndromes or other gastrointestinal disorders where enteral absorption is not assured. </w:t>
      </w:r>
    </w:p>
    <w:p w14:paraId="0FFDAA35" w14:textId="6EC746E2" w:rsidR="00E71A67" w:rsidRDefault="00E71A67" w:rsidP="002449CF">
      <w:pPr>
        <w:pStyle w:val="BodyTextSMPC"/>
      </w:pPr>
      <w:r>
        <w:t xml:space="preserve">Dosages above 25-50 mg should be given parenterally due to saturable enteral absorption of calcium folinate. </w:t>
      </w:r>
    </w:p>
    <w:p w14:paraId="77CE8EBE" w14:textId="60315A33" w:rsidR="00E71A67" w:rsidRDefault="00E71A67" w:rsidP="002449CF">
      <w:pPr>
        <w:pStyle w:val="BodyTextSMPC"/>
      </w:pPr>
      <w:r>
        <w:t>Calcium Folinate Rescue is necessary when methotrexate is given at doses exceeding 500 mg/m</w:t>
      </w:r>
      <w:r w:rsidRPr="002449CF">
        <w:rPr>
          <w:vertAlign w:val="superscript"/>
        </w:rPr>
        <w:t>2</w:t>
      </w:r>
      <w:r>
        <w:t xml:space="preserve"> body surface and has to be considered with doses of 100 mg – 500 mg/m</w:t>
      </w:r>
      <w:r w:rsidRPr="002449CF">
        <w:rPr>
          <w:vertAlign w:val="superscript"/>
        </w:rPr>
        <w:t>2</w:t>
      </w:r>
      <w:r>
        <w:t xml:space="preserve">body surface. </w:t>
      </w:r>
    </w:p>
    <w:p w14:paraId="09E456EF" w14:textId="3DF768C3" w:rsidR="00E71A67" w:rsidRDefault="00E71A67" w:rsidP="002449CF">
      <w:pPr>
        <w:pStyle w:val="BodyTextSMPC"/>
      </w:pPr>
      <w:r>
        <w:t xml:space="preserve">Dosage and duration of use of Calcium folinate primarily depend on the type and dosage of methotrexate therapy, the occurrence of toxicity symptoms, and the individual excretion capacity for methotrexate. As a rule, the first dose of Calcium folinate is 15 mg (6-12 mg/m²) to be given 12-24 hours (24 hours at the latest) after the beginning of the methotrexate infusion. The same dose is given every 6 hours throughout a period of 72 hours. After several parenteral doses treatment can be switched over to the oral form. </w:t>
      </w:r>
    </w:p>
    <w:p w14:paraId="5F0CCB6F" w14:textId="0A049D20" w:rsidR="00E71A67" w:rsidRDefault="00E71A67" w:rsidP="002449CF">
      <w:pPr>
        <w:pStyle w:val="BodyTextSMPC"/>
      </w:pPr>
      <w:r>
        <w:t xml:space="preserve">In addition to calcium folinate administration, measures to ensure the rapid excretion of methotrexate (maintenance of high urine output and </w:t>
      </w:r>
      <w:proofErr w:type="spellStart"/>
      <w:r>
        <w:t>alkalinisation</w:t>
      </w:r>
      <w:proofErr w:type="spellEnd"/>
      <w:r>
        <w:t xml:space="preserve"> of urine) are integral parts of the Calcium Folinate Rescue treatment. Renal function should be monitored by measuring serum creatinine levels daily. </w:t>
      </w:r>
    </w:p>
    <w:p w14:paraId="691D875E" w14:textId="3EB35C72" w:rsidR="00BD1BD1" w:rsidRDefault="00E71A67" w:rsidP="002449CF">
      <w:pPr>
        <w:pStyle w:val="BodyTextSMPC"/>
      </w:pPr>
      <w:r>
        <w:t>The residual methotrexate-level, in the blood, should be measured, forty-eight hours after the start of the methotrexate-infusion. If the residual methotrexate-level is &gt; 0.5 µmol/l, then the dosage of calcium folinate dosages should be adapted according to the following table</w:t>
      </w:r>
      <w:r w:rsidR="00BD1BD1">
        <w:t>.</w:t>
      </w:r>
    </w:p>
    <w:tbl>
      <w:tblPr>
        <w:tblStyle w:val="af5"/>
        <w:tblW w:w="0" w:type="auto"/>
        <w:tblInd w:w="794" w:type="dxa"/>
        <w:tblLook w:val="04A0" w:firstRow="1" w:lastRow="0" w:firstColumn="1" w:lastColumn="0" w:noHBand="0" w:noVBand="1"/>
      </w:tblPr>
      <w:tblGrid>
        <w:gridCol w:w="4010"/>
        <w:gridCol w:w="3987"/>
      </w:tblGrid>
      <w:tr w:rsidR="002449CF" w14:paraId="27880F11" w14:textId="77777777" w:rsidTr="002449CF">
        <w:tc>
          <w:tcPr>
            <w:tcW w:w="4395" w:type="dxa"/>
          </w:tcPr>
          <w:p w14:paraId="598E7255" w14:textId="77777777" w:rsidR="002449CF" w:rsidRDefault="002449CF" w:rsidP="002449CF">
            <w:pPr>
              <w:pStyle w:val="BodyTextSMPC"/>
              <w:spacing w:after="0"/>
              <w:ind w:left="0"/>
              <w:jc w:val="left"/>
            </w:pPr>
            <w:r>
              <w:lastRenderedPageBreak/>
              <w:t xml:space="preserve">Residual methotrexate level in </w:t>
            </w:r>
          </w:p>
          <w:p w14:paraId="48C5194B" w14:textId="77777777" w:rsidR="002449CF" w:rsidRDefault="002449CF" w:rsidP="002449CF">
            <w:pPr>
              <w:pStyle w:val="BodyTextSMPC"/>
              <w:spacing w:after="0"/>
              <w:ind w:left="0"/>
              <w:jc w:val="left"/>
            </w:pPr>
            <w:r>
              <w:t xml:space="preserve">the blood 48 hours after the start </w:t>
            </w:r>
          </w:p>
          <w:p w14:paraId="4C683A19" w14:textId="77777777" w:rsidR="002449CF" w:rsidRDefault="002449CF" w:rsidP="002449CF">
            <w:pPr>
              <w:pStyle w:val="BodyTextSMPC"/>
              <w:spacing w:after="0"/>
              <w:ind w:left="0"/>
              <w:jc w:val="left"/>
            </w:pPr>
            <w:r>
              <w:t xml:space="preserve">of the methotrexate </w:t>
            </w:r>
          </w:p>
          <w:p w14:paraId="2201E25E" w14:textId="5589A17B" w:rsidR="002449CF" w:rsidRDefault="002449CF" w:rsidP="002449CF">
            <w:pPr>
              <w:pStyle w:val="BodyTextSMPC"/>
              <w:spacing w:after="0"/>
              <w:ind w:left="0"/>
              <w:jc w:val="left"/>
            </w:pPr>
            <w:r>
              <w:t>administration</w:t>
            </w:r>
          </w:p>
        </w:tc>
        <w:tc>
          <w:tcPr>
            <w:tcW w:w="4396" w:type="dxa"/>
          </w:tcPr>
          <w:p w14:paraId="06C5C5AA" w14:textId="77777777" w:rsidR="002449CF" w:rsidRDefault="002449CF" w:rsidP="002449CF">
            <w:pPr>
              <w:pStyle w:val="BodyTextSMPC"/>
              <w:spacing w:after="0"/>
              <w:ind w:left="0"/>
              <w:jc w:val="left"/>
            </w:pPr>
            <w:r>
              <w:t xml:space="preserve">Additional Calcium folinate to be </w:t>
            </w:r>
          </w:p>
          <w:p w14:paraId="3D560199" w14:textId="12DCC08B" w:rsidR="002449CF" w:rsidRDefault="002449CF" w:rsidP="002449CF">
            <w:pPr>
              <w:pStyle w:val="BodyTextSMPC"/>
              <w:spacing w:after="0"/>
              <w:ind w:left="0"/>
              <w:jc w:val="left"/>
            </w:pPr>
            <w:r>
              <w:t>administered every 6 hours for 48 hours</w:t>
            </w:r>
            <w:r w:rsidR="004311A2">
              <w:t xml:space="preserve"> </w:t>
            </w:r>
            <w:r>
              <w:t>or until levels of methotrexate are lower</w:t>
            </w:r>
            <w:r w:rsidR="004311A2">
              <w:t xml:space="preserve"> </w:t>
            </w:r>
            <w:r>
              <w:t>than 0.05µmol/l</w:t>
            </w:r>
          </w:p>
        </w:tc>
      </w:tr>
      <w:tr w:rsidR="002449CF" w14:paraId="615907EB" w14:textId="77777777" w:rsidTr="002449CF">
        <w:tc>
          <w:tcPr>
            <w:tcW w:w="4395" w:type="dxa"/>
          </w:tcPr>
          <w:p w14:paraId="29B6D9C4" w14:textId="6E6E71DC" w:rsidR="002449CF" w:rsidRDefault="002449CF" w:rsidP="002449CF">
            <w:pPr>
              <w:pStyle w:val="BodyTextSMPC"/>
              <w:spacing w:after="0"/>
              <w:ind w:left="0"/>
              <w:jc w:val="left"/>
            </w:pPr>
            <w:r w:rsidRPr="002449CF">
              <w:t>&gt; 0.5 µmol/l</w:t>
            </w:r>
          </w:p>
        </w:tc>
        <w:tc>
          <w:tcPr>
            <w:tcW w:w="4396" w:type="dxa"/>
          </w:tcPr>
          <w:p w14:paraId="66CCFED4" w14:textId="74A5BCB5" w:rsidR="002449CF" w:rsidRDefault="002449CF" w:rsidP="002449CF">
            <w:pPr>
              <w:pStyle w:val="BodyTextSMPC"/>
              <w:spacing w:after="0"/>
              <w:ind w:left="0"/>
              <w:jc w:val="left"/>
            </w:pPr>
            <w:r w:rsidRPr="002449CF">
              <w:t>15 mg/m²</w:t>
            </w:r>
          </w:p>
        </w:tc>
      </w:tr>
      <w:tr w:rsidR="002449CF" w14:paraId="1BB86AC6" w14:textId="77777777" w:rsidTr="002449CF">
        <w:tc>
          <w:tcPr>
            <w:tcW w:w="4395" w:type="dxa"/>
          </w:tcPr>
          <w:p w14:paraId="2F91BAB5" w14:textId="2E938B47" w:rsidR="002449CF" w:rsidRDefault="002449CF" w:rsidP="002449CF">
            <w:pPr>
              <w:pStyle w:val="BodyTextSMPC"/>
              <w:spacing w:after="0"/>
              <w:ind w:left="0"/>
              <w:jc w:val="left"/>
            </w:pPr>
            <w:r w:rsidRPr="002449CF">
              <w:t>&gt; 1.0 µmol/l</w:t>
            </w:r>
          </w:p>
        </w:tc>
        <w:tc>
          <w:tcPr>
            <w:tcW w:w="4396" w:type="dxa"/>
          </w:tcPr>
          <w:p w14:paraId="04B480A8" w14:textId="11694C20" w:rsidR="002449CF" w:rsidRDefault="002449CF" w:rsidP="002449CF">
            <w:pPr>
              <w:pStyle w:val="BodyTextSMPC"/>
              <w:spacing w:after="0"/>
              <w:ind w:left="0"/>
              <w:jc w:val="left"/>
            </w:pPr>
            <w:r w:rsidRPr="002449CF">
              <w:t>100 mg/m²</w:t>
            </w:r>
          </w:p>
        </w:tc>
      </w:tr>
      <w:tr w:rsidR="002449CF" w14:paraId="532999EB" w14:textId="77777777" w:rsidTr="002449CF">
        <w:tc>
          <w:tcPr>
            <w:tcW w:w="4395" w:type="dxa"/>
          </w:tcPr>
          <w:p w14:paraId="0CE4FB2F" w14:textId="13885679" w:rsidR="002449CF" w:rsidRDefault="002449CF" w:rsidP="002449CF">
            <w:pPr>
              <w:pStyle w:val="BodyTextSMPC"/>
              <w:spacing w:after="0"/>
              <w:ind w:left="0"/>
              <w:jc w:val="left"/>
            </w:pPr>
            <w:r w:rsidRPr="002449CF">
              <w:t>&gt; 2.0 µmol/l</w:t>
            </w:r>
          </w:p>
        </w:tc>
        <w:tc>
          <w:tcPr>
            <w:tcW w:w="4396" w:type="dxa"/>
          </w:tcPr>
          <w:p w14:paraId="4784F7F7" w14:textId="4C11CD29" w:rsidR="002449CF" w:rsidRDefault="002449CF" w:rsidP="002449CF">
            <w:pPr>
              <w:pStyle w:val="BodyTextSMPC"/>
              <w:spacing w:after="0"/>
              <w:ind w:left="0"/>
              <w:jc w:val="left"/>
            </w:pPr>
            <w:r w:rsidRPr="002449CF">
              <w:t>200 mg/m²</w:t>
            </w:r>
          </w:p>
        </w:tc>
      </w:tr>
    </w:tbl>
    <w:p w14:paraId="2FEAA164" w14:textId="77777777" w:rsidR="002449CF" w:rsidRDefault="002449CF" w:rsidP="002449CF">
      <w:pPr>
        <w:pStyle w:val="BodyTextSMPC"/>
      </w:pPr>
    </w:p>
    <w:p w14:paraId="74E84A57" w14:textId="77777777" w:rsidR="004311A2" w:rsidRDefault="004311A2" w:rsidP="004311A2">
      <w:pPr>
        <w:pStyle w:val="BodyTextSMPC"/>
      </w:pPr>
      <w:r w:rsidRPr="004311A2">
        <w:rPr>
          <w:u w:val="single"/>
        </w:rPr>
        <w:t>In combination with 5-fluorouracil in cytotoxic therapy</w:t>
      </w:r>
      <w:r>
        <w:t>:</w:t>
      </w:r>
    </w:p>
    <w:p w14:paraId="4C971D01" w14:textId="3F92D6EC" w:rsidR="004311A2" w:rsidRDefault="004311A2" w:rsidP="004311A2">
      <w:pPr>
        <w:pStyle w:val="BodyTextSMPC"/>
      </w:pPr>
      <w:r>
        <w:t xml:space="preserve">Different regimens and different dosages are </w:t>
      </w:r>
      <w:proofErr w:type="gramStart"/>
      <w:r>
        <w:t>used,</w:t>
      </w:r>
      <w:proofErr w:type="gramEnd"/>
      <w:r>
        <w:t xml:space="preserve"> however, no optimal dosage or regimen have been determined. </w:t>
      </w:r>
    </w:p>
    <w:p w14:paraId="12DB5A77" w14:textId="205DD6F9" w:rsidR="004311A2" w:rsidRDefault="004311A2" w:rsidP="004311A2">
      <w:pPr>
        <w:pStyle w:val="BodyTextSMPC"/>
      </w:pPr>
      <w:r>
        <w:t xml:space="preserve">The following regimens have been used in adults and the elderly in the treatment of advanced or metastatic colorectal cancer and are given as examples. There are no data on the use of calcium folinate in combination with 5-fluorouracil in children: </w:t>
      </w:r>
    </w:p>
    <w:p w14:paraId="042A3145" w14:textId="77777777" w:rsidR="004311A2" w:rsidRDefault="004311A2" w:rsidP="004311A2">
      <w:pPr>
        <w:pStyle w:val="BodyTextSMPC"/>
      </w:pPr>
      <w:r>
        <w:t xml:space="preserve">Bimonthly regimen: </w:t>
      </w:r>
    </w:p>
    <w:p w14:paraId="287D4F97" w14:textId="45DA2414" w:rsidR="004311A2" w:rsidRDefault="004311A2" w:rsidP="004311A2">
      <w:pPr>
        <w:pStyle w:val="BodyTextSMPC"/>
      </w:pPr>
      <w:r>
        <w:t xml:space="preserve">Calcium folinate 200mg/m² by intravenous infusion over two hours, followed by an intravenous bolus of 400 mg/m² of 5-Fluorouracil and a 22-hour intravenous infusion of 5-Fluorouracil (600 mg/m²) for 2 consecutive days, every 2 weeks on days 1 and 2. </w:t>
      </w:r>
    </w:p>
    <w:p w14:paraId="6A630EF9" w14:textId="77777777" w:rsidR="004311A2" w:rsidRDefault="004311A2" w:rsidP="004311A2">
      <w:pPr>
        <w:pStyle w:val="BodyTextSMPC"/>
      </w:pPr>
      <w:r>
        <w:t xml:space="preserve">Weekly regimen: </w:t>
      </w:r>
    </w:p>
    <w:p w14:paraId="04592D9B" w14:textId="2258260C" w:rsidR="004311A2" w:rsidRDefault="004311A2" w:rsidP="004311A2">
      <w:pPr>
        <w:pStyle w:val="BodyTextSMPC"/>
      </w:pPr>
      <w:r>
        <w:t xml:space="preserve">Calcium folinate 20mg/m² by intravenous bolus. injection or 200 to 500 mg/m² intravenous. infusion over a period of 2 hours, plus 500 mg/m² 5-fluorouracil as an intravenous bolus injection in the middle, or at the end, of the calcium folinate infusion. </w:t>
      </w:r>
    </w:p>
    <w:p w14:paraId="6C373D0B" w14:textId="77777777" w:rsidR="004311A2" w:rsidRDefault="004311A2" w:rsidP="004311A2">
      <w:pPr>
        <w:pStyle w:val="BodyTextSMPC"/>
      </w:pPr>
      <w:r>
        <w:t xml:space="preserve">Monthly regimen: </w:t>
      </w:r>
    </w:p>
    <w:p w14:paraId="3978EB2B" w14:textId="7FFE4954" w:rsidR="004311A2" w:rsidRDefault="004311A2" w:rsidP="004311A2">
      <w:pPr>
        <w:pStyle w:val="BodyTextSMPC"/>
      </w:pPr>
      <w:r>
        <w:t xml:space="preserve">Calcium folinate 20 mg/m² by bolus </w:t>
      </w:r>
      <w:proofErr w:type="spellStart"/>
      <w:r>
        <w:t>i.v.</w:t>
      </w:r>
      <w:proofErr w:type="spellEnd"/>
      <w:r>
        <w:t xml:space="preserve"> injection or 200 to 500 mg/m² as </w:t>
      </w:r>
      <w:proofErr w:type="spellStart"/>
      <w:r>
        <w:t>i.v.</w:t>
      </w:r>
      <w:proofErr w:type="spellEnd"/>
      <w:r>
        <w:t xml:space="preserve"> infusion over a period of 2 hours immediately followed by 425 or 370 mg/m² 5-fluorouracil as an intravenous bolus injection over five consecutive days. </w:t>
      </w:r>
    </w:p>
    <w:p w14:paraId="343C2F1E" w14:textId="36626851" w:rsidR="004311A2" w:rsidRDefault="004311A2" w:rsidP="004311A2">
      <w:pPr>
        <w:pStyle w:val="BodyTextSMPC"/>
      </w:pPr>
      <w:r>
        <w:lastRenderedPageBreak/>
        <w:t xml:space="preserve">For the use of calcium folinate in combination with 5-fluorouracil, modification of the 5-fluorouacil dosage and the treatment-free interval may be necessary depending on patient condition, clinical response and dose limiting toxicity as stated in the product information of 5-fluorouracil. A reduction of calcium folinate dosage is not required. </w:t>
      </w:r>
    </w:p>
    <w:p w14:paraId="03E86705" w14:textId="77777777" w:rsidR="004311A2" w:rsidRDefault="004311A2" w:rsidP="004311A2">
      <w:pPr>
        <w:pStyle w:val="BodyTextSMPC"/>
      </w:pPr>
      <w:r>
        <w:t xml:space="preserve">The number of repeat cycles used is at the discretion of the clinician. </w:t>
      </w:r>
    </w:p>
    <w:p w14:paraId="6E8A9E27" w14:textId="7848BEE5" w:rsidR="004311A2" w:rsidRDefault="004311A2" w:rsidP="004311A2">
      <w:pPr>
        <w:pStyle w:val="BodyTextSMPC"/>
      </w:pPr>
      <w:r>
        <w:t xml:space="preserve">Antidote to the folic acid antagonists trimetrexate, </w:t>
      </w:r>
      <w:proofErr w:type="spellStart"/>
      <w:r>
        <w:t>trimethoprime</w:t>
      </w:r>
      <w:proofErr w:type="spellEnd"/>
      <w:r>
        <w:t xml:space="preserve">, and pyrimethamine: </w:t>
      </w:r>
    </w:p>
    <w:p w14:paraId="56E24184" w14:textId="77777777" w:rsidR="004311A2" w:rsidRDefault="004311A2" w:rsidP="004311A2">
      <w:pPr>
        <w:pStyle w:val="BodyTextSMPC"/>
      </w:pPr>
      <w:r>
        <w:t xml:space="preserve">Trimetrexate toxicity: </w:t>
      </w:r>
    </w:p>
    <w:p w14:paraId="7DE5BB1F" w14:textId="60469620" w:rsidR="004311A2" w:rsidRDefault="004311A2" w:rsidP="004311A2">
      <w:pPr>
        <w:pStyle w:val="BodyTextSMPC"/>
      </w:pPr>
      <w:r>
        <w:t xml:space="preserve">• Prevention: Calcium folinate should be administered every day during treatment with trimetrexate and for 72 hours after the last dose of trimetrexate. Calcium folinate can be administered either intravenous route at a dose of 20 mg/m² for 5 to 10 minutes every 6 hours for a total daily dose of 80 mg/m², or by oral route with four doses of 20 mg/m² administered at equal time intervals. Daily doses of calcium folinate should be adjusted depending on the </w:t>
      </w:r>
      <w:proofErr w:type="spellStart"/>
      <w:r>
        <w:t>haematological</w:t>
      </w:r>
      <w:proofErr w:type="spellEnd"/>
      <w:r>
        <w:t xml:space="preserve"> toxicity of trimetrexate. </w:t>
      </w:r>
    </w:p>
    <w:p w14:paraId="4459335A" w14:textId="30DE337C" w:rsidR="004311A2" w:rsidRDefault="004311A2" w:rsidP="004311A2">
      <w:pPr>
        <w:pStyle w:val="BodyTextSMPC"/>
      </w:pPr>
      <w:r>
        <w:t xml:space="preserve">• Over dosage (possibly occurring with trimetrexate doses above 90 mg/m² without concomitant administration of calcium folinate): after stopping trimetrexate, calcium folinate 40 mg/m2 IV every 6 hours for 3 days. </w:t>
      </w:r>
    </w:p>
    <w:p w14:paraId="2D13D811" w14:textId="77777777" w:rsidR="004311A2" w:rsidRDefault="004311A2" w:rsidP="004311A2">
      <w:pPr>
        <w:pStyle w:val="BodyTextSMPC"/>
      </w:pPr>
      <w:proofErr w:type="spellStart"/>
      <w:r>
        <w:t>Trimethoprime</w:t>
      </w:r>
      <w:proofErr w:type="spellEnd"/>
      <w:r>
        <w:t xml:space="preserve"> toxicity: </w:t>
      </w:r>
    </w:p>
    <w:p w14:paraId="691E706B" w14:textId="5769EC72" w:rsidR="004311A2" w:rsidRDefault="004311A2" w:rsidP="004311A2">
      <w:pPr>
        <w:pStyle w:val="BodyTextSMPC"/>
      </w:pPr>
      <w:r>
        <w:t xml:space="preserve">After stopping </w:t>
      </w:r>
      <w:proofErr w:type="spellStart"/>
      <w:r>
        <w:t>trimethoprime</w:t>
      </w:r>
      <w:proofErr w:type="spellEnd"/>
      <w:r>
        <w:t xml:space="preserve">, 3-10 mg/day calcium folinate until recovery of a normal blood count. </w:t>
      </w:r>
    </w:p>
    <w:p w14:paraId="4FCBB879" w14:textId="77777777" w:rsidR="004311A2" w:rsidRDefault="004311A2" w:rsidP="004311A2">
      <w:pPr>
        <w:pStyle w:val="BodyTextSMPC"/>
      </w:pPr>
      <w:r>
        <w:t xml:space="preserve">Pyrimethamine toxicity: </w:t>
      </w:r>
    </w:p>
    <w:p w14:paraId="15CA490D" w14:textId="4F4414E1" w:rsidR="00015DD1" w:rsidRDefault="004311A2" w:rsidP="004311A2">
      <w:pPr>
        <w:pStyle w:val="BodyTextSMPC"/>
      </w:pPr>
      <w:r>
        <w:t>• In cases of high dose pyrimethamine or prolonged treatment with low doses, calcium folinate 5 to 50 mg/day should be simultaneously administered, based on the results of the peripheral blood counts.</w:t>
      </w:r>
    </w:p>
    <w:p w14:paraId="3F5A45C6" w14:textId="4F2BFD74" w:rsidR="004311A2" w:rsidRDefault="004311A2" w:rsidP="004311A2">
      <w:pPr>
        <w:pStyle w:val="BodyTextSMPC"/>
      </w:pPr>
      <w:r w:rsidRPr="004311A2">
        <w:rPr>
          <w:b/>
          <w:bCs/>
        </w:rPr>
        <w:t>Method of administration</w:t>
      </w:r>
    </w:p>
    <w:p w14:paraId="23C1FC8E" w14:textId="65A72BF2" w:rsidR="004311A2" w:rsidRDefault="004311A2" w:rsidP="004311A2">
      <w:pPr>
        <w:pStyle w:val="BodyTextSMPC"/>
      </w:pPr>
      <w:r w:rsidRPr="00DB2BE7">
        <w:rPr>
          <w:b/>
          <w:bCs/>
          <w:u w:val="single"/>
        </w:rPr>
        <w:t>Calcium folinate should only be given by intramuscular or intravenous injection and must not be administered intrathecally</w:t>
      </w:r>
      <w:r>
        <w:t xml:space="preserve">. </w:t>
      </w:r>
    </w:p>
    <w:p w14:paraId="753BE85A" w14:textId="58EF2F5C" w:rsidR="004311A2" w:rsidRDefault="004311A2" w:rsidP="004311A2">
      <w:pPr>
        <w:pStyle w:val="BodyTextSMPC"/>
      </w:pPr>
      <w:r>
        <w:lastRenderedPageBreak/>
        <w:t xml:space="preserve">Death has been reported when folinic acid has been administered intrathecally, following intrathecal overdose of methotrexate. </w:t>
      </w:r>
    </w:p>
    <w:p w14:paraId="4011A2AE" w14:textId="6AF8B9EE" w:rsidR="004311A2" w:rsidRDefault="004311A2" w:rsidP="004311A2">
      <w:pPr>
        <w:pStyle w:val="BodyTextSMPC"/>
      </w:pPr>
      <w:r>
        <w:t xml:space="preserve">In the case of intravenous administration, no more than 160mg of calcium folinate should be injected per minute due to the calcium content of the solution. </w:t>
      </w:r>
    </w:p>
    <w:p w14:paraId="6B255F2A" w14:textId="11924D65" w:rsidR="00D511A4" w:rsidRDefault="004311A2" w:rsidP="00DB2BE7">
      <w:pPr>
        <w:pStyle w:val="BodyTextSMPC"/>
      </w:pPr>
      <w:r>
        <w:t>For intravenous infusion, calcium folinate may be diluted with 0.9 % sodium chloride solution or 5 % glucose solution before use. For instructions on dilution of the product before administration, see section 6.6.</w:t>
      </w:r>
    </w:p>
    <w:p w14:paraId="5B05A77F" w14:textId="77777777" w:rsidR="00671E86" w:rsidRPr="008F5678" w:rsidRDefault="00000000" w:rsidP="00233A79">
      <w:pPr>
        <w:pStyle w:val="SubHeafingSMPC"/>
      </w:pPr>
      <w:r w:rsidRPr="008F5678">
        <w:t>Contraindications</w:t>
      </w:r>
    </w:p>
    <w:p w14:paraId="26E2E3D1" w14:textId="54B25907" w:rsidR="00DB2BE7" w:rsidRDefault="00DB2BE7" w:rsidP="00DB2BE7">
      <w:pPr>
        <w:pStyle w:val="BodyTextSMPC"/>
      </w:pPr>
      <w:r>
        <w:t xml:space="preserve">• Hypersensitivity to calcium folinate, or to any of the excipients listed in section 6.1 </w:t>
      </w:r>
    </w:p>
    <w:p w14:paraId="694A8A7C" w14:textId="77777777" w:rsidR="00DB2BE7" w:rsidRDefault="00DB2BE7" w:rsidP="00DB2BE7">
      <w:pPr>
        <w:pStyle w:val="BodyTextSMPC"/>
      </w:pPr>
      <w:r>
        <w:t xml:space="preserve">• Pernicious </w:t>
      </w:r>
      <w:proofErr w:type="spellStart"/>
      <w:r>
        <w:t>anaemia</w:t>
      </w:r>
      <w:proofErr w:type="spellEnd"/>
      <w:r>
        <w:t xml:space="preserve"> or other </w:t>
      </w:r>
      <w:proofErr w:type="spellStart"/>
      <w:r>
        <w:t>anaemias</w:t>
      </w:r>
      <w:proofErr w:type="spellEnd"/>
      <w:r>
        <w:t xml:space="preserve"> due to vitamin B12 deficiency </w:t>
      </w:r>
    </w:p>
    <w:p w14:paraId="4D60939E" w14:textId="5213FFC4" w:rsidR="007B18D7" w:rsidRDefault="00DB2BE7" w:rsidP="00DB2BE7">
      <w:pPr>
        <w:pStyle w:val="BodyTextSMPC"/>
      </w:pPr>
      <w:r>
        <w:t>For the use of calcium folinate with methotrexate or 5-fluorouracil during pregnancy and lactation, see section 4.6 and the Summaries of Product Characteristics for methotrexate- and 5-fluorouracil- containing medicinal products.</w:t>
      </w:r>
    </w:p>
    <w:p w14:paraId="6955ACE4" w14:textId="77777777" w:rsidR="00A144D2" w:rsidRPr="008F5678" w:rsidRDefault="00000000" w:rsidP="00671E86">
      <w:pPr>
        <w:pStyle w:val="SubHeafingSMPC"/>
      </w:pPr>
      <w:r w:rsidRPr="008F5678">
        <w:t xml:space="preserve">Special warnings and precautions for use </w:t>
      </w:r>
    </w:p>
    <w:p w14:paraId="0688C203" w14:textId="7EB6F71D" w:rsidR="00DB2BE7" w:rsidRDefault="00DB2BE7" w:rsidP="00DB2BE7">
      <w:pPr>
        <w:pStyle w:val="BodyTextSMPC"/>
      </w:pPr>
      <w:r w:rsidRPr="00DB2BE7">
        <w:rPr>
          <w:b/>
          <w:bCs/>
        </w:rPr>
        <w:t>Calcium folinate should only be given by intramuscular or intravenous injection and must not be administered intrathecally</w:t>
      </w:r>
      <w:r>
        <w:t xml:space="preserve">. </w:t>
      </w:r>
    </w:p>
    <w:p w14:paraId="38C8D09E" w14:textId="4C331AA1" w:rsidR="00DB2BE7" w:rsidRDefault="00DB2BE7" w:rsidP="00DB2BE7">
      <w:pPr>
        <w:pStyle w:val="BodyTextSMPC"/>
      </w:pPr>
      <w:r>
        <w:t xml:space="preserve">Death has been reported when folinic acid has been administered intrathecally, following intrathecal overdose of methotrexate. </w:t>
      </w:r>
    </w:p>
    <w:p w14:paraId="0AF80555" w14:textId="77777777" w:rsidR="00DB2BE7" w:rsidRDefault="00DB2BE7" w:rsidP="00DB2BE7">
      <w:pPr>
        <w:pStyle w:val="BodyTextSMPC"/>
      </w:pPr>
      <w:r w:rsidRPr="00DB2BE7">
        <w:rPr>
          <w:b/>
          <w:bCs/>
        </w:rPr>
        <w:t>General</w:t>
      </w:r>
      <w:r>
        <w:t>:</w:t>
      </w:r>
    </w:p>
    <w:p w14:paraId="4E357754" w14:textId="6BD58314" w:rsidR="00DB2BE7" w:rsidRDefault="00DB2BE7" w:rsidP="00DB2BE7">
      <w:pPr>
        <w:pStyle w:val="BodyTextSMPC"/>
      </w:pPr>
      <w:r>
        <w:t xml:space="preserve">Calcium folinate should be used with methotrexate or 5-fluorouracil only under the direct supervision of a clinician experienced in the use of cancer chemotherapeutic agents. </w:t>
      </w:r>
    </w:p>
    <w:p w14:paraId="6717CDD6" w14:textId="791282D5" w:rsidR="00DB2BE7" w:rsidRDefault="00DB2BE7" w:rsidP="00DB2BE7">
      <w:pPr>
        <w:pStyle w:val="BodyTextSMPC"/>
      </w:pPr>
      <w:r>
        <w:t xml:space="preserve">Calcium folinate treatment may mask pernicious </w:t>
      </w:r>
      <w:proofErr w:type="spellStart"/>
      <w:r>
        <w:t>anaemia</w:t>
      </w:r>
      <w:proofErr w:type="spellEnd"/>
      <w:r>
        <w:t xml:space="preserve"> and other </w:t>
      </w:r>
      <w:proofErr w:type="spellStart"/>
      <w:r>
        <w:t>anaemias</w:t>
      </w:r>
      <w:proofErr w:type="spellEnd"/>
      <w:r>
        <w:t xml:space="preserve"> resulting from vitamin B12 deficiency. </w:t>
      </w:r>
    </w:p>
    <w:p w14:paraId="6285500A" w14:textId="6C2F2094" w:rsidR="00DB2BE7" w:rsidRDefault="00DB2BE7" w:rsidP="00DB2BE7">
      <w:pPr>
        <w:pStyle w:val="BodyTextSMPC"/>
      </w:pPr>
      <w:r>
        <w:t xml:space="preserve">Many cytotoxic medicinal products (direct or indirect DNA synthesis inhibitors such as hydroxycarbamide, cytarabine, </w:t>
      </w:r>
      <w:proofErr w:type="spellStart"/>
      <w:r>
        <w:t>mecaptopurine</w:t>
      </w:r>
      <w:proofErr w:type="spellEnd"/>
      <w:r>
        <w:t xml:space="preserve">, </w:t>
      </w:r>
      <w:r>
        <w:lastRenderedPageBreak/>
        <w:t xml:space="preserve">thioguanine) lead to macrocytosis. Such macrocytosis should not be treated with folinic acid. </w:t>
      </w:r>
    </w:p>
    <w:p w14:paraId="2DF1C493" w14:textId="2F68C7B4" w:rsidR="00DB2BE7" w:rsidRDefault="00DB2BE7" w:rsidP="00DB2BE7">
      <w:pPr>
        <w:pStyle w:val="BodyTextSMPC"/>
      </w:pPr>
      <w:r>
        <w:t xml:space="preserve">In epileptic patients treated with phenobarbital, </w:t>
      </w:r>
      <w:proofErr w:type="spellStart"/>
      <w:r>
        <w:t>phenytoine</w:t>
      </w:r>
      <w:proofErr w:type="spellEnd"/>
      <w:r>
        <w:t xml:space="preserve">, primidone, and succinimides there is a risk of increased frequency of seizures due to a decrease of plasma concentrations of anti-epileptic drugs. Clinical monitoring, possible monitoring of the plasma concentrations and, if necessary, dose adaptation of the anti-epileptic drug during and after calcium folinate administration is recommended (see also section 4.5). </w:t>
      </w:r>
    </w:p>
    <w:p w14:paraId="2F0EF7A5" w14:textId="77777777" w:rsidR="00DB2BE7" w:rsidRPr="00DB2BE7" w:rsidRDefault="00DB2BE7" w:rsidP="00DB2BE7">
      <w:pPr>
        <w:pStyle w:val="BodyTextSMPC"/>
        <w:rPr>
          <w:b/>
          <w:bCs/>
        </w:rPr>
      </w:pPr>
      <w:r w:rsidRPr="00DB2BE7">
        <w:rPr>
          <w:b/>
          <w:bCs/>
        </w:rPr>
        <w:t>Calcium folinate / 5-fluorouracil</w:t>
      </w:r>
    </w:p>
    <w:p w14:paraId="14589EC6" w14:textId="76B4C4D8" w:rsidR="00DB2BE7" w:rsidRDefault="00DB2BE7" w:rsidP="00DB2BE7">
      <w:pPr>
        <w:pStyle w:val="BodyTextSMPC"/>
      </w:pPr>
      <w:r>
        <w:t xml:space="preserve">Calcium folinate may enhance the toxicity of 5-fluorouracil, particularly in elderly or debilitated patients. The most common manifestations are leucopenia, mucositis, stomatitis and/or </w:t>
      </w:r>
      <w:proofErr w:type="spellStart"/>
      <w:r>
        <w:t>diarrhoea</w:t>
      </w:r>
      <w:proofErr w:type="spellEnd"/>
      <w:r>
        <w:t xml:space="preserve"> which may be dose limiting. In cases of toxicity when calcium folinate and 5-fluorouracil are used in combination, the 5-fluorouracil dosage should be reduced more than in cases of toxicity when 5-fluorouracil is used alone. </w:t>
      </w:r>
    </w:p>
    <w:p w14:paraId="0A52B70F" w14:textId="562C9C26" w:rsidR="00DB2BE7" w:rsidRDefault="00DB2BE7" w:rsidP="00A2177D">
      <w:pPr>
        <w:pStyle w:val="BodyTextSMPC"/>
      </w:pPr>
      <w:r>
        <w:t xml:space="preserve">Combined 5-fluorouracil/calcium folinate treatment should neither be initiated nor maintained in patients with symptoms of gastrointestinal toxicity, regardless of the severity, until all of these symptoms have completely disappeared. </w:t>
      </w:r>
    </w:p>
    <w:p w14:paraId="1F3D8E15" w14:textId="45122559" w:rsidR="00DB2BE7" w:rsidRDefault="00DB2BE7" w:rsidP="00A2177D">
      <w:pPr>
        <w:pStyle w:val="BodyTextSMPC"/>
      </w:pPr>
      <w:r>
        <w:t xml:space="preserve">Because </w:t>
      </w:r>
      <w:proofErr w:type="spellStart"/>
      <w:r>
        <w:t>diarrhoea</w:t>
      </w:r>
      <w:proofErr w:type="spellEnd"/>
      <w:r>
        <w:t xml:space="preserve"> may be a sign of gastrointestinal toxicity, patients presenting with </w:t>
      </w:r>
      <w:proofErr w:type="spellStart"/>
      <w:r>
        <w:t>diarrhoea</w:t>
      </w:r>
      <w:proofErr w:type="spellEnd"/>
      <w:r>
        <w:t xml:space="preserve"> must be carefully monitored until the symptoms have disappeared completely, since a rapid clinical deterioration leading to death can occur. If </w:t>
      </w:r>
      <w:proofErr w:type="spellStart"/>
      <w:r>
        <w:t>diarrhoea</w:t>
      </w:r>
      <w:proofErr w:type="spellEnd"/>
      <w:r>
        <w:t xml:space="preserve"> and / or </w:t>
      </w:r>
      <w:proofErr w:type="spellStart"/>
      <w:r>
        <w:t>stomatitits</w:t>
      </w:r>
      <w:proofErr w:type="spellEnd"/>
      <w:r>
        <w:t xml:space="preserve"> occur, it is advisable to reduce the dose of 5-FU until symptoms have fully disappeared. The elderly and patients with a low physical performance due to their illness are especially prone to these toxicities. Therefore, particular care should be taken when treating these patients. </w:t>
      </w:r>
    </w:p>
    <w:p w14:paraId="38F34549" w14:textId="642F96D4" w:rsidR="00DB2BE7" w:rsidRDefault="00DB2BE7" w:rsidP="00A2177D">
      <w:pPr>
        <w:pStyle w:val="BodyTextSMPC"/>
      </w:pPr>
      <w:r>
        <w:t xml:space="preserve">In elderly patients and patients who have undergone preliminary radiotherapy, it is recommended to begin with a reduced dosage of 5-fluorouracil. </w:t>
      </w:r>
    </w:p>
    <w:p w14:paraId="1B9BDDFD" w14:textId="53167F82" w:rsidR="00DB2BE7" w:rsidRDefault="00DB2BE7" w:rsidP="00A2177D">
      <w:pPr>
        <w:pStyle w:val="BodyTextSMPC"/>
      </w:pPr>
      <w:r>
        <w:t xml:space="preserve">Calcium folinate must generally not be mixed with 5-fluorouracil in the same intravenous injection or infusion. For more information, please refer to section 6.2. </w:t>
      </w:r>
    </w:p>
    <w:p w14:paraId="38B63BF0" w14:textId="5DDB7EB2" w:rsidR="00DB2BE7" w:rsidRDefault="00DB2BE7" w:rsidP="00A2177D">
      <w:pPr>
        <w:pStyle w:val="BodyTextSMPC"/>
      </w:pPr>
      <w:r>
        <w:lastRenderedPageBreak/>
        <w:t xml:space="preserve">Calcium levels should be monitored in patients receiving combined 5-fluorouracil/calcium folinate treatment and calcium supplementation should be provided if calcium levels are low. </w:t>
      </w:r>
    </w:p>
    <w:p w14:paraId="42263CE1" w14:textId="77777777" w:rsidR="00DB2BE7" w:rsidRPr="00A2177D" w:rsidRDefault="00DB2BE7" w:rsidP="00DB2BE7">
      <w:pPr>
        <w:pStyle w:val="BodyTextSMPC"/>
        <w:rPr>
          <w:b/>
          <w:bCs/>
        </w:rPr>
      </w:pPr>
      <w:r w:rsidRPr="00A2177D">
        <w:rPr>
          <w:b/>
          <w:bCs/>
        </w:rPr>
        <w:t>Calcium folinate / methotrexate</w:t>
      </w:r>
    </w:p>
    <w:p w14:paraId="53CD9DF6" w14:textId="489869A6" w:rsidR="00DB2BE7" w:rsidRDefault="00DB2BE7" w:rsidP="00A2177D">
      <w:pPr>
        <w:pStyle w:val="BodyTextSMPC"/>
      </w:pPr>
      <w:r>
        <w:t xml:space="preserve">For specific details on reduction of methotrexate toxicity refer to the Summary of Product Characteristics for methotrexate. </w:t>
      </w:r>
    </w:p>
    <w:p w14:paraId="1446520A" w14:textId="5A02C047" w:rsidR="00DB2BE7" w:rsidRDefault="00DB2BE7" w:rsidP="00A2177D">
      <w:pPr>
        <w:pStyle w:val="BodyTextSMPC"/>
      </w:pPr>
      <w:r>
        <w:t>Calcium folinate has no effect on the non–</w:t>
      </w:r>
      <w:proofErr w:type="spellStart"/>
      <w:r>
        <w:t>haematological</w:t>
      </w:r>
      <w:proofErr w:type="spellEnd"/>
      <w:r>
        <w:t xml:space="preserve"> toxicities of methotrexate, such as the nephrotoxicity resulting from methotrexate and/or metabolite precipitation in the kidney. Patients who experience delayed early methotrexate elimination are likely to develop reversible renal failure and other toxicities associated with methotrexate (please refer to the Summary of Product Characteristics for methotrexate). The presence of pre-existing- or methotrexate-induced renal insufficiency is potentially associated with delayed excretion of methotrexate and may increase the need for higher doses, or more prolonged use, of calcium folinate. </w:t>
      </w:r>
    </w:p>
    <w:p w14:paraId="4C00ABA6" w14:textId="6523EA80" w:rsidR="00DB2BE7" w:rsidRDefault="00DB2BE7" w:rsidP="00A2177D">
      <w:pPr>
        <w:pStyle w:val="BodyTextSMPC"/>
      </w:pPr>
      <w:r>
        <w:t xml:space="preserve">Excessive calcium folinate doses must be avoided since this might impair the </w:t>
      </w:r>
      <w:proofErr w:type="spellStart"/>
      <w:r>
        <w:t>antitumour</w:t>
      </w:r>
      <w:proofErr w:type="spellEnd"/>
      <w:r>
        <w:t xml:space="preserve"> activity of methotrexate, especially in CNS </w:t>
      </w:r>
      <w:proofErr w:type="spellStart"/>
      <w:r>
        <w:t>tumours</w:t>
      </w:r>
      <w:proofErr w:type="spellEnd"/>
      <w:r>
        <w:t xml:space="preserve"> where calcium folinate accumulates after repeated courses. </w:t>
      </w:r>
    </w:p>
    <w:p w14:paraId="5E9F45C9" w14:textId="3EDDC3DB" w:rsidR="00DB2BE7" w:rsidRDefault="00DB2BE7" w:rsidP="00A2177D">
      <w:pPr>
        <w:pStyle w:val="BodyTextSMPC"/>
      </w:pPr>
      <w:r>
        <w:t xml:space="preserve">Resistance to methotrexate as a result of decreased membrane transport also implies resistance to folinic acid rescue as both medicinal products share the same transport system. </w:t>
      </w:r>
    </w:p>
    <w:p w14:paraId="79CB9E00" w14:textId="25FC45C4" w:rsidR="00DB2BE7" w:rsidRDefault="00DB2BE7" w:rsidP="00D24E64">
      <w:pPr>
        <w:pStyle w:val="BodyTextSMPC"/>
      </w:pPr>
      <w:r>
        <w:t xml:space="preserve">An accidental overdose with a folinate antagonist, such as methotrexate, should be treated as a medicinal emergency. As the time interval between methotrexate administration and Calcium Folinate Rescue increases, the effectiveness of calcium folinate to counteract the toxicity decreases. </w:t>
      </w:r>
    </w:p>
    <w:p w14:paraId="01B9360E" w14:textId="670D853D" w:rsidR="00AF364C" w:rsidRPr="006101D5" w:rsidRDefault="00DB2BE7" w:rsidP="00D24E64">
      <w:pPr>
        <w:pStyle w:val="BodyTextSMPC"/>
      </w:pPr>
      <w:r>
        <w:t>The possibility that the patient is taking other medications that interact with methotrexate (</w:t>
      </w:r>
      <w:proofErr w:type="spellStart"/>
      <w:r>
        <w:t>eg.</w:t>
      </w:r>
      <w:proofErr w:type="spellEnd"/>
      <w:r>
        <w:t xml:space="preserve"> medication which may interfere with methotrexate elimination or binding to serum albumin) should always be considered when laboratory abnormalities or clinical toxicities are observed.</w:t>
      </w:r>
    </w:p>
    <w:p w14:paraId="194CA827" w14:textId="0F363097" w:rsidR="001E1455" w:rsidRDefault="001E1455" w:rsidP="00B65CC5">
      <w:pPr>
        <w:pStyle w:val="BodyTextSMPC"/>
        <w:jc w:val="thaiDistribute"/>
        <w:rPr>
          <w:rFonts w:cstheme="minorBidi"/>
          <w:b/>
          <w:bCs/>
        </w:rPr>
      </w:pPr>
      <w:r w:rsidRPr="00B65CC5">
        <w:rPr>
          <w:rFonts w:cstheme="minorBidi"/>
          <w:b/>
          <w:bCs/>
        </w:rPr>
        <w:t xml:space="preserve">Excipient </w:t>
      </w:r>
      <w:r w:rsidR="00BE0013" w:rsidRPr="00BE0013">
        <w:rPr>
          <w:rFonts w:cstheme="minorBidi"/>
          <w:b/>
          <w:bCs/>
        </w:rPr>
        <w:t>information</w:t>
      </w:r>
    </w:p>
    <w:p w14:paraId="14F2DC79" w14:textId="7B2D8FBD" w:rsidR="00A144D2" w:rsidRPr="00962771" w:rsidRDefault="00962771" w:rsidP="00962771">
      <w:pPr>
        <w:pStyle w:val="BodyTextSMPC"/>
        <w:jc w:val="thaiDistribute"/>
        <w:rPr>
          <w:rFonts w:cstheme="minorBidi"/>
          <w:b/>
          <w:bCs/>
        </w:rPr>
      </w:pPr>
      <w:r w:rsidRPr="008F5678">
        <w:rPr>
          <w:color w:val="FF0000"/>
        </w:rPr>
        <w:lastRenderedPageBreak/>
        <w:t>&lt;REGARDING THE APPROVAL&gt;</w:t>
      </w:r>
      <w:r w:rsidRPr="008F5678">
        <w:t xml:space="preserve"> </w:t>
      </w:r>
    </w:p>
    <w:p w14:paraId="42302B80" w14:textId="4AC16B23" w:rsidR="00F83417" w:rsidRPr="00B755AE" w:rsidRDefault="00000000" w:rsidP="00B755AE">
      <w:pPr>
        <w:pStyle w:val="SubHeafingSMPC"/>
      </w:pPr>
      <w:r w:rsidRPr="008F5678">
        <w:t xml:space="preserve">Interaction with other medicinal products and other forms of interaction </w:t>
      </w:r>
    </w:p>
    <w:p w14:paraId="546A3EE4" w14:textId="5A83054E" w:rsidR="00D24E64" w:rsidRDefault="00D24E64" w:rsidP="00D24E64">
      <w:pPr>
        <w:pStyle w:val="BodyTextSMPC"/>
      </w:pPr>
      <w:r>
        <w:t xml:space="preserve">When calcium folinate is given in conjunction with a folic acid antagonist (e.g. co-trimoxazole, pyrimethamine) the efficacy of the folic acid antagonist may either be reduced or completely </w:t>
      </w:r>
      <w:proofErr w:type="spellStart"/>
      <w:r>
        <w:t>neutralised</w:t>
      </w:r>
      <w:proofErr w:type="spellEnd"/>
      <w:r>
        <w:t xml:space="preserve">. </w:t>
      </w:r>
    </w:p>
    <w:p w14:paraId="2BD525EB" w14:textId="6993D59D" w:rsidR="00D24E64" w:rsidRDefault="00D24E64" w:rsidP="00D24E64">
      <w:pPr>
        <w:pStyle w:val="BodyTextSMPC"/>
      </w:pPr>
      <w:r>
        <w:t xml:space="preserve">Calcium folinate may diminish the effect of the anti-epileptic substances: phenobarbital, primidone and </w:t>
      </w:r>
      <w:proofErr w:type="spellStart"/>
      <w:r>
        <w:t>phenytoine</w:t>
      </w:r>
      <w:proofErr w:type="spellEnd"/>
      <w:r>
        <w:t xml:space="preserve">, succinimides, and may increase the frequency of seizures (a decrease of plasma levels of enzymatic inductor anticonvulsant drugs may be observed because the hepatic metabolism is increased as folates are one of the cofactors) (see also sections 4.4 and 4.8). </w:t>
      </w:r>
    </w:p>
    <w:p w14:paraId="671F337F" w14:textId="6776EA09" w:rsidR="003B51C2" w:rsidRPr="00947BAB" w:rsidRDefault="00D24E64" w:rsidP="00D24E64">
      <w:pPr>
        <w:pStyle w:val="BodyTextSMPC"/>
      </w:pPr>
      <w:r>
        <w:t>Concomitant administration of calcium folinate with 5-fluorouracil has been shown to enhance both the efficacy and toxicity of 5-fluorouracil (see section 4.5, 4.4 and 4.8)</w:t>
      </w:r>
      <w:r w:rsidR="00947BAB" w:rsidRPr="00947BAB">
        <w:t>.</w:t>
      </w:r>
    </w:p>
    <w:p w14:paraId="622B2896" w14:textId="178152B9" w:rsidR="009D6FFD" w:rsidRPr="009D6FFD" w:rsidRDefault="00000000" w:rsidP="004A5AB4">
      <w:pPr>
        <w:pStyle w:val="SubHeafingSMPC"/>
      </w:pPr>
      <w:r w:rsidRPr="008F5678">
        <w:t xml:space="preserve">Fertility, pregnancy and lactation </w:t>
      </w:r>
    </w:p>
    <w:p w14:paraId="20E23F9D" w14:textId="58EFFEF7" w:rsidR="00D24E64" w:rsidRPr="00D24E64" w:rsidRDefault="00D24E64" w:rsidP="00D24E64">
      <w:pPr>
        <w:pStyle w:val="BodyTextSMPC"/>
        <w:rPr>
          <w:b/>
          <w:bCs/>
        </w:rPr>
      </w:pPr>
      <w:r w:rsidRPr="00D24E64">
        <w:rPr>
          <w:b/>
          <w:bCs/>
        </w:rPr>
        <w:t>Pregnancy</w:t>
      </w:r>
    </w:p>
    <w:p w14:paraId="445312CA" w14:textId="572D125D" w:rsidR="00D24E64" w:rsidRDefault="00D24E64" w:rsidP="00D24E64">
      <w:pPr>
        <w:pStyle w:val="BodyTextSMPC"/>
      </w:pPr>
      <w:r>
        <w:t xml:space="preserve">There are no adequate and well-controlled clinical studies conducted in pregnant or breast-feeding women. No formal animal reproductive toxicity studies with calcium folinate have been conducted. There is no indication that folinic acid induces harmful effects if administered during pregnancy. During pregnancy, methotrexate should only be administered on strict indications, where the benefits of the drug to the mother should be weighed against possible hazards to the </w:t>
      </w:r>
      <w:proofErr w:type="spellStart"/>
      <w:r>
        <w:t>foetus</w:t>
      </w:r>
      <w:proofErr w:type="spellEnd"/>
      <w:r>
        <w:t xml:space="preserve">. Should treatment with methotrexate or other folinate antagonists take place despite pregnancy or lactation, there are no limitations as to the use of calcium folinate to diminish toxicity or counteract the effects. </w:t>
      </w:r>
    </w:p>
    <w:p w14:paraId="1099FAFA" w14:textId="16B31829" w:rsidR="00D24E64" w:rsidRDefault="00D24E64" w:rsidP="00D24E64">
      <w:pPr>
        <w:pStyle w:val="BodyTextSMPC"/>
      </w:pPr>
      <w:r>
        <w:t xml:space="preserve">5-fluorouracil use is generally contraindicated during pregnancy and contraindicated during breast-feeding; this applies also to the combined use of calcium folinate with 5-fluorouracil. </w:t>
      </w:r>
    </w:p>
    <w:p w14:paraId="7F9E4D3C" w14:textId="2F8A677F" w:rsidR="00EB692F" w:rsidRDefault="00D24E64" w:rsidP="00D24E64">
      <w:pPr>
        <w:pStyle w:val="BodyTextSMPC"/>
      </w:pPr>
      <w:r>
        <w:t>Please refer also to the Summaries of Product Characteristics for methotrexate-, other folate antagonists and 5-fluorouracil containing medicinal products.</w:t>
      </w:r>
    </w:p>
    <w:p w14:paraId="0A50769A" w14:textId="74035B9A" w:rsidR="00D24E64" w:rsidRPr="00D24E64" w:rsidRDefault="00D24E64" w:rsidP="00D24E64">
      <w:pPr>
        <w:pStyle w:val="BodyTextSMPC"/>
        <w:rPr>
          <w:b/>
          <w:bCs/>
        </w:rPr>
      </w:pPr>
      <w:r w:rsidRPr="00D24E64">
        <w:rPr>
          <w:b/>
          <w:bCs/>
        </w:rPr>
        <w:lastRenderedPageBreak/>
        <w:t>Breastfeeding</w:t>
      </w:r>
    </w:p>
    <w:p w14:paraId="4750820D" w14:textId="03BF8B7F" w:rsidR="00D24E64" w:rsidRDefault="00D24E64" w:rsidP="00D24E64">
      <w:pPr>
        <w:pStyle w:val="BodyTextSMPC"/>
      </w:pPr>
      <w:r>
        <w:t>It is not known whether calcium folinate is excreted into human breast milk. Calcium folinate can be used during breast feeding when considered necessary according to the therapeutic indications.</w:t>
      </w:r>
    </w:p>
    <w:p w14:paraId="6D62B196" w14:textId="223FFB6A" w:rsidR="00227FD4" w:rsidRPr="008F5678" w:rsidRDefault="00000000" w:rsidP="00671E86">
      <w:pPr>
        <w:pStyle w:val="SubHeafingSMPC"/>
      </w:pPr>
      <w:r w:rsidRPr="008F5678">
        <w:t xml:space="preserve">Effects on ability to drive and use machines </w:t>
      </w:r>
    </w:p>
    <w:p w14:paraId="7E43B901" w14:textId="6FFC3211" w:rsidR="00227FD4" w:rsidRPr="009D6FFD" w:rsidRDefault="00D24E64" w:rsidP="00D24E64">
      <w:pPr>
        <w:pStyle w:val="BodyTextSMPC"/>
      </w:pPr>
      <w:r>
        <w:t>There is no evidence that calcium folinate has an effect on the ability to drive or use machines</w:t>
      </w:r>
      <w:r w:rsidR="00614876">
        <w:t>.</w:t>
      </w:r>
    </w:p>
    <w:p w14:paraId="071D62C3" w14:textId="1176E362" w:rsidR="00227FD4" w:rsidRPr="008F5678" w:rsidRDefault="00000000" w:rsidP="00671E86">
      <w:pPr>
        <w:pStyle w:val="SubHeafingSMPC"/>
      </w:pPr>
      <w:r w:rsidRPr="008F5678">
        <w:t xml:space="preserve">Undesirable effects </w:t>
      </w:r>
    </w:p>
    <w:p w14:paraId="6A08753B" w14:textId="7CFC583B" w:rsidR="000E36A9" w:rsidRDefault="000E36A9" w:rsidP="000E36A9">
      <w:pPr>
        <w:pStyle w:val="BodyTextSMPC"/>
        <w:spacing w:before="240"/>
      </w:pPr>
      <w:r>
        <w:t xml:space="preserve">The list is presented by system organ class, MedDRA preferred term, and frequency using the following frequency categories: very common (≥ 1/10), common (≥ 1/100, &lt; 1/10), uncommon (≥1/1000, &lt; 1/100), rare (≥ 1/10000, &lt; 1/1000), very rare (&lt; 1/10000), and not known (cannot be estimated from the available data). </w:t>
      </w:r>
    </w:p>
    <w:p w14:paraId="61863618" w14:textId="77777777" w:rsidR="000E36A9" w:rsidRDefault="000E36A9" w:rsidP="000E36A9">
      <w:pPr>
        <w:pStyle w:val="BodyTextSMPC"/>
        <w:spacing w:before="240"/>
      </w:pPr>
      <w:r w:rsidRPr="000E36A9">
        <w:rPr>
          <w:b/>
          <w:bCs/>
          <w:u w:val="single"/>
        </w:rPr>
        <w:t>Both therapeutic indications</w:t>
      </w:r>
      <w:r>
        <w:t>:</w:t>
      </w:r>
    </w:p>
    <w:p w14:paraId="74D61281" w14:textId="77777777" w:rsidR="000E36A9" w:rsidRPr="000E36A9" w:rsidRDefault="000E36A9" w:rsidP="000E36A9">
      <w:pPr>
        <w:pStyle w:val="BodyTextSMPC"/>
        <w:spacing w:before="240"/>
        <w:rPr>
          <w:b/>
          <w:bCs/>
        </w:rPr>
      </w:pPr>
      <w:r w:rsidRPr="000E36A9">
        <w:rPr>
          <w:b/>
          <w:bCs/>
        </w:rPr>
        <w:t xml:space="preserve">Immune system disorders </w:t>
      </w:r>
    </w:p>
    <w:p w14:paraId="74F8E14E" w14:textId="77D1C0CC" w:rsidR="000E36A9" w:rsidRDefault="000E36A9" w:rsidP="000E36A9">
      <w:pPr>
        <w:pStyle w:val="BodyTextSMPC"/>
        <w:spacing w:before="240"/>
      </w:pPr>
      <w:r>
        <w:t xml:space="preserve">Very rare: allergic reactions, including anaphylactoid/anaphylactic reactions and urticaria. </w:t>
      </w:r>
    </w:p>
    <w:p w14:paraId="0AE86BAB" w14:textId="77777777" w:rsidR="000E36A9" w:rsidRPr="000E36A9" w:rsidRDefault="000E36A9" w:rsidP="000E36A9">
      <w:pPr>
        <w:pStyle w:val="BodyTextSMPC"/>
        <w:spacing w:before="240"/>
        <w:rPr>
          <w:b/>
          <w:bCs/>
        </w:rPr>
      </w:pPr>
      <w:r w:rsidRPr="000E36A9">
        <w:rPr>
          <w:b/>
          <w:bCs/>
        </w:rPr>
        <w:t xml:space="preserve">Psychiatric disorders </w:t>
      </w:r>
    </w:p>
    <w:p w14:paraId="11773C31" w14:textId="77777777" w:rsidR="000E36A9" w:rsidRDefault="000E36A9" w:rsidP="000E36A9">
      <w:pPr>
        <w:pStyle w:val="BodyTextSMPC"/>
        <w:spacing w:before="240"/>
      </w:pPr>
      <w:r>
        <w:t xml:space="preserve">Rare: insomnia, agitation and depression after following high doses. </w:t>
      </w:r>
    </w:p>
    <w:p w14:paraId="264CD8B4" w14:textId="77777777" w:rsidR="000E36A9" w:rsidRPr="000E36A9" w:rsidRDefault="000E36A9" w:rsidP="000E36A9">
      <w:pPr>
        <w:pStyle w:val="BodyTextSMPC"/>
        <w:spacing w:before="240"/>
        <w:rPr>
          <w:b/>
          <w:bCs/>
        </w:rPr>
      </w:pPr>
      <w:r w:rsidRPr="000E36A9">
        <w:rPr>
          <w:b/>
          <w:bCs/>
        </w:rPr>
        <w:t xml:space="preserve">Nervous system disorders </w:t>
      </w:r>
    </w:p>
    <w:p w14:paraId="6D222E01" w14:textId="77777777" w:rsidR="000E36A9" w:rsidRDefault="000E36A9" w:rsidP="000E36A9">
      <w:pPr>
        <w:pStyle w:val="BodyTextSMPC"/>
        <w:spacing w:before="240"/>
      </w:pPr>
      <w:r>
        <w:t xml:space="preserve">Rare: increase in the frequency of attacks in epileptics (see also section 4.5) </w:t>
      </w:r>
    </w:p>
    <w:p w14:paraId="534BDA8B" w14:textId="77777777" w:rsidR="000E36A9" w:rsidRPr="000E36A9" w:rsidRDefault="000E36A9" w:rsidP="000E36A9">
      <w:pPr>
        <w:pStyle w:val="BodyTextSMPC"/>
        <w:spacing w:before="240"/>
        <w:rPr>
          <w:b/>
          <w:bCs/>
        </w:rPr>
      </w:pPr>
      <w:r w:rsidRPr="000E36A9">
        <w:rPr>
          <w:b/>
          <w:bCs/>
        </w:rPr>
        <w:t xml:space="preserve">Gastrointestinal disorders </w:t>
      </w:r>
    </w:p>
    <w:p w14:paraId="200BDBD7" w14:textId="77777777" w:rsidR="000E36A9" w:rsidRDefault="000E36A9" w:rsidP="000E36A9">
      <w:pPr>
        <w:pStyle w:val="BodyTextSMPC"/>
        <w:spacing w:before="240"/>
      </w:pPr>
      <w:r>
        <w:t xml:space="preserve">Rare: gastrointestinal disorders after high doses. </w:t>
      </w:r>
    </w:p>
    <w:p w14:paraId="01FD9CAD" w14:textId="77777777" w:rsidR="000E36A9" w:rsidRPr="000E36A9" w:rsidRDefault="000E36A9" w:rsidP="000E36A9">
      <w:pPr>
        <w:pStyle w:val="BodyTextSMPC"/>
        <w:spacing w:before="240"/>
        <w:rPr>
          <w:b/>
          <w:bCs/>
        </w:rPr>
      </w:pPr>
      <w:r w:rsidRPr="000E36A9">
        <w:rPr>
          <w:b/>
          <w:bCs/>
        </w:rPr>
        <w:t xml:space="preserve">General disorders and administration site conditions </w:t>
      </w:r>
    </w:p>
    <w:p w14:paraId="66AB011D" w14:textId="44DE4B91" w:rsidR="000E36A9" w:rsidRDefault="000E36A9" w:rsidP="000E36A9">
      <w:pPr>
        <w:pStyle w:val="BodyTextSMPC"/>
        <w:spacing w:before="240"/>
      </w:pPr>
      <w:r>
        <w:t xml:space="preserve">Uncommon: fever has been observed after administration of calcium folinate as solution for injection. </w:t>
      </w:r>
    </w:p>
    <w:p w14:paraId="4956ABD9" w14:textId="77777777" w:rsidR="000E36A9" w:rsidRDefault="000E36A9" w:rsidP="000E36A9">
      <w:pPr>
        <w:pStyle w:val="BodyTextSMPC"/>
        <w:spacing w:before="240"/>
      </w:pPr>
      <w:r w:rsidRPr="000E36A9">
        <w:rPr>
          <w:b/>
          <w:bCs/>
          <w:u w:val="single"/>
        </w:rPr>
        <w:lastRenderedPageBreak/>
        <w:t>Combination therapy with 5-fluorouracil</w:t>
      </w:r>
      <w:r>
        <w:t>:</w:t>
      </w:r>
    </w:p>
    <w:p w14:paraId="5BCA2DB3" w14:textId="1F05E473" w:rsidR="000E36A9" w:rsidRDefault="000E36A9" w:rsidP="000E36A9">
      <w:pPr>
        <w:pStyle w:val="BodyTextSMPC"/>
        <w:spacing w:before="240"/>
      </w:pPr>
      <w:r>
        <w:t xml:space="preserve">Generally, the safety profile depends on the applied regimen of 5-fluorouracil, due to enhancement of the 5-fluorouracil induced toxicities. </w:t>
      </w:r>
    </w:p>
    <w:p w14:paraId="76481586" w14:textId="77777777" w:rsidR="000E36A9" w:rsidRDefault="000E36A9" w:rsidP="000E36A9">
      <w:pPr>
        <w:pStyle w:val="BodyTextSMPC"/>
        <w:spacing w:before="240"/>
      </w:pPr>
      <w:r w:rsidRPr="000E36A9">
        <w:rPr>
          <w:b/>
          <w:bCs/>
        </w:rPr>
        <w:t>Metabolism and Nutritional Disorder</w:t>
      </w:r>
      <w:r>
        <w:t xml:space="preserve">: </w:t>
      </w:r>
    </w:p>
    <w:p w14:paraId="466EAC4B" w14:textId="77777777" w:rsidR="000E36A9" w:rsidRDefault="000E36A9" w:rsidP="000E36A9">
      <w:pPr>
        <w:pStyle w:val="BodyTextSMPC"/>
        <w:spacing w:before="240"/>
      </w:pPr>
      <w:r>
        <w:t xml:space="preserve">Not known: </w:t>
      </w:r>
      <w:proofErr w:type="spellStart"/>
      <w:r>
        <w:t>Hyperammonaemia</w:t>
      </w:r>
      <w:proofErr w:type="spellEnd"/>
      <w:r>
        <w:t xml:space="preserve"> </w:t>
      </w:r>
    </w:p>
    <w:p w14:paraId="1ED48168" w14:textId="77777777" w:rsidR="000E36A9" w:rsidRDefault="000E36A9" w:rsidP="000E36A9">
      <w:pPr>
        <w:pStyle w:val="BodyTextSMPC"/>
        <w:spacing w:before="240"/>
      </w:pPr>
      <w:r w:rsidRPr="000E36A9">
        <w:rPr>
          <w:b/>
          <w:bCs/>
        </w:rPr>
        <w:t>Blood and lymphatic system disorders</w:t>
      </w:r>
      <w:r>
        <w:t xml:space="preserve">: </w:t>
      </w:r>
    </w:p>
    <w:p w14:paraId="5975232F" w14:textId="77777777" w:rsidR="000E36A9" w:rsidRDefault="000E36A9" w:rsidP="000E36A9">
      <w:pPr>
        <w:pStyle w:val="BodyTextSMPC"/>
        <w:spacing w:before="240"/>
      </w:pPr>
      <w:r>
        <w:t xml:space="preserve">Very common: bone marrow failure, including fatal cases </w:t>
      </w:r>
    </w:p>
    <w:p w14:paraId="7DD3A8F3" w14:textId="77777777" w:rsidR="000E36A9" w:rsidRPr="000E36A9" w:rsidRDefault="000E36A9" w:rsidP="000E36A9">
      <w:pPr>
        <w:pStyle w:val="BodyTextSMPC"/>
        <w:spacing w:before="240"/>
        <w:rPr>
          <w:b/>
          <w:bCs/>
        </w:rPr>
      </w:pPr>
      <w:r w:rsidRPr="000E36A9">
        <w:rPr>
          <w:b/>
          <w:bCs/>
        </w:rPr>
        <w:t xml:space="preserve">General disorders and administration site conditions </w:t>
      </w:r>
    </w:p>
    <w:p w14:paraId="3487B294" w14:textId="4019E366" w:rsidR="000E36A9" w:rsidRDefault="000E36A9" w:rsidP="000E36A9">
      <w:pPr>
        <w:pStyle w:val="BodyTextSMPC"/>
        <w:spacing w:before="240"/>
      </w:pPr>
      <w:r>
        <w:t xml:space="preserve">Very common: mucositis, including stomatitis and </w:t>
      </w:r>
      <w:proofErr w:type="spellStart"/>
      <w:r>
        <w:t>chelitis</w:t>
      </w:r>
      <w:proofErr w:type="spellEnd"/>
      <w:r>
        <w:t xml:space="preserve">. Fatalities have occurred as a result of mucositis </w:t>
      </w:r>
    </w:p>
    <w:p w14:paraId="54DA9A73" w14:textId="77777777" w:rsidR="000E36A9" w:rsidRDefault="000E36A9" w:rsidP="000E36A9">
      <w:pPr>
        <w:pStyle w:val="BodyTextSMPC"/>
        <w:spacing w:before="240"/>
      </w:pPr>
      <w:r w:rsidRPr="000E36A9">
        <w:rPr>
          <w:b/>
          <w:bCs/>
        </w:rPr>
        <w:t>Skin and subcutaneous tissue disorders</w:t>
      </w:r>
      <w:r>
        <w:t xml:space="preserve">: </w:t>
      </w:r>
    </w:p>
    <w:p w14:paraId="616420F1" w14:textId="77777777" w:rsidR="000E36A9" w:rsidRDefault="000E36A9" w:rsidP="000E36A9">
      <w:pPr>
        <w:pStyle w:val="BodyTextSMPC"/>
        <w:spacing w:before="240"/>
      </w:pPr>
      <w:r>
        <w:t xml:space="preserve">Common: Palmar-Plantar </w:t>
      </w:r>
      <w:proofErr w:type="spellStart"/>
      <w:r>
        <w:t>Erythrodysaesthesia</w:t>
      </w:r>
      <w:proofErr w:type="spellEnd"/>
      <w:r>
        <w:t xml:space="preserve"> </w:t>
      </w:r>
    </w:p>
    <w:p w14:paraId="59509E5B" w14:textId="77777777" w:rsidR="000E36A9" w:rsidRDefault="000E36A9" w:rsidP="000E36A9">
      <w:pPr>
        <w:pStyle w:val="BodyTextSMPC"/>
        <w:spacing w:before="240"/>
      </w:pPr>
      <w:r w:rsidRPr="000E36A9">
        <w:rPr>
          <w:b/>
          <w:bCs/>
          <w:u w:val="single"/>
        </w:rPr>
        <w:t>Monthly regimen</w:t>
      </w:r>
      <w:r>
        <w:t>:</w:t>
      </w:r>
    </w:p>
    <w:p w14:paraId="04D7FCFA" w14:textId="77777777" w:rsidR="000E36A9" w:rsidRPr="000E36A9" w:rsidRDefault="000E36A9" w:rsidP="000E36A9">
      <w:pPr>
        <w:pStyle w:val="BodyTextSMPC"/>
        <w:spacing w:before="240"/>
        <w:rPr>
          <w:b/>
          <w:bCs/>
        </w:rPr>
      </w:pPr>
      <w:r w:rsidRPr="000E36A9">
        <w:rPr>
          <w:b/>
          <w:bCs/>
        </w:rPr>
        <w:t xml:space="preserve">Gastrointestinal disorders </w:t>
      </w:r>
    </w:p>
    <w:p w14:paraId="6D10B638" w14:textId="77777777" w:rsidR="000E36A9" w:rsidRDefault="000E36A9" w:rsidP="000E36A9">
      <w:pPr>
        <w:pStyle w:val="BodyTextSMPC"/>
        <w:spacing w:before="240"/>
      </w:pPr>
      <w:r>
        <w:t xml:space="preserve">Very common: vomiting and nausea </w:t>
      </w:r>
    </w:p>
    <w:p w14:paraId="352B7369" w14:textId="77777777" w:rsidR="000E36A9" w:rsidRDefault="000E36A9" w:rsidP="000E36A9">
      <w:pPr>
        <w:pStyle w:val="BodyTextSMPC"/>
        <w:spacing w:before="240"/>
      </w:pPr>
      <w:r>
        <w:t xml:space="preserve">No enhancement of other 5-fluorouracil induced toxicities (e.g. neurotoxicity). </w:t>
      </w:r>
    </w:p>
    <w:p w14:paraId="5EF760BA" w14:textId="77777777" w:rsidR="000E36A9" w:rsidRDefault="000E36A9" w:rsidP="000E36A9">
      <w:pPr>
        <w:pStyle w:val="BodyTextSMPC"/>
        <w:spacing w:before="240"/>
      </w:pPr>
      <w:r w:rsidRPr="000E36A9">
        <w:rPr>
          <w:b/>
          <w:bCs/>
          <w:u w:val="single"/>
        </w:rPr>
        <w:t>Weekly regimen</w:t>
      </w:r>
      <w:r>
        <w:t>:</w:t>
      </w:r>
    </w:p>
    <w:p w14:paraId="5346BAC0" w14:textId="77777777" w:rsidR="000E36A9" w:rsidRPr="000E36A9" w:rsidRDefault="000E36A9" w:rsidP="000E36A9">
      <w:pPr>
        <w:pStyle w:val="BodyTextSMPC"/>
        <w:spacing w:before="240"/>
        <w:rPr>
          <w:b/>
          <w:bCs/>
        </w:rPr>
      </w:pPr>
      <w:r w:rsidRPr="000E36A9">
        <w:rPr>
          <w:b/>
          <w:bCs/>
        </w:rPr>
        <w:t xml:space="preserve">Gastrointestinal disorders </w:t>
      </w:r>
    </w:p>
    <w:p w14:paraId="3DC0B0D1" w14:textId="3C358ECE" w:rsidR="00EB692F" w:rsidRPr="00EB692F" w:rsidRDefault="000E36A9" w:rsidP="000E36A9">
      <w:pPr>
        <w:pStyle w:val="BodyTextSMPC"/>
        <w:spacing w:before="240"/>
      </w:pPr>
      <w:r>
        <w:t xml:space="preserve">Very common: </w:t>
      </w:r>
      <w:proofErr w:type="spellStart"/>
      <w:r>
        <w:t>diarrhoea</w:t>
      </w:r>
      <w:proofErr w:type="spellEnd"/>
      <w:r>
        <w:t xml:space="preserve"> with higher grades of toxicity, and dehydration, resulting in hospital admission for treatment and even death.</w:t>
      </w:r>
      <w:r w:rsidR="00947BAB">
        <w:t xml:space="preserve"> </w:t>
      </w:r>
    </w:p>
    <w:p w14:paraId="6D003B03" w14:textId="6E048073" w:rsidR="00227FD4" w:rsidRPr="008F5678" w:rsidRDefault="00000000" w:rsidP="00E21167">
      <w:pPr>
        <w:pStyle w:val="BodyTextSMPC"/>
        <w:spacing w:before="240"/>
        <w:ind w:left="0" w:firstLine="720"/>
        <w:rPr>
          <w:u w:val="single"/>
        </w:rPr>
      </w:pPr>
      <w:r w:rsidRPr="008F5678">
        <w:rPr>
          <w:u w:val="single"/>
        </w:rPr>
        <w:t xml:space="preserve">Reporting of suspected adverse reactions </w:t>
      </w:r>
    </w:p>
    <w:p w14:paraId="3CE4C9DE" w14:textId="14F42494" w:rsidR="00227FD4" w:rsidRPr="008F5678" w:rsidRDefault="00E01FDA" w:rsidP="00671E86">
      <w:pPr>
        <w:pStyle w:val="BodyTextSMPC"/>
        <w:rPr>
          <w:rFonts w:eastAsia="Times"/>
        </w:rPr>
      </w:pPr>
      <w:r w:rsidRPr="00E01FDA">
        <w:t xml:space="preserve">Reporting suspected adverse reactions after </w:t>
      </w:r>
      <w:proofErr w:type="spellStart"/>
      <w:r w:rsidRPr="00E01FDA">
        <w:t>authorisation</w:t>
      </w:r>
      <w:proofErr w:type="spellEnd"/>
      <w:r w:rsidRPr="00E01FDA">
        <w:t xml:space="preserve"> of the medicinal product is important. It allows continued monitoring of the </w:t>
      </w:r>
      <w:r w:rsidRPr="00E01FDA">
        <w:lastRenderedPageBreak/>
        <w:t>benefit/risk balance of the medicinal product. Healthcare professionals are asked to report any suspected adverse reactions via Health Product Vigilance Center; HPVC</w:t>
      </w:r>
      <w:r w:rsidR="00415AF9" w:rsidRPr="00415AF9">
        <w:t>.</w:t>
      </w:r>
    </w:p>
    <w:p w14:paraId="661E8F32" w14:textId="097BDE24" w:rsidR="00864411" w:rsidRPr="00864411" w:rsidRDefault="00000000" w:rsidP="00864411">
      <w:pPr>
        <w:pStyle w:val="SubHeafingSMPC"/>
      </w:pPr>
      <w:r w:rsidRPr="008F5678">
        <w:t xml:space="preserve">Overdose </w:t>
      </w:r>
    </w:p>
    <w:p w14:paraId="68A2E696" w14:textId="2FCD83E7" w:rsidR="00223564" w:rsidRDefault="00223564" w:rsidP="00223564">
      <w:pPr>
        <w:pStyle w:val="BodyTextSMPC"/>
      </w:pPr>
      <w:r>
        <w:t xml:space="preserve">There have been no reported sequelae in patients who have received significantly more calcium folinate than the recommended dosage. However, excessive amounts of calcium folinate may nullify the chemotherapeutic effect of folic acid antagonists. </w:t>
      </w:r>
    </w:p>
    <w:p w14:paraId="5199B15A" w14:textId="7A49F9EC" w:rsidR="001624D3" w:rsidRPr="001624D3" w:rsidRDefault="00223564" w:rsidP="00223564">
      <w:pPr>
        <w:pStyle w:val="BodyTextSMPC"/>
      </w:pPr>
      <w:r>
        <w:t>Should over-dosage of the combination of 5-fluorouracil and calcium folinate occur, the over-dosage instructions for 5-FU should be followed</w:t>
      </w:r>
      <w:r w:rsidR="001624D3">
        <w:t>.</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4EACB008" w14:textId="17082EC7" w:rsidR="00223564" w:rsidRDefault="00223564" w:rsidP="00B321A7">
      <w:pPr>
        <w:pStyle w:val="BodyTextSMPC"/>
      </w:pPr>
      <w:r w:rsidRPr="00223564">
        <w:t>Pharmacotherapeutic group: Detoxifying agents for antineoplastic treatment, ATC</w:t>
      </w:r>
      <w:r>
        <w:t xml:space="preserve"> </w:t>
      </w:r>
      <w:r w:rsidRPr="00223564">
        <w:t>Code: V03A F03</w:t>
      </w:r>
    </w:p>
    <w:p w14:paraId="3ECA778D" w14:textId="59A93C00" w:rsidR="00223564" w:rsidRPr="00223564" w:rsidRDefault="00223564" w:rsidP="00B321A7">
      <w:pPr>
        <w:pStyle w:val="BodyTextSMPC"/>
        <w:rPr>
          <w:u w:val="single"/>
        </w:rPr>
      </w:pPr>
      <w:r w:rsidRPr="00223564">
        <w:rPr>
          <w:u w:val="single"/>
        </w:rPr>
        <w:t>Mechanism of action</w:t>
      </w:r>
    </w:p>
    <w:p w14:paraId="3B555C19" w14:textId="7886E886" w:rsidR="00223564" w:rsidRDefault="00223564" w:rsidP="00223564">
      <w:pPr>
        <w:pStyle w:val="BodyTextSMPC"/>
      </w:pPr>
      <w:r>
        <w:t xml:space="preserve">Calcium folinate is the calcium salt of 5-formyl </w:t>
      </w:r>
      <w:proofErr w:type="spellStart"/>
      <w:r>
        <w:t>tetrahydrofolic</w:t>
      </w:r>
      <w:proofErr w:type="spellEnd"/>
      <w:r>
        <w:t xml:space="preserve"> acid. It is an active metabolite of folinic acid and essential coenzyme for nucleic acid synthesis in cytotoxic therapy. </w:t>
      </w:r>
    </w:p>
    <w:p w14:paraId="05205382" w14:textId="0281165B" w:rsidR="00223564" w:rsidRDefault="00223564" w:rsidP="00223564">
      <w:pPr>
        <w:pStyle w:val="BodyTextSMPC"/>
      </w:pPr>
      <w:r>
        <w:t xml:space="preserve">Calcium folinate is frequently used to diminish the toxicity and counteract the action of folate antagonists, such as methotrexate. Calcium folinate and folate antagonists share the same membrane transport carrier and compete for transport into cells, stimulating folate antagonist efflux. Calcium folinate also protects cells from the effects of folate antagonists by repletion of the reduced folate pool. Calcium folinate serves as a pre-reduced source of H4 folate; it can therefore bypass folate antagonist blockage and provide a source for the various coenzyme form as of folic acid. </w:t>
      </w:r>
    </w:p>
    <w:p w14:paraId="6DA71629" w14:textId="1DE3C65B" w:rsidR="00223564" w:rsidRDefault="00223564" w:rsidP="00223564">
      <w:pPr>
        <w:pStyle w:val="BodyTextSMPC"/>
      </w:pPr>
      <w:r>
        <w:t xml:space="preserve">Calcium folinate is also frequently used in the biochemical modulation of fluoropyridine (5-fluorouracil) to enhance its cytotoxic activity. 5-fluorouracil inhibits thymidylate synthase (TS), a key enzyme involved in pyrimidine </w:t>
      </w:r>
      <w:proofErr w:type="spellStart"/>
      <w:r>
        <w:t>biosyntheses</w:t>
      </w:r>
      <w:proofErr w:type="spellEnd"/>
      <w:r>
        <w:t xml:space="preserve">, and calcium folinate enhances TS inhibition </w:t>
      </w:r>
      <w:r>
        <w:lastRenderedPageBreak/>
        <w:t xml:space="preserve">by increasing the intracellular folate pool, thus </w:t>
      </w:r>
      <w:proofErr w:type="spellStart"/>
      <w:r>
        <w:t>stabilising</w:t>
      </w:r>
      <w:proofErr w:type="spellEnd"/>
      <w:r>
        <w:t xml:space="preserve"> the 5-fluorouracil-TS complex and increasing activity. </w:t>
      </w:r>
    </w:p>
    <w:p w14:paraId="51641238" w14:textId="5B243ED4" w:rsidR="00351B91" w:rsidRDefault="00223564" w:rsidP="00223564">
      <w:pPr>
        <w:pStyle w:val="BodyTextSMPC"/>
      </w:pPr>
      <w:r>
        <w:t xml:space="preserve">Finally intravenous calcium folinate can be administered for the prevention and treatment of folate deficiency when it cannot be prevented or corrected by the oral administration of folic acid. This may be the case during total parenteral nutrition and severe malabsorption disorders. It is also indicated for the treatment of megaloblastic </w:t>
      </w:r>
      <w:proofErr w:type="spellStart"/>
      <w:r>
        <w:t>anaemia</w:t>
      </w:r>
      <w:proofErr w:type="spellEnd"/>
      <w:r>
        <w:t xml:space="preserve"> due to folic acid deficiency, when oral administration is not feasible</w:t>
      </w:r>
      <w:r w:rsidR="00B321A7">
        <w:t>.</w:t>
      </w:r>
    </w:p>
    <w:p w14:paraId="1B2570FC" w14:textId="3CB53918" w:rsidR="00934487" w:rsidRPr="00424399" w:rsidRDefault="00000000" w:rsidP="00424399">
      <w:pPr>
        <w:pStyle w:val="SubHeafingSMPC"/>
      </w:pPr>
      <w:r w:rsidRPr="008F5678">
        <w:t xml:space="preserve">Pharmacokinetic properties </w:t>
      </w:r>
    </w:p>
    <w:p w14:paraId="6285B721" w14:textId="77777777" w:rsidR="00223564" w:rsidRPr="00223564" w:rsidRDefault="00223564" w:rsidP="00223564">
      <w:pPr>
        <w:pStyle w:val="BodyTextSMPC"/>
        <w:rPr>
          <w:b/>
          <w:bCs/>
        </w:rPr>
      </w:pPr>
      <w:r w:rsidRPr="00223564">
        <w:rPr>
          <w:b/>
          <w:bCs/>
        </w:rPr>
        <w:t>Absorption</w:t>
      </w:r>
    </w:p>
    <w:p w14:paraId="78C9D03B" w14:textId="7D60D637" w:rsidR="00223564" w:rsidRDefault="00223564" w:rsidP="00223564">
      <w:pPr>
        <w:pStyle w:val="BodyTextSMPC"/>
      </w:pPr>
      <w:r>
        <w:t>Following intramuscular administration of the aqueous solution, systemic availability is comparable to an intravenous administration. However, lower peak serum levels (</w:t>
      </w:r>
      <w:proofErr w:type="spellStart"/>
      <w:r>
        <w:t>Cmax</w:t>
      </w:r>
      <w:proofErr w:type="spellEnd"/>
      <w:r>
        <w:t xml:space="preserve">) are achieved. </w:t>
      </w:r>
    </w:p>
    <w:p w14:paraId="71465FC4" w14:textId="77777777" w:rsidR="00223564" w:rsidRPr="00223564" w:rsidRDefault="00223564" w:rsidP="00223564">
      <w:pPr>
        <w:pStyle w:val="BodyTextSMPC"/>
        <w:rPr>
          <w:b/>
          <w:bCs/>
        </w:rPr>
      </w:pPr>
      <w:r w:rsidRPr="00223564">
        <w:rPr>
          <w:b/>
          <w:bCs/>
        </w:rPr>
        <w:t>Distribution</w:t>
      </w:r>
    </w:p>
    <w:p w14:paraId="5F38E8BA" w14:textId="77777777" w:rsidR="00223564" w:rsidRDefault="00223564" w:rsidP="00223564">
      <w:pPr>
        <w:pStyle w:val="BodyTextSMPC"/>
      </w:pPr>
      <w:r>
        <w:t xml:space="preserve">The distribution volume of folinic acid is not known. </w:t>
      </w:r>
    </w:p>
    <w:p w14:paraId="39483453" w14:textId="5EEDADFF" w:rsidR="00223564" w:rsidRDefault="00223564" w:rsidP="00223564">
      <w:pPr>
        <w:pStyle w:val="BodyTextSMPC"/>
      </w:pPr>
      <w:r>
        <w:t>Peak serum levels of the parent substance (D/L-formyl-</w:t>
      </w:r>
      <w:proofErr w:type="spellStart"/>
      <w:r>
        <w:t>tetrahydrofolic</w:t>
      </w:r>
      <w:proofErr w:type="spellEnd"/>
      <w:r>
        <w:t xml:space="preserve"> acid, folinic acid) are reached 10 minutes after intravenous administration. </w:t>
      </w:r>
    </w:p>
    <w:p w14:paraId="4053D111" w14:textId="15B1BEB4" w:rsidR="00223564" w:rsidRDefault="00223564" w:rsidP="00223564">
      <w:pPr>
        <w:pStyle w:val="BodyTextSMPC"/>
      </w:pPr>
      <w:r>
        <w:t xml:space="preserve">The AUC for L-5-formyl-THF and 5-methyl-THF were 28.4±3.5 </w:t>
      </w:r>
      <w:proofErr w:type="spellStart"/>
      <w:r>
        <w:t>mg.min</w:t>
      </w:r>
      <w:proofErr w:type="spellEnd"/>
      <w:r>
        <w:t xml:space="preserve">/l and 129±11 </w:t>
      </w:r>
      <w:proofErr w:type="spellStart"/>
      <w:r>
        <w:t>mg.min</w:t>
      </w:r>
      <w:proofErr w:type="spellEnd"/>
      <w:r>
        <w:t xml:space="preserve">/l, respectively, after a dose of 25mg. The inactive D-isomer is present in higher concentration than L-5-formyl-tetrahydrofolate. </w:t>
      </w:r>
    </w:p>
    <w:p w14:paraId="6A88532A" w14:textId="77777777" w:rsidR="00223564" w:rsidRPr="00223564" w:rsidRDefault="00223564" w:rsidP="00223564">
      <w:pPr>
        <w:pStyle w:val="BodyTextSMPC"/>
        <w:rPr>
          <w:b/>
          <w:bCs/>
        </w:rPr>
      </w:pPr>
      <w:r w:rsidRPr="00223564">
        <w:rPr>
          <w:b/>
          <w:bCs/>
        </w:rPr>
        <w:t>Biotransformation</w:t>
      </w:r>
    </w:p>
    <w:p w14:paraId="00B082CD" w14:textId="2545004A" w:rsidR="00223564" w:rsidRDefault="00223564" w:rsidP="00223564">
      <w:pPr>
        <w:pStyle w:val="BodyTextSMPC"/>
      </w:pPr>
      <w:r>
        <w:t xml:space="preserve">Calcium folinate is a racemate where the L-form (L-formyl-tetrahydrofolate, L-5-formyl-THF), is the active enantiomer. </w:t>
      </w:r>
    </w:p>
    <w:p w14:paraId="42C85FB4" w14:textId="6328CCC1" w:rsidR="00223564" w:rsidRDefault="00223564" w:rsidP="00223564">
      <w:pPr>
        <w:pStyle w:val="BodyTextSMPC"/>
      </w:pPr>
      <w:r>
        <w:t xml:space="preserve">The major metabolic product of folinic acid is 5-methyl-tetrahydrofolic acid (5-methyl-THF) which is predominantly produced in the liver and intestinal mucosa. </w:t>
      </w:r>
    </w:p>
    <w:p w14:paraId="1C0C5106" w14:textId="77777777" w:rsidR="00223564" w:rsidRPr="00223564" w:rsidRDefault="00223564" w:rsidP="00223564">
      <w:pPr>
        <w:pStyle w:val="BodyTextSMPC"/>
        <w:rPr>
          <w:b/>
          <w:bCs/>
        </w:rPr>
      </w:pPr>
      <w:r w:rsidRPr="00223564">
        <w:rPr>
          <w:b/>
          <w:bCs/>
        </w:rPr>
        <w:t>Elimination</w:t>
      </w:r>
    </w:p>
    <w:p w14:paraId="0413A0DE" w14:textId="2F43F8F5" w:rsidR="00223564" w:rsidRDefault="00223564" w:rsidP="00223564">
      <w:pPr>
        <w:pStyle w:val="BodyTextSMPC"/>
      </w:pPr>
      <w:r>
        <w:lastRenderedPageBreak/>
        <w:t xml:space="preserve">The elimination half-life is32 – 35 minutes for the active L-form and 352 – 485 minutes for the inactive D-form, respectively. </w:t>
      </w:r>
    </w:p>
    <w:p w14:paraId="5BA7D19E" w14:textId="5DB2979C" w:rsidR="00223564" w:rsidRDefault="00223564" w:rsidP="00223564">
      <w:pPr>
        <w:pStyle w:val="BodyTextSMPC"/>
      </w:pPr>
      <w:r>
        <w:t xml:space="preserve">The total half-life of the active metabolites is about 6 hours (after both intravenous and intramuscular administration). </w:t>
      </w:r>
    </w:p>
    <w:p w14:paraId="2B31E401" w14:textId="3D5C58ED" w:rsidR="00934487" w:rsidRDefault="00223564" w:rsidP="00223564">
      <w:pPr>
        <w:pStyle w:val="BodyTextSMPC"/>
      </w:pPr>
      <w:r>
        <w:t>80-90 % is excreted in the urine as the inactive metabolites, 5- and 10-formyl</w:t>
      </w:r>
      <w:r w:rsidR="008568D4">
        <w:t>-</w:t>
      </w:r>
      <w:r>
        <w:t xml:space="preserve">tetrahydrofolate, 5-8 % is excreted in the </w:t>
      </w:r>
      <w:proofErr w:type="spellStart"/>
      <w:r>
        <w:t>faeces</w:t>
      </w:r>
      <w:proofErr w:type="spellEnd"/>
      <w:r w:rsidR="00B321A7">
        <w:t>.</w:t>
      </w:r>
    </w:p>
    <w:p w14:paraId="0BBA0F2C" w14:textId="58A139F5" w:rsidR="00227FD4" w:rsidRPr="008F5678" w:rsidRDefault="00000000" w:rsidP="00671E86">
      <w:pPr>
        <w:pStyle w:val="SubHeafingSMPC"/>
      </w:pPr>
      <w:r w:rsidRPr="008F5678">
        <w:t xml:space="preserve">Preclinical safety data </w:t>
      </w:r>
    </w:p>
    <w:p w14:paraId="33926F9B" w14:textId="77777777" w:rsidR="00962DDE" w:rsidRDefault="00962DDE" w:rsidP="00962DDE">
      <w:pPr>
        <w:pStyle w:val="BodyTextSMPC"/>
      </w:pPr>
      <w:r>
        <w:t xml:space="preserve">Genotoxicity, carcinogenicity and fertility studies have not been conducted with calcium </w:t>
      </w:r>
      <w:proofErr w:type="spellStart"/>
      <w:r>
        <w:t>folinate.</w:t>
      </w:r>
      <w:proofErr w:type="spellEnd"/>
    </w:p>
    <w:p w14:paraId="7BE4B9BC" w14:textId="55C64D5B" w:rsidR="00227FD4" w:rsidRPr="005574FA" w:rsidRDefault="00962DDE" w:rsidP="00962DDE">
      <w:pPr>
        <w:pStyle w:val="BodyTextSMPC"/>
      </w:pPr>
      <w:r>
        <w:t>Embryo-</w:t>
      </w:r>
      <w:proofErr w:type="spellStart"/>
      <w:r>
        <w:t>foetal</w:t>
      </w:r>
      <w:proofErr w:type="spellEnd"/>
      <w:r>
        <w:t xml:space="preserve"> reproduction toxicity studies have been performed in rats and rabbits. Rats were dosed up to 1800 mg/m2 which is 9 times the maximum recommended human dose, and rabbits were dosed up to 3300 mg/m2 which is 16 times the maximum recommended human dose. There was no embryo-</w:t>
      </w:r>
      <w:proofErr w:type="spellStart"/>
      <w:r>
        <w:t>foetal</w:t>
      </w:r>
      <w:proofErr w:type="spellEnd"/>
      <w:r>
        <w:t xml:space="preserve"> toxicity noted in rats. At the maximum dose in rabbits, there was an increase in early embryonic resorptions and no other adverse effects on embryo-</w:t>
      </w:r>
      <w:proofErr w:type="spellStart"/>
      <w:r>
        <w:t>foetal</w:t>
      </w:r>
      <w:proofErr w:type="spellEnd"/>
      <w:r>
        <w:t xml:space="preserve"> development. No resorptions were noted in dose groups at 5 times the maximum recommended human dose.</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4D3D75A5" w14:textId="472B1523" w:rsidR="00B84C63" w:rsidRDefault="00B84C63" w:rsidP="00B84C63">
      <w:pPr>
        <w:pStyle w:val="BodyTextSMPC"/>
      </w:pPr>
      <w:r>
        <w:t xml:space="preserve">Incompatibilities have been reported between injectable forms of calcium folinate and injectable forms of </w:t>
      </w:r>
      <w:proofErr w:type="spellStart"/>
      <w:r>
        <w:t>droperidol</w:t>
      </w:r>
      <w:proofErr w:type="spellEnd"/>
      <w:r>
        <w:t xml:space="preserve">, fluorouracil, foscarnet and methotrexate. </w:t>
      </w:r>
    </w:p>
    <w:p w14:paraId="49D707E4" w14:textId="77777777" w:rsidR="00B84C63" w:rsidRPr="00B84C63" w:rsidRDefault="00B84C63" w:rsidP="00B84C63">
      <w:pPr>
        <w:pStyle w:val="BodyTextSMPC"/>
        <w:rPr>
          <w:u w:val="single"/>
        </w:rPr>
      </w:pPr>
      <w:proofErr w:type="spellStart"/>
      <w:r w:rsidRPr="00B84C63">
        <w:rPr>
          <w:u w:val="single"/>
        </w:rPr>
        <w:t>Droperidol</w:t>
      </w:r>
      <w:proofErr w:type="spellEnd"/>
      <w:r w:rsidRPr="00B84C63">
        <w:rPr>
          <w:u w:val="single"/>
        </w:rPr>
        <w:t xml:space="preserve"> </w:t>
      </w:r>
    </w:p>
    <w:p w14:paraId="192F00A2" w14:textId="79CA5791" w:rsidR="00B84C63" w:rsidRDefault="00B84C63" w:rsidP="00B84C63">
      <w:pPr>
        <w:pStyle w:val="BodyTextSMPC"/>
      </w:pPr>
      <w:r>
        <w:t xml:space="preserve">1. </w:t>
      </w:r>
      <w:proofErr w:type="spellStart"/>
      <w:r>
        <w:t>Droperidol</w:t>
      </w:r>
      <w:proofErr w:type="spellEnd"/>
      <w:r>
        <w:t xml:space="preserve"> 1.25 mg/0.5 ml with calcium folinate 5 mg/0.5 ml; immediate precipitation was observed after direct admixture in a syringe for 5 minutes at 25°C followed by 8 minutes of centrifugation. </w:t>
      </w:r>
    </w:p>
    <w:p w14:paraId="6FF81E40" w14:textId="19D03AEF" w:rsidR="00B84C63" w:rsidRDefault="00B84C63" w:rsidP="00B84C63">
      <w:pPr>
        <w:pStyle w:val="BodyTextSMPC"/>
      </w:pPr>
      <w:r>
        <w:lastRenderedPageBreak/>
        <w:t xml:space="preserve">2. </w:t>
      </w:r>
      <w:proofErr w:type="spellStart"/>
      <w:r>
        <w:t>Droperidol</w:t>
      </w:r>
      <w:proofErr w:type="spellEnd"/>
      <w:r>
        <w:t xml:space="preserve"> 2.5 mg/0.5 ml with calcium folinate 10 mg/0.5 ml; immediate precipitation was observed when the drugs were injected sequentially into a Y</w:t>
      </w:r>
      <w:r>
        <w:t>-</w:t>
      </w:r>
      <w:r>
        <w:t xml:space="preserve">connector without flushing the Y-side arm between injections. </w:t>
      </w:r>
    </w:p>
    <w:p w14:paraId="1CAD7536" w14:textId="77777777" w:rsidR="00B84C63" w:rsidRPr="00B84C63" w:rsidRDefault="00B84C63" w:rsidP="00B84C63">
      <w:pPr>
        <w:pStyle w:val="BodyTextSMPC"/>
        <w:rPr>
          <w:u w:val="single"/>
        </w:rPr>
      </w:pPr>
      <w:r w:rsidRPr="00B84C63">
        <w:rPr>
          <w:u w:val="single"/>
        </w:rPr>
        <w:t xml:space="preserve">Fluorouracil </w:t>
      </w:r>
    </w:p>
    <w:p w14:paraId="75A540EC" w14:textId="5E48E844" w:rsidR="00B84C63" w:rsidRDefault="00B84C63" w:rsidP="00B84C63">
      <w:pPr>
        <w:pStyle w:val="BodyTextSMPC"/>
      </w:pPr>
      <w:r>
        <w:t xml:space="preserve">Generally, calcium folinate must not be mixed in the same infusion as fluorouracil because a precipitate may form. Fluorouracil 50 mg/ml with calcium folinate 20 mg/ml, with or without dextrose 5 % in water, has been shown to be incompatible when mixed in different amounts and stored at 4°C, 23°C, or 32°C in polyvinyl chloride containers. </w:t>
      </w:r>
    </w:p>
    <w:p w14:paraId="5C1D30C7" w14:textId="520C4C16" w:rsidR="00B84C63" w:rsidRDefault="00B84C63" w:rsidP="00B84C63">
      <w:pPr>
        <w:pStyle w:val="BodyTextSMPC"/>
      </w:pPr>
      <w:r>
        <w:t xml:space="preserve">However, a 1:1 mixed solution of calcium folinate solution (10 mg/ml) and fluorouracil solution (50 mg/ml) has been shown to be compatible and stable over a period of 48 hours stored at maximum 32°C protected from light. </w:t>
      </w:r>
    </w:p>
    <w:p w14:paraId="66E52C9D" w14:textId="77777777" w:rsidR="00B84C63" w:rsidRPr="00B84C63" w:rsidRDefault="00B84C63" w:rsidP="00B84C63">
      <w:pPr>
        <w:pStyle w:val="BodyTextSMPC"/>
        <w:rPr>
          <w:u w:val="single"/>
        </w:rPr>
      </w:pPr>
      <w:r w:rsidRPr="00B84C63">
        <w:rPr>
          <w:u w:val="single"/>
        </w:rPr>
        <w:t xml:space="preserve">Foscarnet </w:t>
      </w:r>
    </w:p>
    <w:p w14:paraId="1EF971C7" w14:textId="3CCFCE7F" w:rsidR="00E139AC" w:rsidRPr="006E7537" w:rsidRDefault="00B84C63" w:rsidP="00B84C63">
      <w:pPr>
        <w:pStyle w:val="BodyTextSMPC"/>
      </w:pPr>
      <w:r>
        <w:t>The formation of a cloudy yellow solution has been reported when foscarnet 24 mg/ml is mixed with calcium folinate 20 mg/ml</w:t>
      </w:r>
      <w:r w:rsidR="00C85E0E" w:rsidRPr="00C85E0E">
        <w:t>.</w:t>
      </w:r>
      <w:r w:rsidR="00155D95" w:rsidRPr="00155D95">
        <w:t xml:space="preserve"> </w:t>
      </w:r>
      <w:r w:rsidR="00913543">
        <w:t xml:space="preserve"> </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39A2BB24" w14:textId="7EB7E170" w:rsidR="00353092" w:rsidRPr="00F62FFF" w:rsidRDefault="00000000" w:rsidP="00F62FFF">
      <w:pPr>
        <w:pStyle w:val="SubHeafingSMPC"/>
      </w:pPr>
      <w:r w:rsidRPr="008F5678">
        <w:t xml:space="preserve">Special precautions for disposal </w:t>
      </w:r>
      <w:r w:rsidR="00353092" w:rsidRPr="00F62FFF">
        <w:t xml:space="preserve"> </w:t>
      </w:r>
    </w:p>
    <w:p w14:paraId="77C6DE15" w14:textId="0B12B97C" w:rsidR="00B84C63" w:rsidRPr="00B84C63" w:rsidRDefault="00B84C63" w:rsidP="00B84C63">
      <w:pPr>
        <w:pStyle w:val="BodyTextSMPC"/>
        <w:rPr>
          <w:color w:val="000000" w:themeColor="text1"/>
        </w:rPr>
      </w:pPr>
      <w:r w:rsidRPr="00B84C63">
        <w:rPr>
          <w:color w:val="000000" w:themeColor="text1"/>
        </w:rPr>
        <w:t xml:space="preserve">Prior to administration, calcium folinate should be inspected visually. The solution for injection/infusion should be a clear yellowish solution. If cloudy in appearance or particles are observed, the solution should be discarded. </w:t>
      </w:r>
    </w:p>
    <w:p w14:paraId="2342D533" w14:textId="77777777" w:rsidR="00B84C63" w:rsidRPr="00B84C63" w:rsidRDefault="00B84C63" w:rsidP="00B84C63">
      <w:pPr>
        <w:pStyle w:val="BodyTextSMPC"/>
        <w:rPr>
          <w:color w:val="000000" w:themeColor="text1"/>
          <w:u w:val="single"/>
        </w:rPr>
      </w:pPr>
      <w:r w:rsidRPr="00B84C63">
        <w:rPr>
          <w:color w:val="000000" w:themeColor="text1"/>
          <w:u w:val="single"/>
        </w:rPr>
        <w:t>Dilution for infusion</w:t>
      </w:r>
    </w:p>
    <w:p w14:paraId="638893CA" w14:textId="1BDF69B8" w:rsidR="00B84C63" w:rsidRPr="00B84C63" w:rsidRDefault="00B84C63" w:rsidP="00B84C63">
      <w:pPr>
        <w:pStyle w:val="BodyTextSMPC"/>
        <w:rPr>
          <w:color w:val="000000" w:themeColor="text1"/>
        </w:rPr>
      </w:pPr>
      <w:r w:rsidRPr="00B84C63">
        <w:rPr>
          <w:color w:val="000000" w:themeColor="text1"/>
        </w:rPr>
        <w:lastRenderedPageBreak/>
        <w:t xml:space="preserve">Based on the required dose for the patient expressed in mg, the corresponding amount of solution for injection/infusion containing 10 mg/ml calcium folinate is aseptically withdrawn from the vial(s) and then diluted with 0.9 % sodium chloride solution or 5 % glucose solution. </w:t>
      </w:r>
    </w:p>
    <w:p w14:paraId="4A753878" w14:textId="0C073D3F" w:rsidR="00C14A9D" w:rsidRPr="00C14A9D" w:rsidRDefault="00B84C63" w:rsidP="00B84C63">
      <w:pPr>
        <w:pStyle w:val="BodyTextSMPC"/>
        <w:rPr>
          <w:color w:val="000000" w:themeColor="text1"/>
        </w:rPr>
      </w:pPr>
      <w:r w:rsidRPr="00B84C63">
        <w:rPr>
          <w:color w:val="000000" w:themeColor="text1"/>
        </w:rPr>
        <w:t>For single use only. Discard any unused solution immediately after initial use</w:t>
      </w:r>
      <w:r w:rsidR="00C14A9D" w:rsidRPr="00C14A9D">
        <w:rPr>
          <w:color w:val="000000" w:themeColor="text1"/>
        </w:rPr>
        <w:t>.</w:t>
      </w:r>
    </w:p>
    <w:p w14:paraId="41ABB03E" w14:textId="338D2FF2" w:rsidR="00151237" w:rsidRPr="00151237" w:rsidRDefault="00353092" w:rsidP="00F62FFF">
      <w:pPr>
        <w:pStyle w:val="BodyTextSMPC"/>
      </w:pPr>
      <w:r w:rsidRPr="008F5678">
        <w:rPr>
          <w:color w:val="FF0000"/>
        </w:rPr>
        <w:t>&lt;REGARDING THE APPROVAL&gt;</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E139AC" w:rsidRDefault="00000000" w:rsidP="008F5678">
      <w:pPr>
        <w:pStyle w:val="BodyTextSMPC"/>
        <w:rPr>
          <w:rFonts w:cstheme="minorBidi" w:hint="cs"/>
          <w:color w:val="FF0000"/>
          <w:cs/>
        </w:rPr>
      </w:pPr>
      <w:r w:rsidRPr="008F5678">
        <w:rPr>
          <w:color w:val="FF0000"/>
        </w:rPr>
        <w:t xml:space="preserve">&lt;REGARDING THE APPROVAL&gt; </w:t>
      </w:r>
    </w:p>
    <w:sectPr w:rsidR="00227FD4" w:rsidRPr="00E139AC" w:rsidSect="00C21A1C">
      <w:footerReference w:type="even" r:id="rId8"/>
      <w:footerReference w:type="default" r:id="rId9"/>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338E9" w14:textId="77777777" w:rsidR="00671700" w:rsidRDefault="00671700" w:rsidP="008F5678">
      <w:pPr>
        <w:spacing w:line="240" w:lineRule="auto"/>
      </w:pPr>
      <w:r>
        <w:separator/>
      </w:r>
    </w:p>
  </w:endnote>
  <w:endnote w:type="continuationSeparator" w:id="0">
    <w:p w14:paraId="45D622B3" w14:textId="77777777" w:rsidR="00671700" w:rsidRDefault="00671700"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Times">
    <w:altName w:val="Times New Roman"/>
    <w:panose1 w:val="020206030504050203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cs/>
      </w:rPr>
      <w:id w:val="-645354915"/>
      <w:docPartObj>
        <w:docPartGallery w:val="Page Numbers (Bottom of Page)"/>
        <w:docPartUnique/>
      </w:docPartObj>
    </w:sdtPr>
    <w:sdtContent>
      <w:p w14:paraId="3BF6A5A5" w14:textId="5097DB4C" w:rsidR="008F5678" w:rsidRDefault="008F5678" w:rsidP="00050BE3">
        <w:pPr>
          <w:pStyle w:val="ab"/>
          <w:framePr w:wrap="none" w:vAnchor="text" w:hAnchor="margin" w:xAlign="center" w:y="1"/>
          <w:rPr>
            <w:rStyle w:val="ad"/>
          </w:rPr>
        </w:pPr>
        <w:r>
          <w:rPr>
            <w:rStyle w:val="ad"/>
            <w:cs/>
          </w:rPr>
          <w:fldChar w:fldCharType="begin"/>
        </w:r>
        <w:r>
          <w:rPr>
            <w:rStyle w:val="ad"/>
          </w:rPr>
          <w:instrText xml:space="preserve"> PAGE </w:instrText>
        </w:r>
        <w:r>
          <w:rPr>
            <w:rStyle w:val="ad"/>
            <w:cs/>
          </w:rPr>
          <w:fldChar w:fldCharType="end"/>
        </w:r>
      </w:p>
    </w:sdtContent>
  </w:sdt>
  <w:p w14:paraId="72E7A6CB" w14:textId="77777777" w:rsidR="008F5678" w:rsidRDefault="008F567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ab"/>
          <w:framePr w:wrap="none" w:vAnchor="text" w:hAnchor="margin" w:xAlign="center" w:y="1"/>
          <w:rPr>
            <w:rStyle w:val="ad"/>
            <w:rFonts w:ascii="Times New Roman" w:hAnsi="Times New Roman" w:cs="Times New Roman"/>
            <w:sz w:val="24"/>
            <w:szCs w:val="32"/>
          </w:rPr>
        </w:pPr>
        <w:r w:rsidRPr="008F5678">
          <w:rPr>
            <w:rStyle w:val="ad"/>
            <w:rFonts w:ascii="Times New Roman" w:hAnsi="Times New Roman" w:cs="Times New Roman"/>
            <w:sz w:val="24"/>
            <w:szCs w:val="32"/>
            <w:cs/>
          </w:rPr>
          <w:fldChar w:fldCharType="begin"/>
        </w:r>
        <w:r w:rsidRPr="008F5678">
          <w:rPr>
            <w:rStyle w:val="ad"/>
            <w:rFonts w:ascii="Times New Roman" w:hAnsi="Times New Roman" w:cs="Times New Roman"/>
            <w:sz w:val="24"/>
            <w:szCs w:val="32"/>
          </w:rPr>
          <w:instrText xml:space="preserve"> PAGE </w:instrText>
        </w:r>
        <w:r w:rsidRPr="008F5678">
          <w:rPr>
            <w:rStyle w:val="ad"/>
            <w:rFonts w:ascii="Times New Roman" w:hAnsi="Times New Roman" w:cs="Times New Roman"/>
            <w:sz w:val="24"/>
            <w:szCs w:val="32"/>
            <w:cs/>
          </w:rPr>
          <w:fldChar w:fldCharType="separate"/>
        </w:r>
        <w:r w:rsidRPr="008F5678">
          <w:rPr>
            <w:rStyle w:val="ad"/>
            <w:rFonts w:ascii="Times New Roman" w:hAnsi="Times New Roman" w:cs="Times New Roman"/>
            <w:noProof/>
            <w:sz w:val="24"/>
            <w:szCs w:val="32"/>
          </w:rPr>
          <w:t>6</w:t>
        </w:r>
        <w:r w:rsidRPr="008F5678">
          <w:rPr>
            <w:rStyle w:val="ad"/>
            <w:rFonts w:ascii="Times New Roman" w:hAnsi="Times New Roman" w:cs="Times New Roman"/>
            <w:sz w:val="24"/>
            <w:szCs w:val="32"/>
            <w:cs/>
          </w:rPr>
          <w:fldChar w:fldCharType="end"/>
        </w:r>
      </w:p>
    </w:sdtContent>
  </w:sdt>
  <w:p w14:paraId="04555908" w14:textId="3E066225" w:rsidR="008F5678" w:rsidRPr="00EE66E7" w:rsidRDefault="008F5678" w:rsidP="008F5678">
    <w:pPr>
      <w:rPr>
        <w:rFonts w:ascii="Times New Roman" w:hAnsi="Times New Roman" w:cstheme="minorBidi"/>
        <w:color w:val="FF0000"/>
        <w:sz w:val="32"/>
        <w:szCs w:val="24"/>
      </w:rPr>
    </w:pPr>
    <w:r w:rsidRPr="008F5678">
      <w:rPr>
        <w:rFonts w:ascii="Times New Roman" w:eastAsia="Times New Roman" w:hAnsi="Times New Roman" w:cs="Times New Roman"/>
        <w:sz w:val="24"/>
        <w:szCs w:val="24"/>
        <w:vertAlign w:val="superscript"/>
      </w:rPr>
      <w:t xml:space="preserve">1 </w:t>
    </w:r>
    <w:r w:rsidRPr="008F5678">
      <w:rPr>
        <w:rFonts w:ascii="Times New Roman" w:hAnsi="Times New Roman" w:cs="Times New Roman"/>
        <w:sz w:val="24"/>
        <w:szCs w:val="24"/>
      </w:rPr>
      <w:t>Ref:</w:t>
    </w:r>
    <w:r w:rsidR="000C7ED9" w:rsidRPr="000C7ED9">
      <w:t xml:space="preserve"> </w:t>
    </w:r>
    <w:r w:rsidR="00B84C63" w:rsidRPr="00B84C63">
      <w:rPr>
        <w:rFonts w:ascii="Times New Roman" w:hAnsi="Times New Roman" w:cs="Times New Roman"/>
        <w:sz w:val="24"/>
        <w:szCs w:val="24"/>
      </w:rPr>
      <w:t>Calcium Folinate 10 mg/ml Solution for Injection or Infusion</w:t>
    </w:r>
    <w:r w:rsidRPr="008F5678">
      <w:rPr>
        <w:rFonts w:ascii="Times New Roman" w:hAnsi="Times New Roman" w:cs="Times New Roman"/>
        <w:sz w:val="24"/>
        <w:szCs w:val="24"/>
      </w:rPr>
      <w:t xml:space="preserve">, </w:t>
    </w:r>
    <w:r w:rsidR="00C85E0E">
      <w:rPr>
        <w:rFonts w:ascii="Times New Roman" w:hAnsi="Times New Roman" w:cs="Times New Roman"/>
        <w:sz w:val="24"/>
        <w:szCs w:val="24"/>
      </w:rPr>
      <w:t>MHRA</w:t>
    </w:r>
    <w:r w:rsidRPr="008F5678">
      <w:rPr>
        <w:rFonts w:ascii="Times New Roman" w:hAnsi="Times New Roman" w:cs="Times New Roman"/>
        <w:sz w:val="24"/>
        <w:szCs w:val="24"/>
      </w:rPr>
      <w:t xml:space="preserve">, </w:t>
    </w:r>
    <w:r w:rsidR="00B84C63">
      <w:rPr>
        <w:rFonts w:ascii="Times New Roman" w:hAnsi="Times New Roman" w:cs="Times New Roman"/>
        <w:sz w:val="24"/>
        <w:szCs w:val="24"/>
      </w:rPr>
      <w:t>11/11/2020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E9B5D8" w14:textId="77777777" w:rsidR="00671700" w:rsidRDefault="00671700" w:rsidP="008F5678">
      <w:pPr>
        <w:spacing w:line="240" w:lineRule="auto"/>
      </w:pPr>
      <w:r>
        <w:separator/>
      </w:r>
    </w:p>
  </w:footnote>
  <w:footnote w:type="continuationSeparator" w:id="0">
    <w:p w14:paraId="5222407E" w14:textId="77777777" w:rsidR="00671700" w:rsidRDefault="00671700"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C21B25"/>
    <w:multiLevelType w:val="hybridMultilevel"/>
    <w:tmpl w:val="79E0FFB2"/>
    <w:lvl w:ilvl="0" w:tplc="083076BC">
      <w:start w:val="100"/>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 w15:restartNumberingAfterBreak="0">
    <w:nsid w:val="17332583"/>
    <w:multiLevelType w:val="hybridMultilevel"/>
    <w:tmpl w:val="F3E2E77E"/>
    <w:lvl w:ilvl="0" w:tplc="15C8F42C">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3" w15:restartNumberingAfterBreak="0">
    <w:nsid w:val="1B565626"/>
    <w:multiLevelType w:val="hybridMultilevel"/>
    <w:tmpl w:val="1CC2ACE4"/>
    <w:lvl w:ilvl="0" w:tplc="18A6F6FE">
      <w:start w:val="1"/>
      <w:numFmt w:val="bullet"/>
      <w:lvlText w:val="-"/>
      <w:lvlJc w:val="left"/>
      <w:pPr>
        <w:ind w:left="1154" w:hanging="360"/>
      </w:pPr>
      <w:rPr>
        <w:rFonts w:ascii="Cordia New" w:eastAsia="Arial" w:hAnsi="Cordia New" w:cs="Cordia New"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4" w15:restartNumberingAfterBreak="0">
    <w:nsid w:val="30BE3845"/>
    <w:multiLevelType w:val="hybridMultilevel"/>
    <w:tmpl w:val="E92CE526"/>
    <w:lvl w:ilvl="0" w:tplc="CCA6B5F4">
      <w:start w:val="2"/>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5" w15:restartNumberingAfterBreak="0">
    <w:nsid w:val="51131B9F"/>
    <w:multiLevelType w:val="hybridMultilevel"/>
    <w:tmpl w:val="7092064C"/>
    <w:lvl w:ilvl="0" w:tplc="0CD821A0">
      <w:start w:val="250"/>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6" w15:restartNumberingAfterBreak="0">
    <w:nsid w:val="56FD649C"/>
    <w:multiLevelType w:val="hybridMultilevel"/>
    <w:tmpl w:val="F2707A54"/>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7"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4BD510E"/>
    <w:multiLevelType w:val="hybridMultilevel"/>
    <w:tmpl w:val="6F2448A8"/>
    <w:lvl w:ilvl="0" w:tplc="B7FCCEBA">
      <w:start w:val="1"/>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num w:numId="1" w16cid:durableId="1821532202">
    <w:abstractNumId w:val="7"/>
  </w:num>
  <w:num w:numId="2" w16cid:durableId="658729891">
    <w:abstractNumId w:val="0"/>
  </w:num>
  <w:num w:numId="3" w16cid:durableId="1826510259">
    <w:abstractNumId w:val="3"/>
  </w:num>
  <w:num w:numId="4" w16cid:durableId="1678921655">
    <w:abstractNumId w:val="4"/>
  </w:num>
  <w:num w:numId="5" w16cid:durableId="82191982">
    <w:abstractNumId w:val="2"/>
  </w:num>
  <w:num w:numId="6" w16cid:durableId="1331174110">
    <w:abstractNumId w:val="8"/>
  </w:num>
  <w:num w:numId="7" w16cid:durableId="1095899839">
    <w:abstractNumId w:val="6"/>
  </w:num>
  <w:num w:numId="8" w16cid:durableId="1196189252">
    <w:abstractNumId w:val="5"/>
  </w:num>
  <w:num w:numId="9" w16cid:durableId="410589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022ED"/>
    <w:rsid w:val="00010EFF"/>
    <w:rsid w:val="00015DD1"/>
    <w:rsid w:val="00016076"/>
    <w:rsid w:val="000173AF"/>
    <w:rsid w:val="00022C94"/>
    <w:rsid w:val="0003354B"/>
    <w:rsid w:val="000453B9"/>
    <w:rsid w:val="000523FE"/>
    <w:rsid w:val="000630DB"/>
    <w:rsid w:val="00070173"/>
    <w:rsid w:val="000714EA"/>
    <w:rsid w:val="00072659"/>
    <w:rsid w:val="000970AF"/>
    <w:rsid w:val="000A7A98"/>
    <w:rsid w:val="000B04CC"/>
    <w:rsid w:val="000B4E8C"/>
    <w:rsid w:val="000B5450"/>
    <w:rsid w:val="000B5EDF"/>
    <w:rsid w:val="000C7ED9"/>
    <w:rsid w:val="000D4C4D"/>
    <w:rsid w:val="000E36A9"/>
    <w:rsid w:val="000F022A"/>
    <w:rsid w:val="000F3E08"/>
    <w:rsid w:val="000F68A5"/>
    <w:rsid w:val="000F6998"/>
    <w:rsid w:val="00111833"/>
    <w:rsid w:val="001162E6"/>
    <w:rsid w:val="001249D8"/>
    <w:rsid w:val="00143C89"/>
    <w:rsid w:val="00151237"/>
    <w:rsid w:val="00155D95"/>
    <w:rsid w:val="001624D3"/>
    <w:rsid w:val="001678C4"/>
    <w:rsid w:val="00177864"/>
    <w:rsid w:val="00182860"/>
    <w:rsid w:val="001839CC"/>
    <w:rsid w:val="001A30EC"/>
    <w:rsid w:val="001A39AF"/>
    <w:rsid w:val="001A4654"/>
    <w:rsid w:val="001B1CB6"/>
    <w:rsid w:val="001B34A8"/>
    <w:rsid w:val="001D74D3"/>
    <w:rsid w:val="001D7E5E"/>
    <w:rsid w:val="001E1455"/>
    <w:rsid w:val="001E4A8C"/>
    <w:rsid w:val="00200B73"/>
    <w:rsid w:val="00203871"/>
    <w:rsid w:val="00217343"/>
    <w:rsid w:val="00223564"/>
    <w:rsid w:val="00227FD4"/>
    <w:rsid w:val="00232126"/>
    <w:rsid w:val="00233A79"/>
    <w:rsid w:val="00233EB4"/>
    <w:rsid w:val="002357B1"/>
    <w:rsid w:val="002449CF"/>
    <w:rsid w:val="00254057"/>
    <w:rsid w:val="00291687"/>
    <w:rsid w:val="002933FE"/>
    <w:rsid w:val="002C0470"/>
    <w:rsid w:val="002D0A52"/>
    <w:rsid w:val="00302302"/>
    <w:rsid w:val="00303231"/>
    <w:rsid w:val="00306DE9"/>
    <w:rsid w:val="00307506"/>
    <w:rsid w:val="00316A60"/>
    <w:rsid w:val="00323A34"/>
    <w:rsid w:val="0032475B"/>
    <w:rsid w:val="00342687"/>
    <w:rsid w:val="003467EF"/>
    <w:rsid w:val="00351B91"/>
    <w:rsid w:val="00353092"/>
    <w:rsid w:val="00362134"/>
    <w:rsid w:val="00364ADF"/>
    <w:rsid w:val="00381125"/>
    <w:rsid w:val="00385779"/>
    <w:rsid w:val="00391F2E"/>
    <w:rsid w:val="00395395"/>
    <w:rsid w:val="00397295"/>
    <w:rsid w:val="003A3F82"/>
    <w:rsid w:val="003B16FC"/>
    <w:rsid w:val="003B2242"/>
    <w:rsid w:val="003B51C2"/>
    <w:rsid w:val="003C4A4C"/>
    <w:rsid w:val="003E756F"/>
    <w:rsid w:val="00400BAB"/>
    <w:rsid w:val="00415AF9"/>
    <w:rsid w:val="00417A75"/>
    <w:rsid w:val="00421378"/>
    <w:rsid w:val="00424399"/>
    <w:rsid w:val="00424C7B"/>
    <w:rsid w:val="00424F84"/>
    <w:rsid w:val="004311A2"/>
    <w:rsid w:val="004547B5"/>
    <w:rsid w:val="00462D7E"/>
    <w:rsid w:val="004707A7"/>
    <w:rsid w:val="00473071"/>
    <w:rsid w:val="00475F22"/>
    <w:rsid w:val="00480965"/>
    <w:rsid w:val="0048242B"/>
    <w:rsid w:val="00482ED3"/>
    <w:rsid w:val="004A007B"/>
    <w:rsid w:val="004A2E5C"/>
    <w:rsid w:val="004A5AB4"/>
    <w:rsid w:val="004B3BC3"/>
    <w:rsid w:val="004B56C3"/>
    <w:rsid w:val="004B5CBB"/>
    <w:rsid w:val="004C064E"/>
    <w:rsid w:val="004D6737"/>
    <w:rsid w:val="004F658C"/>
    <w:rsid w:val="0050369A"/>
    <w:rsid w:val="005122F4"/>
    <w:rsid w:val="005200B2"/>
    <w:rsid w:val="00523E4C"/>
    <w:rsid w:val="005248D2"/>
    <w:rsid w:val="005574FA"/>
    <w:rsid w:val="00567F62"/>
    <w:rsid w:val="00573351"/>
    <w:rsid w:val="00577713"/>
    <w:rsid w:val="005B5962"/>
    <w:rsid w:val="005B78A4"/>
    <w:rsid w:val="00606B16"/>
    <w:rsid w:val="006101D5"/>
    <w:rsid w:val="006147EE"/>
    <w:rsid w:val="00614876"/>
    <w:rsid w:val="006224A3"/>
    <w:rsid w:val="0062302F"/>
    <w:rsid w:val="00641955"/>
    <w:rsid w:val="006448B7"/>
    <w:rsid w:val="00646ECA"/>
    <w:rsid w:val="00652313"/>
    <w:rsid w:val="00671700"/>
    <w:rsid w:val="00671E86"/>
    <w:rsid w:val="006745E3"/>
    <w:rsid w:val="006752B9"/>
    <w:rsid w:val="0069711D"/>
    <w:rsid w:val="006A4735"/>
    <w:rsid w:val="006A7BA7"/>
    <w:rsid w:val="006B0EF4"/>
    <w:rsid w:val="006B41AF"/>
    <w:rsid w:val="006B462B"/>
    <w:rsid w:val="006B7B99"/>
    <w:rsid w:val="006C22F9"/>
    <w:rsid w:val="006D4823"/>
    <w:rsid w:val="006E3D76"/>
    <w:rsid w:val="006E7537"/>
    <w:rsid w:val="00701DC6"/>
    <w:rsid w:val="00702D8E"/>
    <w:rsid w:val="007257A9"/>
    <w:rsid w:val="007258BA"/>
    <w:rsid w:val="00732389"/>
    <w:rsid w:val="0073256D"/>
    <w:rsid w:val="00742D9B"/>
    <w:rsid w:val="0075380E"/>
    <w:rsid w:val="00755C3B"/>
    <w:rsid w:val="00757ABD"/>
    <w:rsid w:val="0076728F"/>
    <w:rsid w:val="00774F68"/>
    <w:rsid w:val="00783899"/>
    <w:rsid w:val="007A4C62"/>
    <w:rsid w:val="007A70CC"/>
    <w:rsid w:val="007B01F4"/>
    <w:rsid w:val="007B18D7"/>
    <w:rsid w:val="007C754A"/>
    <w:rsid w:val="007D1E27"/>
    <w:rsid w:val="007F2B3F"/>
    <w:rsid w:val="00816633"/>
    <w:rsid w:val="00817FAD"/>
    <w:rsid w:val="00834A79"/>
    <w:rsid w:val="008401B5"/>
    <w:rsid w:val="00842E18"/>
    <w:rsid w:val="008561A2"/>
    <w:rsid w:val="008568D4"/>
    <w:rsid w:val="00857F59"/>
    <w:rsid w:val="008639E1"/>
    <w:rsid w:val="00864411"/>
    <w:rsid w:val="00894F3B"/>
    <w:rsid w:val="008A2A73"/>
    <w:rsid w:val="008B5BE5"/>
    <w:rsid w:val="008C0C75"/>
    <w:rsid w:val="008C17A5"/>
    <w:rsid w:val="008C66E8"/>
    <w:rsid w:val="008D7A61"/>
    <w:rsid w:val="008F3900"/>
    <w:rsid w:val="008F5678"/>
    <w:rsid w:val="00907B35"/>
    <w:rsid w:val="00913543"/>
    <w:rsid w:val="009220E1"/>
    <w:rsid w:val="009242EA"/>
    <w:rsid w:val="00934487"/>
    <w:rsid w:val="0094110D"/>
    <w:rsid w:val="00947BAB"/>
    <w:rsid w:val="00955F90"/>
    <w:rsid w:val="00962771"/>
    <w:rsid w:val="00962985"/>
    <w:rsid w:val="00962DDE"/>
    <w:rsid w:val="009719D6"/>
    <w:rsid w:val="00972AD6"/>
    <w:rsid w:val="00977EEA"/>
    <w:rsid w:val="00982CEB"/>
    <w:rsid w:val="00982EC5"/>
    <w:rsid w:val="00997D0B"/>
    <w:rsid w:val="009A1A64"/>
    <w:rsid w:val="009A3143"/>
    <w:rsid w:val="009C4E09"/>
    <w:rsid w:val="009D6FFD"/>
    <w:rsid w:val="00A04703"/>
    <w:rsid w:val="00A068D5"/>
    <w:rsid w:val="00A10233"/>
    <w:rsid w:val="00A144D2"/>
    <w:rsid w:val="00A16F7E"/>
    <w:rsid w:val="00A2177D"/>
    <w:rsid w:val="00A22C1C"/>
    <w:rsid w:val="00A36CCD"/>
    <w:rsid w:val="00A50140"/>
    <w:rsid w:val="00A560E6"/>
    <w:rsid w:val="00A56A7C"/>
    <w:rsid w:val="00A67F28"/>
    <w:rsid w:val="00A856F1"/>
    <w:rsid w:val="00A85894"/>
    <w:rsid w:val="00A912A3"/>
    <w:rsid w:val="00AB0D31"/>
    <w:rsid w:val="00AB6AD4"/>
    <w:rsid w:val="00AB6FF1"/>
    <w:rsid w:val="00AC277A"/>
    <w:rsid w:val="00AC49D5"/>
    <w:rsid w:val="00AC5267"/>
    <w:rsid w:val="00AD5242"/>
    <w:rsid w:val="00AD6FB8"/>
    <w:rsid w:val="00AF00DD"/>
    <w:rsid w:val="00AF212D"/>
    <w:rsid w:val="00AF364C"/>
    <w:rsid w:val="00AF5516"/>
    <w:rsid w:val="00AF5BF6"/>
    <w:rsid w:val="00B02779"/>
    <w:rsid w:val="00B14DD9"/>
    <w:rsid w:val="00B24321"/>
    <w:rsid w:val="00B2537D"/>
    <w:rsid w:val="00B321A7"/>
    <w:rsid w:val="00B36B0E"/>
    <w:rsid w:val="00B43588"/>
    <w:rsid w:val="00B460EE"/>
    <w:rsid w:val="00B52056"/>
    <w:rsid w:val="00B542CE"/>
    <w:rsid w:val="00B61320"/>
    <w:rsid w:val="00B63770"/>
    <w:rsid w:val="00B65CC5"/>
    <w:rsid w:val="00B755AE"/>
    <w:rsid w:val="00B771AD"/>
    <w:rsid w:val="00B84C63"/>
    <w:rsid w:val="00B86B7C"/>
    <w:rsid w:val="00B927D6"/>
    <w:rsid w:val="00BA0700"/>
    <w:rsid w:val="00BA3DFB"/>
    <w:rsid w:val="00BB0627"/>
    <w:rsid w:val="00BB2B03"/>
    <w:rsid w:val="00BB33DA"/>
    <w:rsid w:val="00BD1BD1"/>
    <w:rsid w:val="00BD279B"/>
    <w:rsid w:val="00BE0013"/>
    <w:rsid w:val="00BE0983"/>
    <w:rsid w:val="00BE10A8"/>
    <w:rsid w:val="00BF4D9F"/>
    <w:rsid w:val="00C03E69"/>
    <w:rsid w:val="00C04DF2"/>
    <w:rsid w:val="00C069FE"/>
    <w:rsid w:val="00C07D84"/>
    <w:rsid w:val="00C14A9D"/>
    <w:rsid w:val="00C15438"/>
    <w:rsid w:val="00C21A1C"/>
    <w:rsid w:val="00C34CD3"/>
    <w:rsid w:val="00C36E7B"/>
    <w:rsid w:val="00C5591F"/>
    <w:rsid w:val="00C62008"/>
    <w:rsid w:val="00C64664"/>
    <w:rsid w:val="00C77195"/>
    <w:rsid w:val="00C85E0E"/>
    <w:rsid w:val="00C864CB"/>
    <w:rsid w:val="00C91AE2"/>
    <w:rsid w:val="00CA053A"/>
    <w:rsid w:val="00CA4A4A"/>
    <w:rsid w:val="00CB12DC"/>
    <w:rsid w:val="00CB19BE"/>
    <w:rsid w:val="00CC4741"/>
    <w:rsid w:val="00CD5ED5"/>
    <w:rsid w:val="00CE072A"/>
    <w:rsid w:val="00CE7887"/>
    <w:rsid w:val="00D1697D"/>
    <w:rsid w:val="00D24E64"/>
    <w:rsid w:val="00D32C40"/>
    <w:rsid w:val="00D3643A"/>
    <w:rsid w:val="00D47475"/>
    <w:rsid w:val="00D511A4"/>
    <w:rsid w:val="00D5236F"/>
    <w:rsid w:val="00D80544"/>
    <w:rsid w:val="00D90A3C"/>
    <w:rsid w:val="00DB0028"/>
    <w:rsid w:val="00DB2BE7"/>
    <w:rsid w:val="00DB6202"/>
    <w:rsid w:val="00DC23BB"/>
    <w:rsid w:val="00DE1807"/>
    <w:rsid w:val="00DF0DD2"/>
    <w:rsid w:val="00DF20A8"/>
    <w:rsid w:val="00DF79C1"/>
    <w:rsid w:val="00E01FDA"/>
    <w:rsid w:val="00E139AC"/>
    <w:rsid w:val="00E21167"/>
    <w:rsid w:val="00E222B8"/>
    <w:rsid w:val="00E26333"/>
    <w:rsid w:val="00E32C2B"/>
    <w:rsid w:val="00E47326"/>
    <w:rsid w:val="00E6046E"/>
    <w:rsid w:val="00E641A1"/>
    <w:rsid w:val="00E647E4"/>
    <w:rsid w:val="00E712A3"/>
    <w:rsid w:val="00E71A67"/>
    <w:rsid w:val="00E72F63"/>
    <w:rsid w:val="00E867D8"/>
    <w:rsid w:val="00E86F32"/>
    <w:rsid w:val="00E92511"/>
    <w:rsid w:val="00E94451"/>
    <w:rsid w:val="00E9584A"/>
    <w:rsid w:val="00EB2C71"/>
    <w:rsid w:val="00EB692F"/>
    <w:rsid w:val="00EC77CC"/>
    <w:rsid w:val="00EE5855"/>
    <w:rsid w:val="00EE66E7"/>
    <w:rsid w:val="00EF48E4"/>
    <w:rsid w:val="00F04BB0"/>
    <w:rsid w:val="00F17745"/>
    <w:rsid w:val="00F373F9"/>
    <w:rsid w:val="00F42790"/>
    <w:rsid w:val="00F45471"/>
    <w:rsid w:val="00F512AD"/>
    <w:rsid w:val="00F54198"/>
    <w:rsid w:val="00F567BC"/>
    <w:rsid w:val="00F62E5E"/>
    <w:rsid w:val="00F62FFF"/>
    <w:rsid w:val="00F70F86"/>
    <w:rsid w:val="00F728A2"/>
    <w:rsid w:val="00F7564F"/>
    <w:rsid w:val="00F83417"/>
    <w:rsid w:val="00FA7867"/>
    <w:rsid w:val="00FC40E9"/>
    <w:rsid w:val="00FD2603"/>
    <w:rsid w:val="00FE7B35"/>
    <w:rsid w:val="00FF2105"/>
    <w:rsid w:val="00FF69A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paragraph" w:styleId="a6">
    <w:name w:val="List Paragraph"/>
    <w:basedOn w:val="a"/>
    <w:uiPriority w:val="34"/>
    <w:qFormat/>
    <w:rsid w:val="007258BA"/>
    <w:pPr>
      <w:ind w:left="720"/>
      <w:contextualSpacing/>
    </w:pPr>
    <w:rPr>
      <w:rFonts w:cs="Cordia New"/>
      <w:szCs w:val="28"/>
    </w:rPr>
  </w:style>
  <w:style w:type="paragraph" w:customStyle="1" w:styleId="HEADING1SMPC">
    <w:name w:val="HEADING1_SMPC"/>
    <w:basedOn w:val="1"/>
    <w:next w:val="a7"/>
    <w:qFormat/>
    <w:rsid w:val="00AF212D"/>
    <w:pPr>
      <w:numPr>
        <w:numId w:val="2"/>
      </w:numPr>
      <w:spacing w:before="240" w:line="360" w:lineRule="auto"/>
      <w:ind w:left="357" w:hanging="357"/>
    </w:pPr>
    <w:rPr>
      <w:rFonts w:ascii="Times New Roman" w:hAnsi="Times New Roman" w:cs="Times New Roman"/>
      <w:bCs/>
      <w:sz w:val="28"/>
    </w:rPr>
  </w:style>
  <w:style w:type="paragraph" w:styleId="a7">
    <w:name w:val="Body Text"/>
    <w:basedOn w:val="a"/>
    <w:link w:val="a8"/>
    <w:uiPriority w:val="99"/>
    <w:semiHidden/>
    <w:unhideWhenUsed/>
    <w:rsid w:val="00834A79"/>
    <w:pPr>
      <w:spacing w:after="120"/>
    </w:pPr>
    <w:rPr>
      <w:rFonts w:cs="Cordia New"/>
      <w:szCs w:val="28"/>
    </w:rPr>
  </w:style>
  <w:style w:type="character" w:customStyle="1" w:styleId="a8">
    <w:name w:val="เนื้อความ อักขระ"/>
    <w:basedOn w:val="a0"/>
    <w:link w:val="a7"/>
    <w:uiPriority w:val="99"/>
    <w:semiHidden/>
    <w:rsid w:val="00834A79"/>
    <w:rPr>
      <w:rFonts w:cs="Cordia New"/>
      <w:szCs w:val="28"/>
    </w:rPr>
  </w:style>
  <w:style w:type="paragraph" w:customStyle="1" w:styleId="SubHeafingSMPC">
    <w:name w:val="SubHeafing_SMPC"/>
    <w:basedOn w:val="a6"/>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a7"/>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a"/>
    <w:qFormat/>
    <w:rsid w:val="00AF212D"/>
    <w:pPr>
      <w:spacing w:line="480" w:lineRule="auto"/>
      <w:jc w:val="center"/>
    </w:pPr>
    <w:rPr>
      <w:rFonts w:ascii="Times New Roman" w:hAnsi="Times New Roman" w:cs="Times New Roman"/>
      <w:b/>
      <w:bCs/>
      <w:sz w:val="32"/>
      <w:szCs w:val="28"/>
    </w:rPr>
  </w:style>
  <w:style w:type="paragraph" w:styleId="a9">
    <w:name w:val="header"/>
    <w:basedOn w:val="a"/>
    <w:link w:val="aa"/>
    <w:uiPriority w:val="99"/>
    <w:unhideWhenUsed/>
    <w:rsid w:val="008F5678"/>
    <w:pPr>
      <w:tabs>
        <w:tab w:val="center" w:pos="4680"/>
        <w:tab w:val="right" w:pos="9360"/>
      </w:tabs>
      <w:spacing w:line="240" w:lineRule="auto"/>
    </w:pPr>
    <w:rPr>
      <w:rFonts w:cs="Cordia New"/>
      <w:szCs w:val="28"/>
    </w:rPr>
  </w:style>
  <w:style w:type="character" w:customStyle="1" w:styleId="aa">
    <w:name w:val="หัวกระดาษ อักขระ"/>
    <w:basedOn w:val="a0"/>
    <w:link w:val="a9"/>
    <w:uiPriority w:val="99"/>
    <w:rsid w:val="008F5678"/>
    <w:rPr>
      <w:rFonts w:cs="Cordia New"/>
      <w:szCs w:val="28"/>
    </w:rPr>
  </w:style>
  <w:style w:type="paragraph" w:styleId="ab">
    <w:name w:val="footer"/>
    <w:basedOn w:val="a"/>
    <w:link w:val="ac"/>
    <w:uiPriority w:val="99"/>
    <w:unhideWhenUsed/>
    <w:rsid w:val="008F5678"/>
    <w:pPr>
      <w:tabs>
        <w:tab w:val="center" w:pos="4680"/>
        <w:tab w:val="right" w:pos="9360"/>
      </w:tabs>
      <w:spacing w:line="240" w:lineRule="auto"/>
    </w:pPr>
    <w:rPr>
      <w:rFonts w:cs="Cordia New"/>
      <w:szCs w:val="28"/>
    </w:rPr>
  </w:style>
  <w:style w:type="character" w:customStyle="1" w:styleId="ac">
    <w:name w:val="ท้ายกระดาษ อักขระ"/>
    <w:basedOn w:val="a0"/>
    <w:link w:val="ab"/>
    <w:uiPriority w:val="99"/>
    <w:rsid w:val="008F5678"/>
    <w:rPr>
      <w:rFonts w:cs="Cordia New"/>
      <w:szCs w:val="28"/>
    </w:rPr>
  </w:style>
  <w:style w:type="character" w:styleId="ad">
    <w:name w:val="page number"/>
    <w:basedOn w:val="a0"/>
    <w:uiPriority w:val="99"/>
    <w:semiHidden/>
    <w:unhideWhenUsed/>
    <w:rsid w:val="008F5678"/>
  </w:style>
  <w:style w:type="paragraph" w:styleId="ae">
    <w:name w:val="footnote text"/>
    <w:basedOn w:val="a"/>
    <w:link w:val="af"/>
    <w:uiPriority w:val="99"/>
    <w:semiHidden/>
    <w:unhideWhenUsed/>
    <w:rsid w:val="00641955"/>
    <w:pPr>
      <w:spacing w:line="240" w:lineRule="auto"/>
    </w:pPr>
    <w:rPr>
      <w:rFonts w:cs="Cordia New"/>
      <w:sz w:val="20"/>
      <w:szCs w:val="25"/>
    </w:rPr>
  </w:style>
  <w:style w:type="character" w:customStyle="1" w:styleId="af">
    <w:name w:val="ข้อความเชิงอรรถ อักขระ"/>
    <w:basedOn w:val="a0"/>
    <w:link w:val="ae"/>
    <w:uiPriority w:val="99"/>
    <w:semiHidden/>
    <w:rsid w:val="00641955"/>
    <w:rPr>
      <w:rFonts w:cs="Cordia New"/>
      <w:sz w:val="20"/>
      <w:szCs w:val="25"/>
    </w:rPr>
  </w:style>
  <w:style w:type="character" w:styleId="af0">
    <w:name w:val="footnote reference"/>
    <w:basedOn w:val="a0"/>
    <w:uiPriority w:val="99"/>
    <w:semiHidden/>
    <w:unhideWhenUsed/>
    <w:rsid w:val="00641955"/>
    <w:rPr>
      <w:sz w:val="32"/>
      <w:szCs w:val="32"/>
      <w:vertAlign w:val="superscript"/>
    </w:rPr>
  </w:style>
  <w:style w:type="paragraph" w:styleId="af1">
    <w:name w:val="endnote text"/>
    <w:basedOn w:val="a"/>
    <w:link w:val="af2"/>
    <w:uiPriority w:val="99"/>
    <w:semiHidden/>
    <w:unhideWhenUsed/>
    <w:rsid w:val="00641955"/>
    <w:pPr>
      <w:spacing w:line="240" w:lineRule="auto"/>
    </w:pPr>
    <w:rPr>
      <w:rFonts w:cs="Cordia New"/>
      <w:sz w:val="20"/>
      <w:szCs w:val="25"/>
    </w:rPr>
  </w:style>
  <w:style w:type="character" w:customStyle="1" w:styleId="af2">
    <w:name w:val="ข้อความอ้างอิงท้ายเรื่อง อักขระ"/>
    <w:basedOn w:val="a0"/>
    <w:link w:val="af1"/>
    <w:uiPriority w:val="99"/>
    <w:semiHidden/>
    <w:rsid w:val="00641955"/>
    <w:rPr>
      <w:rFonts w:cs="Cordia New"/>
      <w:sz w:val="20"/>
      <w:szCs w:val="25"/>
    </w:rPr>
  </w:style>
  <w:style w:type="character" w:styleId="af3">
    <w:name w:val="endnote reference"/>
    <w:basedOn w:val="a0"/>
    <w:uiPriority w:val="99"/>
    <w:semiHidden/>
    <w:unhideWhenUsed/>
    <w:rsid w:val="00641955"/>
    <w:rPr>
      <w:sz w:val="32"/>
      <w:szCs w:val="32"/>
      <w:vertAlign w:val="superscript"/>
    </w:rPr>
  </w:style>
  <w:style w:type="paragraph" w:styleId="af4">
    <w:name w:val="Normal (Web)"/>
    <w:basedOn w:val="a"/>
    <w:uiPriority w:val="99"/>
    <w:unhideWhenUsed/>
    <w:rsid w:val="00415AF9"/>
    <w:pPr>
      <w:spacing w:before="100" w:beforeAutospacing="1" w:after="100" w:afterAutospacing="1" w:line="240" w:lineRule="auto"/>
    </w:pPr>
    <w:rPr>
      <w:rFonts w:ascii="Angsana New" w:eastAsia="Times New Roman" w:hAnsi="Angsana New" w:cs="Angsana New"/>
      <w:sz w:val="28"/>
      <w:szCs w:val="28"/>
    </w:rPr>
  </w:style>
  <w:style w:type="table" w:styleId="af5">
    <w:name w:val="Table Grid"/>
    <w:basedOn w:val="a1"/>
    <w:uiPriority w:val="39"/>
    <w:rsid w:val="00894F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9746">
      <w:bodyDiv w:val="1"/>
      <w:marLeft w:val="0"/>
      <w:marRight w:val="0"/>
      <w:marTop w:val="0"/>
      <w:marBottom w:val="0"/>
      <w:divBdr>
        <w:top w:val="none" w:sz="0" w:space="0" w:color="auto"/>
        <w:left w:val="none" w:sz="0" w:space="0" w:color="auto"/>
        <w:bottom w:val="none" w:sz="0" w:space="0" w:color="auto"/>
        <w:right w:val="none" w:sz="0" w:space="0" w:color="auto"/>
      </w:divBdr>
    </w:div>
    <w:div w:id="14892699">
      <w:bodyDiv w:val="1"/>
      <w:marLeft w:val="0"/>
      <w:marRight w:val="0"/>
      <w:marTop w:val="0"/>
      <w:marBottom w:val="0"/>
      <w:divBdr>
        <w:top w:val="none" w:sz="0" w:space="0" w:color="auto"/>
        <w:left w:val="none" w:sz="0" w:space="0" w:color="auto"/>
        <w:bottom w:val="none" w:sz="0" w:space="0" w:color="auto"/>
        <w:right w:val="none" w:sz="0" w:space="0" w:color="auto"/>
      </w:divBdr>
    </w:div>
    <w:div w:id="15889689">
      <w:bodyDiv w:val="1"/>
      <w:marLeft w:val="0"/>
      <w:marRight w:val="0"/>
      <w:marTop w:val="0"/>
      <w:marBottom w:val="0"/>
      <w:divBdr>
        <w:top w:val="none" w:sz="0" w:space="0" w:color="auto"/>
        <w:left w:val="none" w:sz="0" w:space="0" w:color="auto"/>
        <w:bottom w:val="none" w:sz="0" w:space="0" w:color="auto"/>
        <w:right w:val="none" w:sz="0" w:space="0" w:color="auto"/>
      </w:divBdr>
    </w:div>
    <w:div w:id="17438513">
      <w:bodyDiv w:val="1"/>
      <w:marLeft w:val="0"/>
      <w:marRight w:val="0"/>
      <w:marTop w:val="0"/>
      <w:marBottom w:val="0"/>
      <w:divBdr>
        <w:top w:val="none" w:sz="0" w:space="0" w:color="auto"/>
        <w:left w:val="none" w:sz="0" w:space="0" w:color="auto"/>
        <w:bottom w:val="none" w:sz="0" w:space="0" w:color="auto"/>
        <w:right w:val="none" w:sz="0" w:space="0" w:color="auto"/>
      </w:divBdr>
    </w:div>
    <w:div w:id="27534424">
      <w:bodyDiv w:val="1"/>
      <w:marLeft w:val="0"/>
      <w:marRight w:val="0"/>
      <w:marTop w:val="0"/>
      <w:marBottom w:val="0"/>
      <w:divBdr>
        <w:top w:val="none" w:sz="0" w:space="0" w:color="auto"/>
        <w:left w:val="none" w:sz="0" w:space="0" w:color="auto"/>
        <w:bottom w:val="none" w:sz="0" w:space="0" w:color="auto"/>
        <w:right w:val="none" w:sz="0" w:space="0" w:color="auto"/>
      </w:divBdr>
    </w:div>
    <w:div w:id="35007035">
      <w:bodyDiv w:val="1"/>
      <w:marLeft w:val="0"/>
      <w:marRight w:val="0"/>
      <w:marTop w:val="0"/>
      <w:marBottom w:val="0"/>
      <w:divBdr>
        <w:top w:val="none" w:sz="0" w:space="0" w:color="auto"/>
        <w:left w:val="none" w:sz="0" w:space="0" w:color="auto"/>
        <w:bottom w:val="none" w:sz="0" w:space="0" w:color="auto"/>
        <w:right w:val="none" w:sz="0" w:space="0" w:color="auto"/>
      </w:divBdr>
    </w:div>
    <w:div w:id="36853861">
      <w:bodyDiv w:val="1"/>
      <w:marLeft w:val="0"/>
      <w:marRight w:val="0"/>
      <w:marTop w:val="0"/>
      <w:marBottom w:val="0"/>
      <w:divBdr>
        <w:top w:val="none" w:sz="0" w:space="0" w:color="auto"/>
        <w:left w:val="none" w:sz="0" w:space="0" w:color="auto"/>
        <w:bottom w:val="none" w:sz="0" w:space="0" w:color="auto"/>
        <w:right w:val="none" w:sz="0" w:space="0" w:color="auto"/>
      </w:divBdr>
    </w:div>
    <w:div w:id="44109003">
      <w:bodyDiv w:val="1"/>
      <w:marLeft w:val="0"/>
      <w:marRight w:val="0"/>
      <w:marTop w:val="0"/>
      <w:marBottom w:val="0"/>
      <w:divBdr>
        <w:top w:val="none" w:sz="0" w:space="0" w:color="auto"/>
        <w:left w:val="none" w:sz="0" w:space="0" w:color="auto"/>
        <w:bottom w:val="none" w:sz="0" w:space="0" w:color="auto"/>
        <w:right w:val="none" w:sz="0" w:space="0" w:color="auto"/>
      </w:divBdr>
    </w:div>
    <w:div w:id="44330754">
      <w:bodyDiv w:val="1"/>
      <w:marLeft w:val="0"/>
      <w:marRight w:val="0"/>
      <w:marTop w:val="0"/>
      <w:marBottom w:val="0"/>
      <w:divBdr>
        <w:top w:val="none" w:sz="0" w:space="0" w:color="auto"/>
        <w:left w:val="none" w:sz="0" w:space="0" w:color="auto"/>
        <w:bottom w:val="none" w:sz="0" w:space="0" w:color="auto"/>
        <w:right w:val="none" w:sz="0" w:space="0" w:color="auto"/>
      </w:divBdr>
    </w:div>
    <w:div w:id="45303636">
      <w:bodyDiv w:val="1"/>
      <w:marLeft w:val="0"/>
      <w:marRight w:val="0"/>
      <w:marTop w:val="0"/>
      <w:marBottom w:val="0"/>
      <w:divBdr>
        <w:top w:val="none" w:sz="0" w:space="0" w:color="auto"/>
        <w:left w:val="none" w:sz="0" w:space="0" w:color="auto"/>
        <w:bottom w:val="none" w:sz="0" w:space="0" w:color="auto"/>
        <w:right w:val="none" w:sz="0" w:space="0" w:color="auto"/>
      </w:divBdr>
    </w:div>
    <w:div w:id="46683027">
      <w:bodyDiv w:val="1"/>
      <w:marLeft w:val="0"/>
      <w:marRight w:val="0"/>
      <w:marTop w:val="0"/>
      <w:marBottom w:val="0"/>
      <w:divBdr>
        <w:top w:val="none" w:sz="0" w:space="0" w:color="auto"/>
        <w:left w:val="none" w:sz="0" w:space="0" w:color="auto"/>
        <w:bottom w:val="none" w:sz="0" w:space="0" w:color="auto"/>
        <w:right w:val="none" w:sz="0" w:space="0" w:color="auto"/>
      </w:divBdr>
    </w:div>
    <w:div w:id="46803360">
      <w:bodyDiv w:val="1"/>
      <w:marLeft w:val="0"/>
      <w:marRight w:val="0"/>
      <w:marTop w:val="0"/>
      <w:marBottom w:val="0"/>
      <w:divBdr>
        <w:top w:val="none" w:sz="0" w:space="0" w:color="auto"/>
        <w:left w:val="none" w:sz="0" w:space="0" w:color="auto"/>
        <w:bottom w:val="none" w:sz="0" w:space="0" w:color="auto"/>
        <w:right w:val="none" w:sz="0" w:space="0" w:color="auto"/>
      </w:divBdr>
    </w:div>
    <w:div w:id="50736403">
      <w:bodyDiv w:val="1"/>
      <w:marLeft w:val="0"/>
      <w:marRight w:val="0"/>
      <w:marTop w:val="0"/>
      <w:marBottom w:val="0"/>
      <w:divBdr>
        <w:top w:val="none" w:sz="0" w:space="0" w:color="auto"/>
        <w:left w:val="none" w:sz="0" w:space="0" w:color="auto"/>
        <w:bottom w:val="none" w:sz="0" w:space="0" w:color="auto"/>
        <w:right w:val="none" w:sz="0" w:space="0" w:color="auto"/>
      </w:divBdr>
    </w:div>
    <w:div w:id="54790578">
      <w:bodyDiv w:val="1"/>
      <w:marLeft w:val="0"/>
      <w:marRight w:val="0"/>
      <w:marTop w:val="0"/>
      <w:marBottom w:val="0"/>
      <w:divBdr>
        <w:top w:val="none" w:sz="0" w:space="0" w:color="auto"/>
        <w:left w:val="none" w:sz="0" w:space="0" w:color="auto"/>
        <w:bottom w:val="none" w:sz="0" w:space="0" w:color="auto"/>
        <w:right w:val="none" w:sz="0" w:space="0" w:color="auto"/>
      </w:divBdr>
    </w:div>
    <w:div w:id="55007956">
      <w:bodyDiv w:val="1"/>
      <w:marLeft w:val="0"/>
      <w:marRight w:val="0"/>
      <w:marTop w:val="0"/>
      <w:marBottom w:val="0"/>
      <w:divBdr>
        <w:top w:val="none" w:sz="0" w:space="0" w:color="auto"/>
        <w:left w:val="none" w:sz="0" w:space="0" w:color="auto"/>
        <w:bottom w:val="none" w:sz="0" w:space="0" w:color="auto"/>
        <w:right w:val="none" w:sz="0" w:space="0" w:color="auto"/>
      </w:divBdr>
    </w:div>
    <w:div w:id="59327118">
      <w:bodyDiv w:val="1"/>
      <w:marLeft w:val="0"/>
      <w:marRight w:val="0"/>
      <w:marTop w:val="0"/>
      <w:marBottom w:val="0"/>
      <w:divBdr>
        <w:top w:val="none" w:sz="0" w:space="0" w:color="auto"/>
        <w:left w:val="none" w:sz="0" w:space="0" w:color="auto"/>
        <w:bottom w:val="none" w:sz="0" w:space="0" w:color="auto"/>
        <w:right w:val="none" w:sz="0" w:space="0" w:color="auto"/>
      </w:divBdr>
    </w:div>
    <w:div w:id="65612308">
      <w:bodyDiv w:val="1"/>
      <w:marLeft w:val="0"/>
      <w:marRight w:val="0"/>
      <w:marTop w:val="0"/>
      <w:marBottom w:val="0"/>
      <w:divBdr>
        <w:top w:val="none" w:sz="0" w:space="0" w:color="auto"/>
        <w:left w:val="none" w:sz="0" w:space="0" w:color="auto"/>
        <w:bottom w:val="none" w:sz="0" w:space="0" w:color="auto"/>
        <w:right w:val="none" w:sz="0" w:space="0" w:color="auto"/>
      </w:divBdr>
    </w:div>
    <w:div w:id="97992455">
      <w:bodyDiv w:val="1"/>
      <w:marLeft w:val="0"/>
      <w:marRight w:val="0"/>
      <w:marTop w:val="0"/>
      <w:marBottom w:val="0"/>
      <w:divBdr>
        <w:top w:val="none" w:sz="0" w:space="0" w:color="auto"/>
        <w:left w:val="none" w:sz="0" w:space="0" w:color="auto"/>
        <w:bottom w:val="none" w:sz="0" w:space="0" w:color="auto"/>
        <w:right w:val="none" w:sz="0" w:space="0" w:color="auto"/>
      </w:divBdr>
    </w:div>
    <w:div w:id="104927170">
      <w:bodyDiv w:val="1"/>
      <w:marLeft w:val="0"/>
      <w:marRight w:val="0"/>
      <w:marTop w:val="0"/>
      <w:marBottom w:val="0"/>
      <w:divBdr>
        <w:top w:val="none" w:sz="0" w:space="0" w:color="auto"/>
        <w:left w:val="none" w:sz="0" w:space="0" w:color="auto"/>
        <w:bottom w:val="none" w:sz="0" w:space="0" w:color="auto"/>
        <w:right w:val="none" w:sz="0" w:space="0" w:color="auto"/>
      </w:divBdr>
    </w:div>
    <w:div w:id="121266287">
      <w:bodyDiv w:val="1"/>
      <w:marLeft w:val="0"/>
      <w:marRight w:val="0"/>
      <w:marTop w:val="0"/>
      <w:marBottom w:val="0"/>
      <w:divBdr>
        <w:top w:val="none" w:sz="0" w:space="0" w:color="auto"/>
        <w:left w:val="none" w:sz="0" w:space="0" w:color="auto"/>
        <w:bottom w:val="none" w:sz="0" w:space="0" w:color="auto"/>
        <w:right w:val="none" w:sz="0" w:space="0" w:color="auto"/>
      </w:divBdr>
    </w:div>
    <w:div w:id="128018207">
      <w:bodyDiv w:val="1"/>
      <w:marLeft w:val="0"/>
      <w:marRight w:val="0"/>
      <w:marTop w:val="0"/>
      <w:marBottom w:val="0"/>
      <w:divBdr>
        <w:top w:val="none" w:sz="0" w:space="0" w:color="auto"/>
        <w:left w:val="none" w:sz="0" w:space="0" w:color="auto"/>
        <w:bottom w:val="none" w:sz="0" w:space="0" w:color="auto"/>
        <w:right w:val="none" w:sz="0" w:space="0" w:color="auto"/>
      </w:divBdr>
    </w:div>
    <w:div w:id="131212787">
      <w:bodyDiv w:val="1"/>
      <w:marLeft w:val="0"/>
      <w:marRight w:val="0"/>
      <w:marTop w:val="0"/>
      <w:marBottom w:val="0"/>
      <w:divBdr>
        <w:top w:val="none" w:sz="0" w:space="0" w:color="auto"/>
        <w:left w:val="none" w:sz="0" w:space="0" w:color="auto"/>
        <w:bottom w:val="none" w:sz="0" w:space="0" w:color="auto"/>
        <w:right w:val="none" w:sz="0" w:space="0" w:color="auto"/>
      </w:divBdr>
    </w:div>
    <w:div w:id="132720883">
      <w:bodyDiv w:val="1"/>
      <w:marLeft w:val="0"/>
      <w:marRight w:val="0"/>
      <w:marTop w:val="0"/>
      <w:marBottom w:val="0"/>
      <w:divBdr>
        <w:top w:val="none" w:sz="0" w:space="0" w:color="auto"/>
        <w:left w:val="none" w:sz="0" w:space="0" w:color="auto"/>
        <w:bottom w:val="none" w:sz="0" w:space="0" w:color="auto"/>
        <w:right w:val="none" w:sz="0" w:space="0" w:color="auto"/>
      </w:divBdr>
    </w:div>
    <w:div w:id="133648775">
      <w:bodyDiv w:val="1"/>
      <w:marLeft w:val="0"/>
      <w:marRight w:val="0"/>
      <w:marTop w:val="0"/>
      <w:marBottom w:val="0"/>
      <w:divBdr>
        <w:top w:val="none" w:sz="0" w:space="0" w:color="auto"/>
        <w:left w:val="none" w:sz="0" w:space="0" w:color="auto"/>
        <w:bottom w:val="none" w:sz="0" w:space="0" w:color="auto"/>
        <w:right w:val="none" w:sz="0" w:space="0" w:color="auto"/>
      </w:divBdr>
    </w:div>
    <w:div w:id="136192200">
      <w:bodyDiv w:val="1"/>
      <w:marLeft w:val="0"/>
      <w:marRight w:val="0"/>
      <w:marTop w:val="0"/>
      <w:marBottom w:val="0"/>
      <w:divBdr>
        <w:top w:val="none" w:sz="0" w:space="0" w:color="auto"/>
        <w:left w:val="none" w:sz="0" w:space="0" w:color="auto"/>
        <w:bottom w:val="none" w:sz="0" w:space="0" w:color="auto"/>
        <w:right w:val="none" w:sz="0" w:space="0" w:color="auto"/>
      </w:divBdr>
    </w:div>
    <w:div w:id="137962496">
      <w:bodyDiv w:val="1"/>
      <w:marLeft w:val="0"/>
      <w:marRight w:val="0"/>
      <w:marTop w:val="0"/>
      <w:marBottom w:val="0"/>
      <w:divBdr>
        <w:top w:val="none" w:sz="0" w:space="0" w:color="auto"/>
        <w:left w:val="none" w:sz="0" w:space="0" w:color="auto"/>
        <w:bottom w:val="none" w:sz="0" w:space="0" w:color="auto"/>
        <w:right w:val="none" w:sz="0" w:space="0" w:color="auto"/>
      </w:divBdr>
    </w:div>
    <w:div w:id="138502945">
      <w:bodyDiv w:val="1"/>
      <w:marLeft w:val="0"/>
      <w:marRight w:val="0"/>
      <w:marTop w:val="0"/>
      <w:marBottom w:val="0"/>
      <w:divBdr>
        <w:top w:val="none" w:sz="0" w:space="0" w:color="auto"/>
        <w:left w:val="none" w:sz="0" w:space="0" w:color="auto"/>
        <w:bottom w:val="none" w:sz="0" w:space="0" w:color="auto"/>
        <w:right w:val="none" w:sz="0" w:space="0" w:color="auto"/>
      </w:divBdr>
    </w:div>
    <w:div w:id="142086464">
      <w:bodyDiv w:val="1"/>
      <w:marLeft w:val="0"/>
      <w:marRight w:val="0"/>
      <w:marTop w:val="0"/>
      <w:marBottom w:val="0"/>
      <w:divBdr>
        <w:top w:val="none" w:sz="0" w:space="0" w:color="auto"/>
        <w:left w:val="none" w:sz="0" w:space="0" w:color="auto"/>
        <w:bottom w:val="none" w:sz="0" w:space="0" w:color="auto"/>
        <w:right w:val="none" w:sz="0" w:space="0" w:color="auto"/>
      </w:divBdr>
    </w:div>
    <w:div w:id="174811958">
      <w:bodyDiv w:val="1"/>
      <w:marLeft w:val="0"/>
      <w:marRight w:val="0"/>
      <w:marTop w:val="0"/>
      <w:marBottom w:val="0"/>
      <w:divBdr>
        <w:top w:val="none" w:sz="0" w:space="0" w:color="auto"/>
        <w:left w:val="none" w:sz="0" w:space="0" w:color="auto"/>
        <w:bottom w:val="none" w:sz="0" w:space="0" w:color="auto"/>
        <w:right w:val="none" w:sz="0" w:space="0" w:color="auto"/>
      </w:divBdr>
    </w:div>
    <w:div w:id="193160361">
      <w:bodyDiv w:val="1"/>
      <w:marLeft w:val="0"/>
      <w:marRight w:val="0"/>
      <w:marTop w:val="0"/>
      <w:marBottom w:val="0"/>
      <w:divBdr>
        <w:top w:val="none" w:sz="0" w:space="0" w:color="auto"/>
        <w:left w:val="none" w:sz="0" w:space="0" w:color="auto"/>
        <w:bottom w:val="none" w:sz="0" w:space="0" w:color="auto"/>
        <w:right w:val="none" w:sz="0" w:space="0" w:color="auto"/>
      </w:divBdr>
    </w:div>
    <w:div w:id="196630118">
      <w:bodyDiv w:val="1"/>
      <w:marLeft w:val="0"/>
      <w:marRight w:val="0"/>
      <w:marTop w:val="0"/>
      <w:marBottom w:val="0"/>
      <w:divBdr>
        <w:top w:val="none" w:sz="0" w:space="0" w:color="auto"/>
        <w:left w:val="none" w:sz="0" w:space="0" w:color="auto"/>
        <w:bottom w:val="none" w:sz="0" w:space="0" w:color="auto"/>
        <w:right w:val="none" w:sz="0" w:space="0" w:color="auto"/>
      </w:divBdr>
    </w:div>
    <w:div w:id="208734651">
      <w:bodyDiv w:val="1"/>
      <w:marLeft w:val="0"/>
      <w:marRight w:val="0"/>
      <w:marTop w:val="0"/>
      <w:marBottom w:val="0"/>
      <w:divBdr>
        <w:top w:val="none" w:sz="0" w:space="0" w:color="auto"/>
        <w:left w:val="none" w:sz="0" w:space="0" w:color="auto"/>
        <w:bottom w:val="none" w:sz="0" w:space="0" w:color="auto"/>
        <w:right w:val="none" w:sz="0" w:space="0" w:color="auto"/>
      </w:divBdr>
    </w:div>
    <w:div w:id="212431035">
      <w:bodyDiv w:val="1"/>
      <w:marLeft w:val="0"/>
      <w:marRight w:val="0"/>
      <w:marTop w:val="0"/>
      <w:marBottom w:val="0"/>
      <w:divBdr>
        <w:top w:val="none" w:sz="0" w:space="0" w:color="auto"/>
        <w:left w:val="none" w:sz="0" w:space="0" w:color="auto"/>
        <w:bottom w:val="none" w:sz="0" w:space="0" w:color="auto"/>
        <w:right w:val="none" w:sz="0" w:space="0" w:color="auto"/>
      </w:divBdr>
    </w:div>
    <w:div w:id="215749910">
      <w:bodyDiv w:val="1"/>
      <w:marLeft w:val="0"/>
      <w:marRight w:val="0"/>
      <w:marTop w:val="0"/>
      <w:marBottom w:val="0"/>
      <w:divBdr>
        <w:top w:val="none" w:sz="0" w:space="0" w:color="auto"/>
        <w:left w:val="none" w:sz="0" w:space="0" w:color="auto"/>
        <w:bottom w:val="none" w:sz="0" w:space="0" w:color="auto"/>
        <w:right w:val="none" w:sz="0" w:space="0" w:color="auto"/>
      </w:divBdr>
    </w:div>
    <w:div w:id="221673514">
      <w:bodyDiv w:val="1"/>
      <w:marLeft w:val="0"/>
      <w:marRight w:val="0"/>
      <w:marTop w:val="0"/>
      <w:marBottom w:val="0"/>
      <w:divBdr>
        <w:top w:val="none" w:sz="0" w:space="0" w:color="auto"/>
        <w:left w:val="none" w:sz="0" w:space="0" w:color="auto"/>
        <w:bottom w:val="none" w:sz="0" w:space="0" w:color="auto"/>
        <w:right w:val="none" w:sz="0" w:space="0" w:color="auto"/>
      </w:divBdr>
    </w:div>
    <w:div w:id="231240264">
      <w:bodyDiv w:val="1"/>
      <w:marLeft w:val="0"/>
      <w:marRight w:val="0"/>
      <w:marTop w:val="0"/>
      <w:marBottom w:val="0"/>
      <w:divBdr>
        <w:top w:val="none" w:sz="0" w:space="0" w:color="auto"/>
        <w:left w:val="none" w:sz="0" w:space="0" w:color="auto"/>
        <w:bottom w:val="none" w:sz="0" w:space="0" w:color="auto"/>
        <w:right w:val="none" w:sz="0" w:space="0" w:color="auto"/>
      </w:divBdr>
    </w:div>
    <w:div w:id="232862906">
      <w:bodyDiv w:val="1"/>
      <w:marLeft w:val="0"/>
      <w:marRight w:val="0"/>
      <w:marTop w:val="0"/>
      <w:marBottom w:val="0"/>
      <w:divBdr>
        <w:top w:val="none" w:sz="0" w:space="0" w:color="auto"/>
        <w:left w:val="none" w:sz="0" w:space="0" w:color="auto"/>
        <w:bottom w:val="none" w:sz="0" w:space="0" w:color="auto"/>
        <w:right w:val="none" w:sz="0" w:space="0" w:color="auto"/>
      </w:divBdr>
    </w:div>
    <w:div w:id="268901138">
      <w:bodyDiv w:val="1"/>
      <w:marLeft w:val="0"/>
      <w:marRight w:val="0"/>
      <w:marTop w:val="0"/>
      <w:marBottom w:val="0"/>
      <w:divBdr>
        <w:top w:val="none" w:sz="0" w:space="0" w:color="auto"/>
        <w:left w:val="none" w:sz="0" w:space="0" w:color="auto"/>
        <w:bottom w:val="none" w:sz="0" w:space="0" w:color="auto"/>
        <w:right w:val="none" w:sz="0" w:space="0" w:color="auto"/>
      </w:divBdr>
    </w:div>
    <w:div w:id="286394468">
      <w:bodyDiv w:val="1"/>
      <w:marLeft w:val="0"/>
      <w:marRight w:val="0"/>
      <w:marTop w:val="0"/>
      <w:marBottom w:val="0"/>
      <w:divBdr>
        <w:top w:val="none" w:sz="0" w:space="0" w:color="auto"/>
        <w:left w:val="none" w:sz="0" w:space="0" w:color="auto"/>
        <w:bottom w:val="none" w:sz="0" w:space="0" w:color="auto"/>
        <w:right w:val="none" w:sz="0" w:space="0" w:color="auto"/>
      </w:divBdr>
    </w:div>
    <w:div w:id="286811764">
      <w:bodyDiv w:val="1"/>
      <w:marLeft w:val="0"/>
      <w:marRight w:val="0"/>
      <w:marTop w:val="0"/>
      <w:marBottom w:val="0"/>
      <w:divBdr>
        <w:top w:val="none" w:sz="0" w:space="0" w:color="auto"/>
        <w:left w:val="none" w:sz="0" w:space="0" w:color="auto"/>
        <w:bottom w:val="none" w:sz="0" w:space="0" w:color="auto"/>
        <w:right w:val="none" w:sz="0" w:space="0" w:color="auto"/>
      </w:divBdr>
    </w:div>
    <w:div w:id="287275384">
      <w:bodyDiv w:val="1"/>
      <w:marLeft w:val="0"/>
      <w:marRight w:val="0"/>
      <w:marTop w:val="0"/>
      <w:marBottom w:val="0"/>
      <w:divBdr>
        <w:top w:val="none" w:sz="0" w:space="0" w:color="auto"/>
        <w:left w:val="none" w:sz="0" w:space="0" w:color="auto"/>
        <w:bottom w:val="none" w:sz="0" w:space="0" w:color="auto"/>
        <w:right w:val="none" w:sz="0" w:space="0" w:color="auto"/>
      </w:divBdr>
    </w:div>
    <w:div w:id="290549981">
      <w:bodyDiv w:val="1"/>
      <w:marLeft w:val="0"/>
      <w:marRight w:val="0"/>
      <w:marTop w:val="0"/>
      <w:marBottom w:val="0"/>
      <w:divBdr>
        <w:top w:val="none" w:sz="0" w:space="0" w:color="auto"/>
        <w:left w:val="none" w:sz="0" w:space="0" w:color="auto"/>
        <w:bottom w:val="none" w:sz="0" w:space="0" w:color="auto"/>
        <w:right w:val="none" w:sz="0" w:space="0" w:color="auto"/>
      </w:divBdr>
    </w:div>
    <w:div w:id="306130428">
      <w:bodyDiv w:val="1"/>
      <w:marLeft w:val="0"/>
      <w:marRight w:val="0"/>
      <w:marTop w:val="0"/>
      <w:marBottom w:val="0"/>
      <w:divBdr>
        <w:top w:val="none" w:sz="0" w:space="0" w:color="auto"/>
        <w:left w:val="none" w:sz="0" w:space="0" w:color="auto"/>
        <w:bottom w:val="none" w:sz="0" w:space="0" w:color="auto"/>
        <w:right w:val="none" w:sz="0" w:space="0" w:color="auto"/>
      </w:divBdr>
    </w:div>
    <w:div w:id="326640566">
      <w:bodyDiv w:val="1"/>
      <w:marLeft w:val="0"/>
      <w:marRight w:val="0"/>
      <w:marTop w:val="0"/>
      <w:marBottom w:val="0"/>
      <w:divBdr>
        <w:top w:val="none" w:sz="0" w:space="0" w:color="auto"/>
        <w:left w:val="none" w:sz="0" w:space="0" w:color="auto"/>
        <w:bottom w:val="none" w:sz="0" w:space="0" w:color="auto"/>
        <w:right w:val="none" w:sz="0" w:space="0" w:color="auto"/>
      </w:divBdr>
    </w:div>
    <w:div w:id="337773112">
      <w:bodyDiv w:val="1"/>
      <w:marLeft w:val="0"/>
      <w:marRight w:val="0"/>
      <w:marTop w:val="0"/>
      <w:marBottom w:val="0"/>
      <w:divBdr>
        <w:top w:val="none" w:sz="0" w:space="0" w:color="auto"/>
        <w:left w:val="none" w:sz="0" w:space="0" w:color="auto"/>
        <w:bottom w:val="none" w:sz="0" w:space="0" w:color="auto"/>
        <w:right w:val="none" w:sz="0" w:space="0" w:color="auto"/>
      </w:divBdr>
    </w:div>
    <w:div w:id="342980142">
      <w:bodyDiv w:val="1"/>
      <w:marLeft w:val="0"/>
      <w:marRight w:val="0"/>
      <w:marTop w:val="0"/>
      <w:marBottom w:val="0"/>
      <w:divBdr>
        <w:top w:val="none" w:sz="0" w:space="0" w:color="auto"/>
        <w:left w:val="none" w:sz="0" w:space="0" w:color="auto"/>
        <w:bottom w:val="none" w:sz="0" w:space="0" w:color="auto"/>
        <w:right w:val="none" w:sz="0" w:space="0" w:color="auto"/>
      </w:divBdr>
    </w:div>
    <w:div w:id="353002256">
      <w:bodyDiv w:val="1"/>
      <w:marLeft w:val="0"/>
      <w:marRight w:val="0"/>
      <w:marTop w:val="0"/>
      <w:marBottom w:val="0"/>
      <w:divBdr>
        <w:top w:val="none" w:sz="0" w:space="0" w:color="auto"/>
        <w:left w:val="none" w:sz="0" w:space="0" w:color="auto"/>
        <w:bottom w:val="none" w:sz="0" w:space="0" w:color="auto"/>
        <w:right w:val="none" w:sz="0" w:space="0" w:color="auto"/>
      </w:divBdr>
    </w:div>
    <w:div w:id="361714483">
      <w:bodyDiv w:val="1"/>
      <w:marLeft w:val="0"/>
      <w:marRight w:val="0"/>
      <w:marTop w:val="0"/>
      <w:marBottom w:val="0"/>
      <w:divBdr>
        <w:top w:val="none" w:sz="0" w:space="0" w:color="auto"/>
        <w:left w:val="none" w:sz="0" w:space="0" w:color="auto"/>
        <w:bottom w:val="none" w:sz="0" w:space="0" w:color="auto"/>
        <w:right w:val="none" w:sz="0" w:space="0" w:color="auto"/>
      </w:divBdr>
      <w:divsChild>
        <w:div w:id="636302277">
          <w:marLeft w:val="0"/>
          <w:marRight w:val="0"/>
          <w:marTop w:val="0"/>
          <w:marBottom w:val="0"/>
          <w:divBdr>
            <w:top w:val="none" w:sz="0" w:space="0" w:color="auto"/>
            <w:left w:val="none" w:sz="0" w:space="0" w:color="auto"/>
            <w:bottom w:val="none" w:sz="0" w:space="0" w:color="auto"/>
            <w:right w:val="none" w:sz="0" w:space="0" w:color="auto"/>
          </w:divBdr>
        </w:div>
      </w:divsChild>
    </w:div>
    <w:div w:id="384375193">
      <w:bodyDiv w:val="1"/>
      <w:marLeft w:val="0"/>
      <w:marRight w:val="0"/>
      <w:marTop w:val="0"/>
      <w:marBottom w:val="0"/>
      <w:divBdr>
        <w:top w:val="none" w:sz="0" w:space="0" w:color="auto"/>
        <w:left w:val="none" w:sz="0" w:space="0" w:color="auto"/>
        <w:bottom w:val="none" w:sz="0" w:space="0" w:color="auto"/>
        <w:right w:val="none" w:sz="0" w:space="0" w:color="auto"/>
      </w:divBdr>
    </w:div>
    <w:div w:id="392118770">
      <w:bodyDiv w:val="1"/>
      <w:marLeft w:val="0"/>
      <w:marRight w:val="0"/>
      <w:marTop w:val="0"/>
      <w:marBottom w:val="0"/>
      <w:divBdr>
        <w:top w:val="none" w:sz="0" w:space="0" w:color="auto"/>
        <w:left w:val="none" w:sz="0" w:space="0" w:color="auto"/>
        <w:bottom w:val="none" w:sz="0" w:space="0" w:color="auto"/>
        <w:right w:val="none" w:sz="0" w:space="0" w:color="auto"/>
      </w:divBdr>
    </w:div>
    <w:div w:id="421294947">
      <w:bodyDiv w:val="1"/>
      <w:marLeft w:val="0"/>
      <w:marRight w:val="0"/>
      <w:marTop w:val="0"/>
      <w:marBottom w:val="0"/>
      <w:divBdr>
        <w:top w:val="none" w:sz="0" w:space="0" w:color="auto"/>
        <w:left w:val="none" w:sz="0" w:space="0" w:color="auto"/>
        <w:bottom w:val="none" w:sz="0" w:space="0" w:color="auto"/>
        <w:right w:val="none" w:sz="0" w:space="0" w:color="auto"/>
      </w:divBdr>
    </w:div>
    <w:div w:id="439299001">
      <w:bodyDiv w:val="1"/>
      <w:marLeft w:val="0"/>
      <w:marRight w:val="0"/>
      <w:marTop w:val="0"/>
      <w:marBottom w:val="0"/>
      <w:divBdr>
        <w:top w:val="none" w:sz="0" w:space="0" w:color="auto"/>
        <w:left w:val="none" w:sz="0" w:space="0" w:color="auto"/>
        <w:bottom w:val="none" w:sz="0" w:space="0" w:color="auto"/>
        <w:right w:val="none" w:sz="0" w:space="0" w:color="auto"/>
      </w:divBdr>
    </w:div>
    <w:div w:id="442312599">
      <w:bodyDiv w:val="1"/>
      <w:marLeft w:val="0"/>
      <w:marRight w:val="0"/>
      <w:marTop w:val="0"/>
      <w:marBottom w:val="0"/>
      <w:divBdr>
        <w:top w:val="none" w:sz="0" w:space="0" w:color="auto"/>
        <w:left w:val="none" w:sz="0" w:space="0" w:color="auto"/>
        <w:bottom w:val="none" w:sz="0" w:space="0" w:color="auto"/>
        <w:right w:val="none" w:sz="0" w:space="0" w:color="auto"/>
      </w:divBdr>
    </w:div>
    <w:div w:id="470099768">
      <w:bodyDiv w:val="1"/>
      <w:marLeft w:val="0"/>
      <w:marRight w:val="0"/>
      <w:marTop w:val="0"/>
      <w:marBottom w:val="0"/>
      <w:divBdr>
        <w:top w:val="none" w:sz="0" w:space="0" w:color="auto"/>
        <w:left w:val="none" w:sz="0" w:space="0" w:color="auto"/>
        <w:bottom w:val="none" w:sz="0" w:space="0" w:color="auto"/>
        <w:right w:val="none" w:sz="0" w:space="0" w:color="auto"/>
      </w:divBdr>
    </w:div>
    <w:div w:id="477496288">
      <w:bodyDiv w:val="1"/>
      <w:marLeft w:val="0"/>
      <w:marRight w:val="0"/>
      <w:marTop w:val="0"/>
      <w:marBottom w:val="0"/>
      <w:divBdr>
        <w:top w:val="none" w:sz="0" w:space="0" w:color="auto"/>
        <w:left w:val="none" w:sz="0" w:space="0" w:color="auto"/>
        <w:bottom w:val="none" w:sz="0" w:space="0" w:color="auto"/>
        <w:right w:val="none" w:sz="0" w:space="0" w:color="auto"/>
      </w:divBdr>
    </w:div>
    <w:div w:id="482743515">
      <w:bodyDiv w:val="1"/>
      <w:marLeft w:val="0"/>
      <w:marRight w:val="0"/>
      <w:marTop w:val="0"/>
      <w:marBottom w:val="0"/>
      <w:divBdr>
        <w:top w:val="none" w:sz="0" w:space="0" w:color="auto"/>
        <w:left w:val="none" w:sz="0" w:space="0" w:color="auto"/>
        <w:bottom w:val="none" w:sz="0" w:space="0" w:color="auto"/>
        <w:right w:val="none" w:sz="0" w:space="0" w:color="auto"/>
      </w:divBdr>
    </w:div>
    <w:div w:id="491989304">
      <w:bodyDiv w:val="1"/>
      <w:marLeft w:val="0"/>
      <w:marRight w:val="0"/>
      <w:marTop w:val="0"/>
      <w:marBottom w:val="0"/>
      <w:divBdr>
        <w:top w:val="none" w:sz="0" w:space="0" w:color="auto"/>
        <w:left w:val="none" w:sz="0" w:space="0" w:color="auto"/>
        <w:bottom w:val="none" w:sz="0" w:space="0" w:color="auto"/>
        <w:right w:val="none" w:sz="0" w:space="0" w:color="auto"/>
      </w:divBdr>
    </w:div>
    <w:div w:id="493763061">
      <w:bodyDiv w:val="1"/>
      <w:marLeft w:val="0"/>
      <w:marRight w:val="0"/>
      <w:marTop w:val="0"/>
      <w:marBottom w:val="0"/>
      <w:divBdr>
        <w:top w:val="none" w:sz="0" w:space="0" w:color="auto"/>
        <w:left w:val="none" w:sz="0" w:space="0" w:color="auto"/>
        <w:bottom w:val="none" w:sz="0" w:space="0" w:color="auto"/>
        <w:right w:val="none" w:sz="0" w:space="0" w:color="auto"/>
      </w:divBdr>
    </w:div>
    <w:div w:id="499197605">
      <w:bodyDiv w:val="1"/>
      <w:marLeft w:val="0"/>
      <w:marRight w:val="0"/>
      <w:marTop w:val="0"/>
      <w:marBottom w:val="0"/>
      <w:divBdr>
        <w:top w:val="none" w:sz="0" w:space="0" w:color="auto"/>
        <w:left w:val="none" w:sz="0" w:space="0" w:color="auto"/>
        <w:bottom w:val="none" w:sz="0" w:space="0" w:color="auto"/>
        <w:right w:val="none" w:sz="0" w:space="0" w:color="auto"/>
      </w:divBdr>
    </w:div>
    <w:div w:id="509150423">
      <w:bodyDiv w:val="1"/>
      <w:marLeft w:val="0"/>
      <w:marRight w:val="0"/>
      <w:marTop w:val="0"/>
      <w:marBottom w:val="0"/>
      <w:divBdr>
        <w:top w:val="none" w:sz="0" w:space="0" w:color="auto"/>
        <w:left w:val="none" w:sz="0" w:space="0" w:color="auto"/>
        <w:bottom w:val="none" w:sz="0" w:space="0" w:color="auto"/>
        <w:right w:val="none" w:sz="0" w:space="0" w:color="auto"/>
      </w:divBdr>
    </w:div>
    <w:div w:id="512569178">
      <w:bodyDiv w:val="1"/>
      <w:marLeft w:val="0"/>
      <w:marRight w:val="0"/>
      <w:marTop w:val="0"/>
      <w:marBottom w:val="0"/>
      <w:divBdr>
        <w:top w:val="none" w:sz="0" w:space="0" w:color="auto"/>
        <w:left w:val="none" w:sz="0" w:space="0" w:color="auto"/>
        <w:bottom w:val="none" w:sz="0" w:space="0" w:color="auto"/>
        <w:right w:val="none" w:sz="0" w:space="0" w:color="auto"/>
      </w:divBdr>
    </w:div>
    <w:div w:id="513769353">
      <w:bodyDiv w:val="1"/>
      <w:marLeft w:val="0"/>
      <w:marRight w:val="0"/>
      <w:marTop w:val="0"/>
      <w:marBottom w:val="0"/>
      <w:divBdr>
        <w:top w:val="none" w:sz="0" w:space="0" w:color="auto"/>
        <w:left w:val="none" w:sz="0" w:space="0" w:color="auto"/>
        <w:bottom w:val="none" w:sz="0" w:space="0" w:color="auto"/>
        <w:right w:val="none" w:sz="0" w:space="0" w:color="auto"/>
      </w:divBdr>
    </w:div>
    <w:div w:id="515854073">
      <w:bodyDiv w:val="1"/>
      <w:marLeft w:val="0"/>
      <w:marRight w:val="0"/>
      <w:marTop w:val="0"/>
      <w:marBottom w:val="0"/>
      <w:divBdr>
        <w:top w:val="none" w:sz="0" w:space="0" w:color="auto"/>
        <w:left w:val="none" w:sz="0" w:space="0" w:color="auto"/>
        <w:bottom w:val="none" w:sz="0" w:space="0" w:color="auto"/>
        <w:right w:val="none" w:sz="0" w:space="0" w:color="auto"/>
      </w:divBdr>
    </w:div>
    <w:div w:id="531529329">
      <w:bodyDiv w:val="1"/>
      <w:marLeft w:val="0"/>
      <w:marRight w:val="0"/>
      <w:marTop w:val="0"/>
      <w:marBottom w:val="0"/>
      <w:divBdr>
        <w:top w:val="none" w:sz="0" w:space="0" w:color="auto"/>
        <w:left w:val="none" w:sz="0" w:space="0" w:color="auto"/>
        <w:bottom w:val="none" w:sz="0" w:space="0" w:color="auto"/>
        <w:right w:val="none" w:sz="0" w:space="0" w:color="auto"/>
      </w:divBdr>
    </w:div>
    <w:div w:id="548953196">
      <w:bodyDiv w:val="1"/>
      <w:marLeft w:val="0"/>
      <w:marRight w:val="0"/>
      <w:marTop w:val="0"/>
      <w:marBottom w:val="0"/>
      <w:divBdr>
        <w:top w:val="none" w:sz="0" w:space="0" w:color="auto"/>
        <w:left w:val="none" w:sz="0" w:space="0" w:color="auto"/>
        <w:bottom w:val="none" w:sz="0" w:space="0" w:color="auto"/>
        <w:right w:val="none" w:sz="0" w:space="0" w:color="auto"/>
      </w:divBdr>
    </w:div>
    <w:div w:id="554393006">
      <w:bodyDiv w:val="1"/>
      <w:marLeft w:val="0"/>
      <w:marRight w:val="0"/>
      <w:marTop w:val="0"/>
      <w:marBottom w:val="0"/>
      <w:divBdr>
        <w:top w:val="none" w:sz="0" w:space="0" w:color="auto"/>
        <w:left w:val="none" w:sz="0" w:space="0" w:color="auto"/>
        <w:bottom w:val="none" w:sz="0" w:space="0" w:color="auto"/>
        <w:right w:val="none" w:sz="0" w:space="0" w:color="auto"/>
      </w:divBdr>
    </w:div>
    <w:div w:id="558177650">
      <w:bodyDiv w:val="1"/>
      <w:marLeft w:val="0"/>
      <w:marRight w:val="0"/>
      <w:marTop w:val="0"/>
      <w:marBottom w:val="0"/>
      <w:divBdr>
        <w:top w:val="none" w:sz="0" w:space="0" w:color="auto"/>
        <w:left w:val="none" w:sz="0" w:space="0" w:color="auto"/>
        <w:bottom w:val="none" w:sz="0" w:space="0" w:color="auto"/>
        <w:right w:val="none" w:sz="0" w:space="0" w:color="auto"/>
      </w:divBdr>
    </w:div>
    <w:div w:id="583684854">
      <w:bodyDiv w:val="1"/>
      <w:marLeft w:val="0"/>
      <w:marRight w:val="0"/>
      <w:marTop w:val="0"/>
      <w:marBottom w:val="0"/>
      <w:divBdr>
        <w:top w:val="none" w:sz="0" w:space="0" w:color="auto"/>
        <w:left w:val="none" w:sz="0" w:space="0" w:color="auto"/>
        <w:bottom w:val="none" w:sz="0" w:space="0" w:color="auto"/>
        <w:right w:val="none" w:sz="0" w:space="0" w:color="auto"/>
      </w:divBdr>
    </w:div>
    <w:div w:id="595482661">
      <w:bodyDiv w:val="1"/>
      <w:marLeft w:val="0"/>
      <w:marRight w:val="0"/>
      <w:marTop w:val="0"/>
      <w:marBottom w:val="0"/>
      <w:divBdr>
        <w:top w:val="none" w:sz="0" w:space="0" w:color="auto"/>
        <w:left w:val="none" w:sz="0" w:space="0" w:color="auto"/>
        <w:bottom w:val="none" w:sz="0" w:space="0" w:color="auto"/>
        <w:right w:val="none" w:sz="0" w:space="0" w:color="auto"/>
      </w:divBdr>
    </w:div>
    <w:div w:id="607395803">
      <w:bodyDiv w:val="1"/>
      <w:marLeft w:val="0"/>
      <w:marRight w:val="0"/>
      <w:marTop w:val="0"/>
      <w:marBottom w:val="0"/>
      <w:divBdr>
        <w:top w:val="none" w:sz="0" w:space="0" w:color="auto"/>
        <w:left w:val="none" w:sz="0" w:space="0" w:color="auto"/>
        <w:bottom w:val="none" w:sz="0" w:space="0" w:color="auto"/>
        <w:right w:val="none" w:sz="0" w:space="0" w:color="auto"/>
      </w:divBdr>
    </w:div>
    <w:div w:id="626818585">
      <w:bodyDiv w:val="1"/>
      <w:marLeft w:val="0"/>
      <w:marRight w:val="0"/>
      <w:marTop w:val="0"/>
      <w:marBottom w:val="0"/>
      <w:divBdr>
        <w:top w:val="none" w:sz="0" w:space="0" w:color="auto"/>
        <w:left w:val="none" w:sz="0" w:space="0" w:color="auto"/>
        <w:bottom w:val="none" w:sz="0" w:space="0" w:color="auto"/>
        <w:right w:val="none" w:sz="0" w:space="0" w:color="auto"/>
      </w:divBdr>
    </w:div>
    <w:div w:id="637149888">
      <w:bodyDiv w:val="1"/>
      <w:marLeft w:val="0"/>
      <w:marRight w:val="0"/>
      <w:marTop w:val="0"/>
      <w:marBottom w:val="0"/>
      <w:divBdr>
        <w:top w:val="none" w:sz="0" w:space="0" w:color="auto"/>
        <w:left w:val="none" w:sz="0" w:space="0" w:color="auto"/>
        <w:bottom w:val="none" w:sz="0" w:space="0" w:color="auto"/>
        <w:right w:val="none" w:sz="0" w:space="0" w:color="auto"/>
      </w:divBdr>
    </w:div>
    <w:div w:id="643780875">
      <w:bodyDiv w:val="1"/>
      <w:marLeft w:val="0"/>
      <w:marRight w:val="0"/>
      <w:marTop w:val="0"/>
      <w:marBottom w:val="0"/>
      <w:divBdr>
        <w:top w:val="none" w:sz="0" w:space="0" w:color="auto"/>
        <w:left w:val="none" w:sz="0" w:space="0" w:color="auto"/>
        <w:bottom w:val="none" w:sz="0" w:space="0" w:color="auto"/>
        <w:right w:val="none" w:sz="0" w:space="0" w:color="auto"/>
      </w:divBdr>
    </w:div>
    <w:div w:id="664821926">
      <w:bodyDiv w:val="1"/>
      <w:marLeft w:val="0"/>
      <w:marRight w:val="0"/>
      <w:marTop w:val="0"/>
      <w:marBottom w:val="0"/>
      <w:divBdr>
        <w:top w:val="none" w:sz="0" w:space="0" w:color="auto"/>
        <w:left w:val="none" w:sz="0" w:space="0" w:color="auto"/>
        <w:bottom w:val="none" w:sz="0" w:space="0" w:color="auto"/>
        <w:right w:val="none" w:sz="0" w:space="0" w:color="auto"/>
      </w:divBdr>
    </w:div>
    <w:div w:id="669715312">
      <w:bodyDiv w:val="1"/>
      <w:marLeft w:val="0"/>
      <w:marRight w:val="0"/>
      <w:marTop w:val="0"/>
      <w:marBottom w:val="0"/>
      <w:divBdr>
        <w:top w:val="none" w:sz="0" w:space="0" w:color="auto"/>
        <w:left w:val="none" w:sz="0" w:space="0" w:color="auto"/>
        <w:bottom w:val="none" w:sz="0" w:space="0" w:color="auto"/>
        <w:right w:val="none" w:sz="0" w:space="0" w:color="auto"/>
      </w:divBdr>
    </w:div>
    <w:div w:id="673339864">
      <w:bodyDiv w:val="1"/>
      <w:marLeft w:val="0"/>
      <w:marRight w:val="0"/>
      <w:marTop w:val="0"/>
      <w:marBottom w:val="0"/>
      <w:divBdr>
        <w:top w:val="none" w:sz="0" w:space="0" w:color="auto"/>
        <w:left w:val="none" w:sz="0" w:space="0" w:color="auto"/>
        <w:bottom w:val="none" w:sz="0" w:space="0" w:color="auto"/>
        <w:right w:val="none" w:sz="0" w:space="0" w:color="auto"/>
      </w:divBdr>
    </w:div>
    <w:div w:id="704137754">
      <w:bodyDiv w:val="1"/>
      <w:marLeft w:val="0"/>
      <w:marRight w:val="0"/>
      <w:marTop w:val="0"/>
      <w:marBottom w:val="0"/>
      <w:divBdr>
        <w:top w:val="none" w:sz="0" w:space="0" w:color="auto"/>
        <w:left w:val="none" w:sz="0" w:space="0" w:color="auto"/>
        <w:bottom w:val="none" w:sz="0" w:space="0" w:color="auto"/>
        <w:right w:val="none" w:sz="0" w:space="0" w:color="auto"/>
      </w:divBdr>
    </w:div>
    <w:div w:id="705566783">
      <w:bodyDiv w:val="1"/>
      <w:marLeft w:val="0"/>
      <w:marRight w:val="0"/>
      <w:marTop w:val="0"/>
      <w:marBottom w:val="0"/>
      <w:divBdr>
        <w:top w:val="none" w:sz="0" w:space="0" w:color="auto"/>
        <w:left w:val="none" w:sz="0" w:space="0" w:color="auto"/>
        <w:bottom w:val="none" w:sz="0" w:space="0" w:color="auto"/>
        <w:right w:val="none" w:sz="0" w:space="0" w:color="auto"/>
      </w:divBdr>
    </w:div>
    <w:div w:id="715660857">
      <w:bodyDiv w:val="1"/>
      <w:marLeft w:val="0"/>
      <w:marRight w:val="0"/>
      <w:marTop w:val="0"/>
      <w:marBottom w:val="0"/>
      <w:divBdr>
        <w:top w:val="none" w:sz="0" w:space="0" w:color="auto"/>
        <w:left w:val="none" w:sz="0" w:space="0" w:color="auto"/>
        <w:bottom w:val="none" w:sz="0" w:space="0" w:color="auto"/>
        <w:right w:val="none" w:sz="0" w:space="0" w:color="auto"/>
      </w:divBdr>
    </w:div>
    <w:div w:id="719670939">
      <w:bodyDiv w:val="1"/>
      <w:marLeft w:val="0"/>
      <w:marRight w:val="0"/>
      <w:marTop w:val="0"/>
      <w:marBottom w:val="0"/>
      <w:divBdr>
        <w:top w:val="none" w:sz="0" w:space="0" w:color="auto"/>
        <w:left w:val="none" w:sz="0" w:space="0" w:color="auto"/>
        <w:bottom w:val="none" w:sz="0" w:space="0" w:color="auto"/>
        <w:right w:val="none" w:sz="0" w:space="0" w:color="auto"/>
      </w:divBdr>
    </w:div>
    <w:div w:id="724182082">
      <w:bodyDiv w:val="1"/>
      <w:marLeft w:val="0"/>
      <w:marRight w:val="0"/>
      <w:marTop w:val="0"/>
      <w:marBottom w:val="0"/>
      <w:divBdr>
        <w:top w:val="none" w:sz="0" w:space="0" w:color="auto"/>
        <w:left w:val="none" w:sz="0" w:space="0" w:color="auto"/>
        <w:bottom w:val="none" w:sz="0" w:space="0" w:color="auto"/>
        <w:right w:val="none" w:sz="0" w:space="0" w:color="auto"/>
      </w:divBdr>
    </w:div>
    <w:div w:id="733233375">
      <w:bodyDiv w:val="1"/>
      <w:marLeft w:val="0"/>
      <w:marRight w:val="0"/>
      <w:marTop w:val="0"/>
      <w:marBottom w:val="0"/>
      <w:divBdr>
        <w:top w:val="none" w:sz="0" w:space="0" w:color="auto"/>
        <w:left w:val="none" w:sz="0" w:space="0" w:color="auto"/>
        <w:bottom w:val="none" w:sz="0" w:space="0" w:color="auto"/>
        <w:right w:val="none" w:sz="0" w:space="0" w:color="auto"/>
      </w:divBdr>
    </w:div>
    <w:div w:id="757019572">
      <w:bodyDiv w:val="1"/>
      <w:marLeft w:val="0"/>
      <w:marRight w:val="0"/>
      <w:marTop w:val="0"/>
      <w:marBottom w:val="0"/>
      <w:divBdr>
        <w:top w:val="none" w:sz="0" w:space="0" w:color="auto"/>
        <w:left w:val="none" w:sz="0" w:space="0" w:color="auto"/>
        <w:bottom w:val="none" w:sz="0" w:space="0" w:color="auto"/>
        <w:right w:val="none" w:sz="0" w:space="0" w:color="auto"/>
      </w:divBdr>
    </w:div>
    <w:div w:id="766509837">
      <w:bodyDiv w:val="1"/>
      <w:marLeft w:val="0"/>
      <w:marRight w:val="0"/>
      <w:marTop w:val="0"/>
      <w:marBottom w:val="0"/>
      <w:divBdr>
        <w:top w:val="none" w:sz="0" w:space="0" w:color="auto"/>
        <w:left w:val="none" w:sz="0" w:space="0" w:color="auto"/>
        <w:bottom w:val="none" w:sz="0" w:space="0" w:color="auto"/>
        <w:right w:val="none" w:sz="0" w:space="0" w:color="auto"/>
      </w:divBdr>
    </w:div>
    <w:div w:id="773281010">
      <w:bodyDiv w:val="1"/>
      <w:marLeft w:val="0"/>
      <w:marRight w:val="0"/>
      <w:marTop w:val="0"/>
      <w:marBottom w:val="0"/>
      <w:divBdr>
        <w:top w:val="none" w:sz="0" w:space="0" w:color="auto"/>
        <w:left w:val="none" w:sz="0" w:space="0" w:color="auto"/>
        <w:bottom w:val="none" w:sz="0" w:space="0" w:color="auto"/>
        <w:right w:val="none" w:sz="0" w:space="0" w:color="auto"/>
      </w:divBdr>
    </w:div>
    <w:div w:id="781341172">
      <w:bodyDiv w:val="1"/>
      <w:marLeft w:val="0"/>
      <w:marRight w:val="0"/>
      <w:marTop w:val="0"/>
      <w:marBottom w:val="0"/>
      <w:divBdr>
        <w:top w:val="none" w:sz="0" w:space="0" w:color="auto"/>
        <w:left w:val="none" w:sz="0" w:space="0" w:color="auto"/>
        <w:bottom w:val="none" w:sz="0" w:space="0" w:color="auto"/>
        <w:right w:val="none" w:sz="0" w:space="0" w:color="auto"/>
      </w:divBdr>
    </w:div>
    <w:div w:id="781610810">
      <w:bodyDiv w:val="1"/>
      <w:marLeft w:val="0"/>
      <w:marRight w:val="0"/>
      <w:marTop w:val="0"/>
      <w:marBottom w:val="0"/>
      <w:divBdr>
        <w:top w:val="none" w:sz="0" w:space="0" w:color="auto"/>
        <w:left w:val="none" w:sz="0" w:space="0" w:color="auto"/>
        <w:bottom w:val="none" w:sz="0" w:space="0" w:color="auto"/>
        <w:right w:val="none" w:sz="0" w:space="0" w:color="auto"/>
      </w:divBdr>
    </w:div>
    <w:div w:id="788087484">
      <w:bodyDiv w:val="1"/>
      <w:marLeft w:val="0"/>
      <w:marRight w:val="0"/>
      <w:marTop w:val="0"/>
      <w:marBottom w:val="0"/>
      <w:divBdr>
        <w:top w:val="none" w:sz="0" w:space="0" w:color="auto"/>
        <w:left w:val="none" w:sz="0" w:space="0" w:color="auto"/>
        <w:bottom w:val="none" w:sz="0" w:space="0" w:color="auto"/>
        <w:right w:val="none" w:sz="0" w:space="0" w:color="auto"/>
      </w:divBdr>
    </w:div>
    <w:div w:id="791020352">
      <w:bodyDiv w:val="1"/>
      <w:marLeft w:val="0"/>
      <w:marRight w:val="0"/>
      <w:marTop w:val="0"/>
      <w:marBottom w:val="0"/>
      <w:divBdr>
        <w:top w:val="none" w:sz="0" w:space="0" w:color="auto"/>
        <w:left w:val="none" w:sz="0" w:space="0" w:color="auto"/>
        <w:bottom w:val="none" w:sz="0" w:space="0" w:color="auto"/>
        <w:right w:val="none" w:sz="0" w:space="0" w:color="auto"/>
      </w:divBdr>
    </w:div>
    <w:div w:id="797719768">
      <w:bodyDiv w:val="1"/>
      <w:marLeft w:val="0"/>
      <w:marRight w:val="0"/>
      <w:marTop w:val="0"/>
      <w:marBottom w:val="0"/>
      <w:divBdr>
        <w:top w:val="none" w:sz="0" w:space="0" w:color="auto"/>
        <w:left w:val="none" w:sz="0" w:space="0" w:color="auto"/>
        <w:bottom w:val="none" w:sz="0" w:space="0" w:color="auto"/>
        <w:right w:val="none" w:sz="0" w:space="0" w:color="auto"/>
      </w:divBdr>
    </w:div>
    <w:div w:id="804616168">
      <w:bodyDiv w:val="1"/>
      <w:marLeft w:val="0"/>
      <w:marRight w:val="0"/>
      <w:marTop w:val="0"/>
      <w:marBottom w:val="0"/>
      <w:divBdr>
        <w:top w:val="none" w:sz="0" w:space="0" w:color="auto"/>
        <w:left w:val="none" w:sz="0" w:space="0" w:color="auto"/>
        <w:bottom w:val="none" w:sz="0" w:space="0" w:color="auto"/>
        <w:right w:val="none" w:sz="0" w:space="0" w:color="auto"/>
      </w:divBdr>
    </w:div>
    <w:div w:id="805121356">
      <w:bodyDiv w:val="1"/>
      <w:marLeft w:val="0"/>
      <w:marRight w:val="0"/>
      <w:marTop w:val="0"/>
      <w:marBottom w:val="0"/>
      <w:divBdr>
        <w:top w:val="none" w:sz="0" w:space="0" w:color="auto"/>
        <w:left w:val="none" w:sz="0" w:space="0" w:color="auto"/>
        <w:bottom w:val="none" w:sz="0" w:space="0" w:color="auto"/>
        <w:right w:val="none" w:sz="0" w:space="0" w:color="auto"/>
      </w:divBdr>
    </w:div>
    <w:div w:id="821501422">
      <w:bodyDiv w:val="1"/>
      <w:marLeft w:val="0"/>
      <w:marRight w:val="0"/>
      <w:marTop w:val="0"/>
      <w:marBottom w:val="0"/>
      <w:divBdr>
        <w:top w:val="none" w:sz="0" w:space="0" w:color="auto"/>
        <w:left w:val="none" w:sz="0" w:space="0" w:color="auto"/>
        <w:bottom w:val="none" w:sz="0" w:space="0" w:color="auto"/>
        <w:right w:val="none" w:sz="0" w:space="0" w:color="auto"/>
      </w:divBdr>
    </w:div>
    <w:div w:id="824205713">
      <w:bodyDiv w:val="1"/>
      <w:marLeft w:val="0"/>
      <w:marRight w:val="0"/>
      <w:marTop w:val="0"/>
      <w:marBottom w:val="0"/>
      <w:divBdr>
        <w:top w:val="none" w:sz="0" w:space="0" w:color="auto"/>
        <w:left w:val="none" w:sz="0" w:space="0" w:color="auto"/>
        <w:bottom w:val="none" w:sz="0" w:space="0" w:color="auto"/>
        <w:right w:val="none" w:sz="0" w:space="0" w:color="auto"/>
      </w:divBdr>
    </w:div>
    <w:div w:id="840779036">
      <w:bodyDiv w:val="1"/>
      <w:marLeft w:val="0"/>
      <w:marRight w:val="0"/>
      <w:marTop w:val="0"/>
      <w:marBottom w:val="0"/>
      <w:divBdr>
        <w:top w:val="none" w:sz="0" w:space="0" w:color="auto"/>
        <w:left w:val="none" w:sz="0" w:space="0" w:color="auto"/>
        <w:bottom w:val="none" w:sz="0" w:space="0" w:color="auto"/>
        <w:right w:val="none" w:sz="0" w:space="0" w:color="auto"/>
      </w:divBdr>
    </w:div>
    <w:div w:id="867832367">
      <w:bodyDiv w:val="1"/>
      <w:marLeft w:val="0"/>
      <w:marRight w:val="0"/>
      <w:marTop w:val="0"/>
      <w:marBottom w:val="0"/>
      <w:divBdr>
        <w:top w:val="none" w:sz="0" w:space="0" w:color="auto"/>
        <w:left w:val="none" w:sz="0" w:space="0" w:color="auto"/>
        <w:bottom w:val="none" w:sz="0" w:space="0" w:color="auto"/>
        <w:right w:val="none" w:sz="0" w:space="0" w:color="auto"/>
      </w:divBdr>
    </w:div>
    <w:div w:id="872302708">
      <w:bodyDiv w:val="1"/>
      <w:marLeft w:val="0"/>
      <w:marRight w:val="0"/>
      <w:marTop w:val="0"/>
      <w:marBottom w:val="0"/>
      <w:divBdr>
        <w:top w:val="none" w:sz="0" w:space="0" w:color="auto"/>
        <w:left w:val="none" w:sz="0" w:space="0" w:color="auto"/>
        <w:bottom w:val="none" w:sz="0" w:space="0" w:color="auto"/>
        <w:right w:val="none" w:sz="0" w:space="0" w:color="auto"/>
      </w:divBdr>
    </w:div>
    <w:div w:id="879317248">
      <w:bodyDiv w:val="1"/>
      <w:marLeft w:val="0"/>
      <w:marRight w:val="0"/>
      <w:marTop w:val="0"/>
      <w:marBottom w:val="0"/>
      <w:divBdr>
        <w:top w:val="none" w:sz="0" w:space="0" w:color="auto"/>
        <w:left w:val="none" w:sz="0" w:space="0" w:color="auto"/>
        <w:bottom w:val="none" w:sz="0" w:space="0" w:color="auto"/>
        <w:right w:val="none" w:sz="0" w:space="0" w:color="auto"/>
      </w:divBdr>
    </w:div>
    <w:div w:id="880165215">
      <w:bodyDiv w:val="1"/>
      <w:marLeft w:val="0"/>
      <w:marRight w:val="0"/>
      <w:marTop w:val="0"/>
      <w:marBottom w:val="0"/>
      <w:divBdr>
        <w:top w:val="none" w:sz="0" w:space="0" w:color="auto"/>
        <w:left w:val="none" w:sz="0" w:space="0" w:color="auto"/>
        <w:bottom w:val="none" w:sz="0" w:space="0" w:color="auto"/>
        <w:right w:val="none" w:sz="0" w:space="0" w:color="auto"/>
      </w:divBdr>
    </w:div>
    <w:div w:id="881360115">
      <w:bodyDiv w:val="1"/>
      <w:marLeft w:val="0"/>
      <w:marRight w:val="0"/>
      <w:marTop w:val="0"/>
      <w:marBottom w:val="0"/>
      <w:divBdr>
        <w:top w:val="none" w:sz="0" w:space="0" w:color="auto"/>
        <w:left w:val="none" w:sz="0" w:space="0" w:color="auto"/>
        <w:bottom w:val="none" w:sz="0" w:space="0" w:color="auto"/>
        <w:right w:val="none" w:sz="0" w:space="0" w:color="auto"/>
      </w:divBdr>
    </w:div>
    <w:div w:id="885602207">
      <w:bodyDiv w:val="1"/>
      <w:marLeft w:val="0"/>
      <w:marRight w:val="0"/>
      <w:marTop w:val="0"/>
      <w:marBottom w:val="0"/>
      <w:divBdr>
        <w:top w:val="none" w:sz="0" w:space="0" w:color="auto"/>
        <w:left w:val="none" w:sz="0" w:space="0" w:color="auto"/>
        <w:bottom w:val="none" w:sz="0" w:space="0" w:color="auto"/>
        <w:right w:val="none" w:sz="0" w:space="0" w:color="auto"/>
      </w:divBdr>
    </w:div>
    <w:div w:id="886451885">
      <w:bodyDiv w:val="1"/>
      <w:marLeft w:val="0"/>
      <w:marRight w:val="0"/>
      <w:marTop w:val="0"/>
      <w:marBottom w:val="0"/>
      <w:divBdr>
        <w:top w:val="none" w:sz="0" w:space="0" w:color="auto"/>
        <w:left w:val="none" w:sz="0" w:space="0" w:color="auto"/>
        <w:bottom w:val="none" w:sz="0" w:space="0" w:color="auto"/>
        <w:right w:val="none" w:sz="0" w:space="0" w:color="auto"/>
      </w:divBdr>
    </w:div>
    <w:div w:id="908736733">
      <w:bodyDiv w:val="1"/>
      <w:marLeft w:val="0"/>
      <w:marRight w:val="0"/>
      <w:marTop w:val="0"/>
      <w:marBottom w:val="0"/>
      <w:divBdr>
        <w:top w:val="none" w:sz="0" w:space="0" w:color="auto"/>
        <w:left w:val="none" w:sz="0" w:space="0" w:color="auto"/>
        <w:bottom w:val="none" w:sz="0" w:space="0" w:color="auto"/>
        <w:right w:val="none" w:sz="0" w:space="0" w:color="auto"/>
      </w:divBdr>
    </w:div>
    <w:div w:id="914432211">
      <w:bodyDiv w:val="1"/>
      <w:marLeft w:val="0"/>
      <w:marRight w:val="0"/>
      <w:marTop w:val="0"/>
      <w:marBottom w:val="0"/>
      <w:divBdr>
        <w:top w:val="none" w:sz="0" w:space="0" w:color="auto"/>
        <w:left w:val="none" w:sz="0" w:space="0" w:color="auto"/>
        <w:bottom w:val="none" w:sz="0" w:space="0" w:color="auto"/>
        <w:right w:val="none" w:sz="0" w:space="0" w:color="auto"/>
      </w:divBdr>
    </w:div>
    <w:div w:id="918292260">
      <w:bodyDiv w:val="1"/>
      <w:marLeft w:val="0"/>
      <w:marRight w:val="0"/>
      <w:marTop w:val="0"/>
      <w:marBottom w:val="0"/>
      <w:divBdr>
        <w:top w:val="none" w:sz="0" w:space="0" w:color="auto"/>
        <w:left w:val="none" w:sz="0" w:space="0" w:color="auto"/>
        <w:bottom w:val="none" w:sz="0" w:space="0" w:color="auto"/>
        <w:right w:val="none" w:sz="0" w:space="0" w:color="auto"/>
      </w:divBdr>
    </w:div>
    <w:div w:id="918445168">
      <w:bodyDiv w:val="1"/>
      <w:marLeft w:val="0"/>
      <w:marRight w:val="0"/>
      <w:marTop w:val="0"/>
      <w:marBottom w:val="0"/>
      <w:divBdr>
        <w:top w:val="none" w:sz="0" w:space="0" w:color="auto"/>
        <w:left w:val="none" w:sz="0" w:space="0" w:color="auto"/>
        <w:bottom w:val="none" w:sz="0" w:space="0" w:color="auto"/>
        <w:right w:val="none" w:sz="0" w:space="0" w:color="auto"/>
      </w:divBdr>
    </w:div>
    <w:div w:id="927692312">
      <w:bodyDiv w:val="1"/>
      <w:marLeft w:val="0"/>
      <w:marRight w:val="0"/>
      <w:marTop w:val="0"/>
      <w:marBottom w:val="0"/>
      <w:divBdr>
        <w:top w:val="none" w:sz="0" w:space="0" w:color="auto"/>
        <w:left w:val="none" w:sz="0" w:space="0" w:color="auto"/>
        <w:bottom w:val="none" w:sz="0" w:space="0" w:color="auto"/>
        <w:right w:val="none" w:sz="0" w:space="0" w:color="auto"/>
      </w:divBdr>
    </w:div>
    <w:div w:id="939029473">
      <w:bodyDiv w:val="1"/>
      <w:marLeft w:val="0"/>
      <w:marRight w:val="0"/>
      <w:marTop w:val="0"/>
      <w:marBottom w:val="0"/>
      <w:divBdr>
        <w:top w:val="none" w:sz="0" w:space="0" w:color="auto"/>
        <w:left w:val="none" w:sz="0" w:space="0" w:color="auto"/>
        <w:bottom w:val="none" w:sz="0" w:space="0" w:color="auto"/>
        <w:right w:val="none" w:sz="0" w:space="0" w:color="auto"/>
      </w:divBdr>
    </w:div>
    <w:div w:id="942304689">
      <w:bodyDiv w:val="1"/>
      <w:marLeft w:val="0"/>
      <w:marRight w:val="0"/>
      <w:marTop w:val="0"/>
      <w:marBottom w:val="0"/>
      <w:divBdr>
        <w:top w:val="none" w:sz="0" w:space="0" w:color="auto"/>
        <w:left w:val="none" w:sz="0" w:space="0" w:color="auto"/>
        <w:bottom w:val="none" w:sz="0" w:space="0" w:color="auto"/>
        <w:right w:val="none" w:sz="0" w:space="0" w:color="auto"/>
      </w:divBdr>
    </w:div>
    <w:div w:id="954794942">
      <w:bodyDiv w:val="1"/>
      <w:marLeft w:val="0"/>
      <w:marRight w:val="0"/>
      <w:marTop w:val="0"/>
      <w:marBottom w:val="0"/>
      <w:divBdr>
        <w:top w:val="none" w:sz="0" w:space="0" w:color="auto"/>
        <w:left w:val="none" w:sz="0" w:space="0" w:color="auto"/>
        <w:bottom w:val="none" w:sz="0" w:space="0" w:color="auto"/>
        <w:right w:val="none" w:sz="0" w:space="0" w:color="auto"/>
      </w:divBdr>
    </w:div>
    <w:div w:id="972176579">
      <w:bodyDiv w:val="1"/>
      <w:marLeft w:val="0"/>
      <w:marRight w:val="0"/>
      <w:marTop w:val="0"/>
      <w:marBottom w:val="0"/>
      <w:divBdr>
        <w:top w:val="none" w:sz="0" w:space="0" w:color="auto"/>
        <w:left w:val="none" w:sz="0" w:space="0" w:color="auto"/>
        <w:bottom w:val="none" w:sz="0" w:space="0" w:color="auto"/>
        <w:right w:val="none" w:sz="0" w:space="0" w:color="auto"/>
      </w:divBdr>
    </w:div>
    <w:div w:id="987511843">
      <w:bodyDiv w:val="1"/>
      <w:marLeft w:val="0"/>
      <w:marRight w:val="0"/>
      <w:marTop w:val="0"/>
      <w:marBottom w:val="0"/>
      <w:divBdr>
        <w:top w:val="none" w:sz="0" w:space="0" w:color="auto"/>
        <w:left w:val="none" w:sz="0" w:space="0" w:color="auto"/>
        <w:bottom w:val="none" w:sz="0" w:space="0" w:color="auto"/>
        <w:right w:val="none" w:sz="0" w:space="0" w:color="auto"/>
      </w:divBdr>
    </w:div>
    <w:div w:id="1017073433">
      <w:bodyDiv w:val="1"/>
      <w:marLeft w:val="0"/>
      <w:marRight w:val="0"/>
      <w:marTop w:val="0"/>
      <w:marBottom w:val="0"/>
      <w:divBdr>
        <w:top w:val="none" w:sz="0" w:space="0" w:color="auto"/>
        <w:left w:val="none" w:sz="0" w:space="0" w:color="auto"/>
        <w:bottom w:val="none" w:sz="0" w:space="0" w:color="auto"/>
        <w:right w:val="none" w:sz="0" w:space="0" w:color="auto"/>
      </w:divBdr>
    </w:div>
    <w:div w:id="1022974770">
      <w:bodyDiv w:val="1"/>
      <w:marLeft w:val="0"/>
      <w:marRight w:val="0"/>
      <w:marTop w:val="0"/>
      <w:marBottom w:val="0"/>
      <w:divBdr>
        <w:top w:val="none" w:sz="0" w:space="0" w:color="auto"/>
        <w:left w:val="none" w:sz="0" w:space="0" w:color="auto"/>
        <w:bottom w:val="none" w:sz="0" w:space="0" w:color="auto"/>
        <w:right w:val="none" w:sz="0" w:space="0" w:color="auto"/>
      </w:divBdr>
    </w:div>
    <w:div w:id="1044447477">
      <w:bodyDiv w:val="1"/>
      <w:marLeft w:val="0"/>
      <w:marRight w:val="0"/>
      <w:marTop w:val="0"/>
      <w:marBottom w:val="0"/>
      <w:divBdr>
        <w:top w:val="none" w:sz="0" w:space="0" w:color="auto"/>
        <w:left w:val="none" w:sz="0" w:space="0" w:color="auto"/>
        <w:bottom w:val="none" w:sz="0" w:space="0" w:color="auto"/>
        <w:right w:val="none" w:sz="0" w:space="0" w:color="auto"/>
      </w:divBdr>
    </w:div>
    <w:div w:id="1051920785">
      <w:bodyDiv w:val="1"/>
      <w:marLeft w:val="0"/>
      <w:marRight w:val="0"/>
      <w:marTop w:val="0"/>
      <w:marBottom w:val="0"/>
      <w:divBdr>
        <w:top w:val="none" w:sz="0" w:space="0" w:color="auto"/>
        <w:left w:val="none" w:sz="0" w:space="0" w:color="auto"/>
        <w:bottom w:val="none" w:sz="0" w:space="0" w:color="auto"/>
        <w:right w:val="none" w:sz="0" w:space="0" w:color="auto"/>
      </w:divBdr>
    </w:div>
    <w:div w:id="1060010862">
      <w:bodyDiv w:val="1"/>
      <w:marLeft w:val="0"/>
      <w:marRight w:val="0"/>
      <w:marTop w:val="0"/>
      <w:marBottom w:val="0"/>
      <w:divBdr>
        <w:top w:val="none" w:sz="0" w:space="0" w:color="auto"/>
        <w:left w:val="none" w:sz="0" w:space="0" w:color="auto"/>
        <w:bottom w:val="none" w:sz="0" w:space="0" w:color="auto"/>
        <w:right w:val="none" w:sz="0" w:space="0" w:color="auto"/>
      </w:divBdr>
    </w:div>
    <w:div w:id="1069645402">
      <w:bodyDiv w:val="1"/>
      <w:marLeft w:val="0"/>
      <w:marRight w:val="0"/>
      <w:marTop w:val="0"/>
      <w:marBottom w:val="0"/>
      <w:divBdr>
        <w:top w:val="none" w:sz="0" w:space="0" w:color="auto"/>
        <w:left w:val="none" w:sz="0" w:space="0" w:color="auto"/>
        <w:bottom w:val="none" w:sz="0" w:space="0" w:color="auto"/>
        <w:right w:val="none" w:sz="0" w:space="0" w:color="auto"/>
      </w:divBdr>
    </w:div>
    <w:div w:id="1078550993">
      <w:bodyDiv w:val="1"/>
      <w:marLeft w:val="0"/>
      <w:marRight w:val="0"/>
      <w:marTop w:val="0"/>
      <w:marBottom w:val="0"/>
      <w:divBdr>
        <w:top w:val="none" w:sz="0" w:space="0" w:color="auto"/>
        <w:left w:val="none" w:sz="0" w:space="0" w:color="auto"/>
        <w:bottom w:val="none" w:sz="0" w:space="0" w:color="auto"/>
        <w:right w:val="none" w:sz="0" w:space="0" w:color="auto"/>
      </w:divBdr>
    </w:div>
    <w:div w:id="1089958993">
      <w:bodyDiv w:val="1"/>
      <w:marLeft w:val="0"/>
      <w:marRight w:val="0"/>
      <w:marTop w:val="0"/>
      <w:marBottom w:val="0"/>
      <w:divBdr>
        <w:top w:val="none" w:sz="0" w:space="0" w:color="auto"/>
        <w:left w:val="none" w:sz="0" w:space="0" w:color="auto"/>
        <w:bottom w:val="none" w:sz="0" w:space="0" w:color="auto"/>
        <w:right w:val="none" w:sz="0" w:space="0" w:color="auto"/>
      </w:divBdr>
    </w:div>
    <w:div w:id="1091897284">
      <w:bodyDiv w:val="1"/>
      <w:marLeft w:val="0"/>
      <w:marRight w:val="0"/>
      <w:marTop w:val="0"/>
      <w:marBottom w:val="0"/>
      <w:divBdr>
        <w:top w:val="none" w:sz="0" w:space="0" w:color="auto"/>
        <w:left w:val="none" w:sz="0" w:space="0" w:color="auto"/>
        <w:bottom w:val="none" w:sz="0" w:space="0" w:color="auto"/>
        <w:right w:val="none" w:sz="0" w:space="0" w:color="auto"/>
      </w:divBdr>
    </w:div>
    <w:div w:id="1093548877">
      <w:bodyDiv w:val="1"/>
      <w:marLeft w:val="0"/>
      <w:marRight w:val="0"/>
      <w:marTop w:val="0"/>
      <w:marBottom w:val="0"/>
      <w:divBdr>
        <w:top w:val="none" w:sz="0" w:space="0" w:color="auto"/>
        <w:left w:val="none" w:sz="0" w:space="0" w:color="auto"/>
        <w:bottom w:val="none" w:sz="0" w:space="0" w:color="auto"/>
        <w:right w:val="none" w:sz="0" w:space="0" w:color="auto"/>
      </w:divBdr>
    </w:div>
    <w:div w:id="1106582771">
      <w:bodyDiv w:val="1"/>
      <w:marLeft w:val="0"/>
      <w:marRight w:val="0"/>
      <w:marTop w:val="0"/>
      <w:marBottom w:val="0"/>
      <w:divBdr>
        <w:top w:val="none" w:sz="0" w:space="0" w:color="auto"/>
        <w:left w:val="none" w:sz="0" w:space="0" w:color="auto"/>
        <w:bottom w:val="none" w:sz="0" w:space="0" w:color="auto"/>
        <w:right w:val="none" w:sz="0" w:space="0" w:color="auto"/>
      </w:divBdr>
    </w:div>
    <w:div w:id="1113093740">
      <w:bodyDiv w:val="1"/>
      <w:marLeft w:val="0"/>
      <w:marRight w:val="0"/>
      <w:marTop w:val="0"/>
      <w:marBottom w:val="0"/>
      <w:divBdr>
        <w:top w:val="none" w:sz="0" w:space="0" w:color="auto"/>
        <w:left w:val="none" w:sz="0" w:space="0" w:color="auto"/>
        <w:bottom w:val="none" w:sz="0" w:space="0" w:color="auto"/>
        <w:right w:val="none" w:sz="0" w:space="0" w:color="auto"/>
      </w:divBdr>
    </w:div>
    <w:div w:id="1117873519">
      <w:bodyDiv w:val="1"/>
      <w:marLeft w:val="0"/>
      <w:marRight w:val="0"/>
      <w:marTop w:val="0"/>
      <w:marBottom w:val="0"/>
      <w:divBdr>
        <w:top w:val="none" w:sz="0" w:space="0" w:color="auto"/>
        <w:left w:val="none" w:sz="0" w:space="0" w:color="auto"/>
        <w:bottom w:val="none" w:sz="0" w:space="0" w:color="auto"/>
        <w:right w:val="none" w:sz="0" w:space="0" w:color="auto"/>
      </w:divBdr>
    </w:div>
    <w:div w:id="1122261174">
      <w:bodyDiv w:val="1"/>
      <w:marLeft w:val="0"/>
      <w:marRight w:val="0"/>
      <w:marTop w:val="0"/>
      <w:marBottom w:val="0"/>
      <w:divBdr>
        <w:top w:val="none" w:sz="0" w:space="0" w:color="auto"/>
        <w:left w:val="none" w:sz="0" w:space="0" w:color="auto"/>
        <w:bottom w:val="none" w:sz="0" w:space="0" w:color="auto"/>
        <w:right w:val="none" w:sz="0" w:space="0" w:color="auto"/>
      </w:divBdr>
    </w:div>
    <w:div w:id="1122579953">
      <w:bodyDiv w:val="1"/>
      <w:marLeft w:val="0"/>
      <w:marRight w:val="0"/>
      <w:marTop w:val="0"/>
      <w:marBottom w:val="0"/>
      <w:divBdr>
        <w:top w:val="none" w:sz="0" w:space="0" w:color="auto"/>
        <w:left w:val="none" w:sz="0" w:space="0" w:color="auto"/>
        <w:bottom w:val="none" w:sz="0" w:space="0" w:color="auto"/>
        <w:right w:val="none" w:sz="0" w:space="0" w:color="auto"/>
      </w:divBdr>
    </w:div>
    <w:div w:id="1130636419">
      <w:bodyDiv w:val="1"/>
      <w:marLeft w:val="0"/>
      <w:marRight w:val="0"/>
      <w:marTop w:val="0"/>
      <w:marBottom w:val="0"/>
      <w:divBdr>
        <w:top w:val="none" w:sz="0" w:space="0" w:color="auto"/>
        <w:left w:val="none" w:sz="0" w:space="0" w:color="auto"/>
        <w:bottom w:val="none" w:sz="0" w:space="0" w:color="auto"/>
        <w:right w:val="none" w:sz="0" w:space="0" w:color="auto"/>
      </w:divBdr>
    </w:div>
    <w:div w:id="1150370619">
      <w:bodyDiv w:val="1"/>
      <w:marLeft w:val="0"/>
      <w:marRight w:val="0"/>
      <w:marTop w:val="0"/>
      <w:marBottom w:val="0"/>
      <w:divBdr>
        <w:top w:val="none" w:sz="0" w:space="0" w:color="auto"/>
        <w:left w:val="none" w:sz="0" w:space="0" w:color="auto"/>
        <w:bottom w:val="none" w:sz="0" w:space="0" w:color="auto"/>
        <w:right w:val="none" w:sz="0" w:space="0" w:color="auto"/>
      </w:divBdr>
    </w:div>
    <w:div w:id="1151754020">
      <w:bodyDiv w:val="1"/>
      <w:marLeft w:val="0"/>
      <w:marRight w:val="0"/>
      <w:marTop w:val="0"/>
      <w:marBottom w:val="0"/>
      <w:divBdr>
        <w:top w:val="none" w:sz="0" w:space="0" w:color="auto"/>
        <w:left w:val="none" w:sz="0" w:space="0" w:color="auto"/>
        <w:bottom w:val="none" w:sz="0" w:space="0" w:color="auto"/>
        <w:right w:val="none" w:sz="0" w:space="0" w:color="auto"/>
      </w:divBdr>
    </w:div>
    <w:div w:id="1158112001">
      <w:bodyDiv w:val="1"/>
      <w:marLeft w:val="0"/>
      <w:marRight w:val="0"/>
      <w:marTop w:val="0"/>
      <w:marBottom w:val="0"/>
      <w:divBdr>
        <w:top w:val="none" w:sz="0" w:space="0" w:color="auto"/>
        <w:left w:val="none" w:sz="0" w:space="0" w:color="auto"/>
        <w:bottom w:val="none" w:sz="0" w:space="0" w:color="auto"/>
        <w:right w:val="none" w:sz="0" w:space="0" w:color="auto"/>
      </w:divBdr>
    </w:div>
    <w:div w:id="1179737490">
      <w:bodyDiv w:val="1"/>
      <w:marLeft w:val="0"/>
      <w:marRight w:val="0"/>
      <w:marTop w:val="0"/>
      <w:marBottom w:val="0"/>
      <w:divBdr>
        <w:top w:val="none" w:sz="0" w:space="0" w:color="auto"/>
        <w:left w:val="none" w:sz="0" w:space="0" w:color="auto"/>
        <w:bottom w:val="none" w:sz="0" w:space="0" w:color="auto"/>
        <w:right w:val="none" w:sz="0" w:space="0" w:color="auto"/>
      </w:divBdr>
    </w:div>
    <w:div w:id="1190992335">
      <w:bodyDiv w:val="1"/>
      <w:marLeft w:val="0"/>
      <w:marRight w:val="0"/>
      <w:marTop w:val="0"/>
      <w:marBottom w:val="0"/>
      <w:divBdr>
        <w:top w:val="none" w:sz="0" w:space="0" w:color="auto"/>
        <w:left w:val="none" w:sz="0" w:space="0" w:color="auto"/>
        <w:bottom w:val="none" w:sz="0" w:space="0" w:color="auto"/>
        <w:right w:val="none" w:sz="0" w:space="0" w:color="auto"/>
      </w:divBdr>
    </w:div>
    <w:div w:id="1197426276">
      <w:bodyDiv w:val="1"/>
      <w:marLeft w:val="0"/>
      <w:marRight w:val="0"/>
      <w:marTop w:val="0"/>
      <w:marBottom w:val="0"/>
      <w:divBdr>
        <w:top w:val="none" w:sz="0" w:space="0" w:color="auto"/>
        <w:left w:val="none" w:sz="0" w:space="0" w:color="auto"/>
        <w:bottom w:val="none" w:sz="0" w:space="0" w:color="auto"/>
        <w:right w:val="none" w:sz="0" w:space="0" w:color="auto"/>
      </w:divBdr>
    </w:div>
    <w:div w:id="1212880889">
      <w:bodyDiv w:val="1"/>
      <w:marLeft w:val="0"/>
      <w:marRight w:val="0"/>
      <w:marTop w:val="0"/>
      <w:marBottom w:val="0"/>
      <w:divBdr>
        <w:top w:val="none" w:sz="0" w:space="0" w:color="auto"/>
        <w:left w:val="none" w:sz="0" w:space="0" w:color="auto"/>
        <w:bottom w:val="none" w:sz="0" w:space="0" w:color="auto"/>
        <w:right w:val="none" w:sz="0" w:space="0" w:color="auto"/>
      </w:divBdr>
    </w:div>
    <w:div w:id="1216040799">
      <w:bodyDiv w:val="1"/>
      <w:marLeft w:val="0"/>
      <w:marRight w:val="0"/>
      <w:marTop w:val="0"/>
      <w:marBottom w:val="0"/>
      <w:divBdr>
        <w:top w:val="none" w:sz="0" w:space="0" w:color="auto"/>
        <w:left w:val="none" w:sz="0" w:space="0" w:color="auto"/>
        <w:bottom w:val="none" w:sz="0" w:space="0" w:color="auto"/>
        <w:right w:val="none" w:sz="0" w:space="0" w:color="auto"/>
      </w:divBdr>
    </w:div>
    <w:div w:id="1218976994">
      <w:bodyDiv w:val="1"/>
      <w:marLeft w:val="0"/>
      <w:marRight w:val="0"/>
      <w:marTop w:val="0"/>
      <w:marBottom w:val="0"/>
      <w:divBdr>
        <w:top w:val="none" w:sz="0" w:space="0" w:color="auto"/>
        <w:left w:val="none" w:sz="0" w:space="0" w:color="auto"/>
        <w:bottom w:val="none" w:sz="0" w:space="0" w:color="auto"/>
        <w:right w:val="none" w:sz="0" w:space="0" w:color="auto"/>
      </w:divBdr>
    </w:div>
    <w:div w:id="1220895773">
      <w:bodyDiv w:val="1"/>
      <w:marLeft w:val="0"/>
      <w:marRight w:val="0"/>
      <w:marTop w:val="0"/>
      <w:marBottom w:val="0"/>
      <w:divBdr>
        <w:top w:val="none" w:sz="0" w:space="0" w:color="auto"/>
        <w:left w:val="none" w:sz="0" w:space="0" w:color="auto"/>
        <w:bottom w:val="none" w:sz="0" w:space="0" w:color="auto"/>
        <w:right w:val="none" w:sz="0" w:space="0" w:color="auto"/>
      </w:divBdr>
    </w:div>
    <w:div w:id="1238394335">
      <w:bodyDiv w:val="1"/>
      <w:marLeft w:val="0"/>
      <w:marRight w:val="0"/>
      <w:marTop w:val="0"/>
      <w:marBottom w:val="0"/>
      <w:divBdr>
        <w:top w:val="none" w:sz="0" w:space="0" w:color="auto"/>
        <w:left w:val="none" w:sz="0" w:space="0" w:color="auto"/>
        <w:bottom w:val="none" w:sz="0" w:space="0" w:color="auto"/>
        <w:right w:val="none" w:sz="0" w:space="0" w:color="auto"/>
      </w:divBdr>
    </w:div>
    <w:div w:id="1267343100">
      <w:bodyDiv w:val="1"/>
      <w:marLeft w:val="0"/>
      <w:marRight w:val="0"/>
      <w:marTop w:val="0"/>
      <w:marBottom w:val="0"/>
      <w:divBdr>
        <w:top w:val="none" w:sz="0" w:space="0" w:color="auto"/>
        <w:left w:val="none" w:sz="0" w:space="0" w:color="auto"/>
        <w:bottom w:val="none" w:sz="0" w:space="0" w:color="auto"/>
        <w:right w:val="none" w:sz="0" w:space="0" w:color="auto"/>
      </w:divBdr>
    </w:div>
    <w:div w:id="1268192009">
      <w:bodyDiv w:val="1"/>
      <w:marLeft w:val="0"/>
      <w:marRight w:val="0"/>
      <w:marTop w:val="0"/>
      <w:marBottom w:val="0"/>
      <w:divBdr>
        <w:top w:val="none" w:sz="0" w:space="0" w:color="auto"/>
        <w:left w:val="none" w:sz="0" w:space="0" w:color="auto"/>
        <w:bottom w:val="none" w:sz="0" w:space="0" w:color="auto"/>
        <w:right w:val="none" w:sz="0" w:space="0" w:color="auto"/>
      </w:divBdr>
    </w:div>
    <w:div w:id="1272394176">
      <w:bodyDiv w:val="1"/>
      <w:marLeft w:val="0"/>
      <w:marRight w:val="0"/>
      <w:marTop w:val="0"/>
      <w:marBottom w:val="0"/>
      <w:divBdr>
        <w:top w:val="none" w:sz="0" w:space="0" w:color="auto"/>
        <w:left w:val="none" w:sz="0" w:space="0" w:color="auto"/>
        <w:bottom w:val="none" w:sz="0" w:space="0" w:color="auto"/>
        <w:right w:val="none" w:sz="0" w:space="0" w:color="auto"/>
      </w:divBdr>
    </w:div>
    <w:div w:id="1282348408">
      <w:bodyDiv w:val="1"/>
      <w:marLeft w:val="0"/>
      <w:marRight w:val="0"/>
      <w:marTop w:val="0"/>
      <w:marBottom w:val="0"/>
      <w:divBdr>
        <w:top w:val="none" w:sz="0" w:space="0" w:color="auto"/>
        <w:left w:val="none" w:sz="0" w:space="0" w:color="auto"/>
        <w:bottom w:val="none" w:sz="0" w:space="0" w:color="auto"/>
        <w:right w:val="none" w:sz="0" w:space="0" w:color="auto"/>
      </w:divBdr>
    </w:div>
    <w:div w:id="1287200523">
      <w:bodyDiv w:val="1"/>
      <w:marLeft w:val="0"/>
      <w:marRight w:val="0"/>
      <w:marTop w:val="0"/>
      <w:marBottom w:val="0"/>
      <w:divBdr>
        <w:top w:val="none" w:sz="0" w:space="0" w:color="auto"/>
        <w:left w:val="none" w:sz="0" w:space="0" w:color="auto"/>
        <w:bottom w:val="none" w:sz="0" w:space="0" w:color="auto"/>
        <w:right w:val="none" w:sz="0" w:space="0" w:color="auto"/>
      </w:divBdr>
    </w:div>
    <w:div w:id="1302617858">
      <w:bodyDiv w:val="1"/>
      <w:marLeft w:val="0"/>
      <w:marRight w:val="0"/>
      <w:marTop w:val="0"/>
      <w:marBottom w:val="0"/>
      <w:divBdr>
        <w:top w:val="none" w:sz="0" w:space="0" w:color="auto"/>
        <w:left w:val="none" w:sz="0" w:space="0" w:color="auto"/>
        <w:bottom w:val="none" w:sz="0" w:space="0" w:color="auto"/>
        <w:right w:val="none" w:sz="0" w:space="0" w:color="auto"/>
      </w:divBdr>
    </w:div>
    <w:div w:id="1314530281">
      <w:bodyDiv w:val="1"/>
      <w:marLeft w:val="0"/>
      <w:marRight w:val="0"/>
      <w:marTop w:val="0"/>
      <w:marBottom w:val="0"/>
      <w:divBdr>
        <w:top w:val="none" w:sz="0" w:space="0" w:color="auto"/>
        <w:left w:val="none" w:sz="0" w:space="0" w:color="auto"/>
        <w:bottom w:val="none" w:sz="0" w:space="0" w:color="auto"/>
        <w:right w:val="none" w:sz="0" w:space="0" w:color="auto"/>
      </w:divBdr>
    </w:div>
    <w:div w:id="1323312932">
      <w:bodyDiv w:val="1"/>
      <w:marLeft w:val="0"/>
      <w:marRight w:val="0"/>
      <w:marTop w:val="0"/>
      <w:marBottom w:val="0"/>
      <w:divBdr>
        <w:top w:val="none" w:sz="0" w:space="0" w:color="auto"/>
        <w:left w:val="none" w:sz="0" w:space="0" w:color="auto"/>
        <w:bottom w:val="none" w:sz="0" w:space="0" w:color="auto"/>
        <w:right w:val="none" w:sz="0" w:space="0" w:color="auto"/>
      </w:divBdr>
    </w:div>
    <w:div w:id="1359619943">
      <w:bodyDiv w:val="1"/>
      <w:marLeft w:val="0"/>
      <w:marRight w:val="0"/>
      <w:marTop w:val="0"/>
      <w:marBottom w:val="0"/>
      <w:divBdr>
        <w:top w:val="none" w:sz="0" w:space="0" w:color="auto"/>
        <w:left w:val="none" w:sz="0" w:space="0" w:color="auto"/>
        <w:bottom w:val="none" w:sz="0" w:space="0" w:color="auto"/>
        <w:right w:val="none" w:sz="0" w:space="0" w:color="auto"/>
      </w:divBdr>
    </w:div>
    <w:div w:id="1364212739">
      <w:bodyDiv w:val="1"/>
      <w:marLeft w:val="0"/>
      <w:marRight w:val="0"/>
      <w:marTop w:val="0"/>
      <w:marBottom w:val="0"/>
      <w:divBdr>
        <w:top w:val="none" w:sz="0" w:space="0" w:color="auto"/>
        <w:left w:val="none" w:sz="0" w:space="0" w:color="auto"/>
        <w:bottom w:val="none" w:sz="0" w:space="0" w:color="auto"/>
        <w:right w:val="none" w:sz="0" w:space="0" w:color="auto"/>
      </w:divBdr>
    </w:div>
    <w:div w:id="1371346413">
      <w:bodyDiv w:val="1"/>
      <w:marLeft w:val="0"/>
      <w:marRight w:val="0"/>
      <w:marTop w:val="0"/>
      <w:marBottom w:val="0"/>
      <w:divBdr>
        <w:top w:val="none" w:sz="0" w:space="0" w:color="auto"/>
        <w:left w:val="none" w:sz="0" w:space="0" w:color="auto"/>
        <w:bottom w:val="none" w:sz="0" w:space="0" w:color="auto"/>
        <w:right w:val="none" w:sz="0" w:space="0" w:color="auto"/>
      </w:divBdr>
    </w:div>
    <w:div w:id="1378047983">
      <w:bodyDiv w:val="1"/>
      <w:marLeft w:val="0"/>
      <w:marRight w:val="0"/>
      <w:marTop w:val="0"/>
      <w:marBottom w:val="0"/>
      <w:divBdr>
        <w:top w:val="none" w:sz="0" w:space="0" w:color="auto"/>
        <w:left w:val="none" w:sz="0" w:space="0" w:color="auto"/>
        <w:bottom w:val="none" w:sz="0" w:space="0" w:color="auto"/>
        <w:right w:val="none" w:sz="0" w:space="0" w:color="auto"/>
      </w:divBdr>
    </w:div>
    <w:div w:id="1382173434">
      <w:bodyDiv w:val="1"/>
      <w:marLeft w:val="0"/>
      <w:marRight w:val="0"/>
      <w:marTop w:val="0"/>
      <w:marBottom w:val="0"/>
      <w:divBdr>
        <w:top w:val="none" w:sz="0" w:space="0" w:color="auto"/>
        <w:left w:val="none" w:sz="0" w:space="0" w:color="auto"/>
        <w:bottom w:val="none" w:sz="0" w:space="0" w:color="auto"/>
        <w:right w:val="none" w:sz="0" w:space="0" w:color="auto"/>
      </w:divBdr>
    </w:div>
    <w:div w:id="1389838137">
      <w:bodyDiv w:val="1"/>
      <w:marLeft w:val="0"/>
      <w:marRight w:val="0"/>
      <w:marTop w:val="0"/>
      <w:marBottom w:val="0"/>
      <w:divBdr>
        <w:top w:val="none" w:sz="0" w:space="0" w:color="auto"/>
        <w:left w:val="none" w:sz="0" w:space="0" w:color="auto"/>
        <w:bottom w:val="none" w:sz="0" w:space="0" w:color="auto"/>
        <w:right w:val="none" w:sz="0" w:space="0" w:color="auto"/>
      </w:divBdr>
    </w:div>
    <w:div w:id="1391229884">
      <w:bodyDiv w:val="1"/>
      <w:marLeft w:val="0"/>
      <w:marRight w:val="0"/>
      <w:marTop w:val="0"/>
      <w:marBottom w:val="0"/>
      <w:divBdr>
        <w:top w:val="none" w:sz="0" w:space="0" w:color="auto"/>
        <w:left w:val="none" w:sz="0" w:space="0" w:color="auto"/>
        <w:bottom w:val="none" w:sz="0" w:space="0" w:color="auto"/>
        <w:right w:val="none" w:sz="0" w:space="0" w:color="auto"/>
      </w:divBdr>
    </w:div>
    <w:div w:id="1393773461">
      <w:bodyDiv w:val="1"/>
      <w:marLeft w:val="0"/>
      <w:marRight w:val="0"/>
      <w:marTop w:val="0"/>
      <w:marBottom w:val="0"/>
      <w:divBdr>
        <w:top w:val="none" w:sz="0" w:space="0" w:color="auto"/>
        <w:left w:val="none" w:sz="0" w:space="0" w:color="auto"/>
        <w:bottom w:val="none" w:sz="0" w:space="0" w:color="auto"/>
        <w:right w:val="none" w:sz="0" w:space="0" w:color="auto"/>
      </w:divBdr>
    </w:div>
    <w:div w:id="1408108537">
      <w:bodyDiv w:val="1"/>
      <w:marLeft w:val="0"/>
      <w:marRight w:val="0"/>
      <w:marTop w:val="0"/>
      <w:marBottom w:val="0"/>
      <w:divBdr>
        <w:top w:val="none" w:sz="0" w:space="0" w:color="auto"/>
        <w:left w:val="none" w:sz="0" w:space="0" w:color="auto"/>
        <w:bottom w:val="none" w:sz="0" w:space="0" w:color="auto"/>
        <w:right w:val="none" w:sz="0" w:space="0" w:color="auto"/>
      </w:divBdr>
    </w:div>
    <w:div w:id="1412770341">
      <w:bodyDiv w:val="1"/>
      <w:marLeft w:val="0"/>
      <w:marRight w:val="0"/>
      <w:marTop w:val="0"/>
      <w:marBottom w:val="0"/>
      <w:divBdr>
        <w:top w:val="none" w:sz="0" w:space="0" w:color="auto"/>
        <w:left w:val="none" w:sz="0" w:space="0" w:color="auto"/>
        <w:bottom w:val="none" w:sz="0" w:space="0" w:color="auto"/>
        <w:right w:val="none" w:sz="0" w:space="0" w:color="auto"/>
      </w:divBdr>
    </w:div>
    <w:div w:id="1414742585">
      <w:bodyDiv w:val="1"/>
      <w:marLeft w:val="0"/>
      <w:marRight w:val="0"/>
      <w:marTop w:val="0"/>
      <w:marBottom w:val="0"/>
      <w:divBdr>
        <w:top w:val="none" w:sz="0" w:space="0" w:color="auto"/>
        <w:left w:val="none" w:sz="0" w:space="0" w:color="auto"/>
        <w:bottom w:val="none" w:sz="0" w:space="0" w:color="auto"/>
        <w:right w:val="none" w:sz="0" w:space="0" w:color="auto"/>
      </w:divBdr>
    </w:div>
    <w:div w:id="1424105128">
      <w:bodyDiv w:val="1"/>
      <w:marLeft w:val="0"/>
      <w:marRight w:val="0"/>
      <w:marTop w:val="0"/>
      <w:marBottom w:val="0"/>
      <w:divBdr>
        <w:top w:val="none" w:sz="0" w:space="0" w:color="auto"/>
        <w:left w:val="none" w:sz="0" w:space="0" w:color="auto"/>
        <w:bottom w:val="none" w:sz="0" w:space="0" w:color="auto"/>
        <w:right w:val="none" w:sz="0" w:space="0" w:color="auto"/>
      </w:divBdr>
    </w:div>
    <w:div w:id="1443569591">
      <w:bodyDiv w:val="1"/>
      <w:marLeft w:val="0"/>
      <w:marRight w:val="0"/>
      <w:marTop w:val="0"/>
      <w:marBottom w:val="0"/>
      <w:divBdr>
        <w:top w:val="none" w:sz="0" w:space="0" w:color="auto"/>
        <w:left w:val="none" w:sz="0" w:space="0" w:color="auto"/>
        <w:bottom w:val="none" w:sz="0" w:space="0" w:color="auto"/>
        <w:right w:val="none" w:sz="0" w:space="0" w:color="auto"/>
      </w:divBdr>
    </w:div>
    <w:div w:id="1456679802">
      <w:bodyDiv w:val="1"/>
      <w:marLeft w:val="0"/>
      <w:marRight w:val="0"/>
      <w:marTop w:val="0"/>
      <w:marBottom w:val="0"/>
      <w:divBdr>
        <w:top w:val="none" w:sz="0" w:space="0" w:color="auto"/>
        <w:left w:val="none" w:sz="0" w:space="0" w:color="auto"/>
        <w:bottom w:val="none" w:sz="0" w:space="0" w:color="auto"/>
        <w:right w:val="none" w:sz="0" w:space="0" w:color="auto"/>
      </w:divBdr>
    </w:div>
    <w:div w:id="1460300486">
      <w:bodyDiv w:val="1"/>
      <w:marLeft w:val="0"/>
      <w:marRight w:val="0"/>
      <w:marTop w:val="0"/>
      <w:marBottom w:val="0"/>
      <w:divBdr>
        <w:top w:val="none" w:sz="0" w:space="0" w:color="auto"/>
        <w:left w:val="none" w:sz="0" w:space="0" w:color="auto"/>
        <w:bottom w:val="none" w:sz="0" w:space="0" w:color="auto"/>
        <w:right w:val="none" w:sz="0" w:space="0" w:color="auto"/>
      </w:divBdr>
    </w:div>
    <w:div w:id="1467701375">
      <w:bodyDiv w:val="1"/>
      <w:marLeft w:val="0"/>
      <w:marRight w:val="0"/>
      <w:marTop w:val="0"/>
      <w:marBottom w:val="0"/>
      <w:divBdr>
        <w:top w:val="none" w:sz="0" w:space="0" w:color="auto"/>
        <w:left w:val="none" w:sz="0" w:space="0" w:color="auto"/>
        <w:bottom w:val="none" w:sz="0" w:space="0" w:color="auto"/>
        <w:right w:val="none" w:sz="0" w:space="0" w:color="auto"/>
      </w:divBdr>
    </w:div>
    <w:div w:id="1475176133">
      <w:bodyDiv w:val="1"/>
      <w:marLeft w:val="0"/>
      <w:marRight w:val="0"/>
      <w:marTop w:val="0"/>
      <w:marBottom w:val="0"/>
      <w:divBdr>
        <w:top w:val="none" w:sz="0" w:space="0" w:color="auto"/>
        <w:left w:val="none" w:sz="0" w:space="0" w:color="auto"/>
        <w:bottom w:val="none" w:sz="0" w:space="0" w:color="auto"/>
        <w:right w:val="none" w:sz="0" w:space="0" w:color="auto"/>
      </w:divBdr>
    </w:div>
    <w:div w:id="1516116396">
      <w:bodyDiv w:val="1"/>
      <w:marLeft w:val="0"/>
      <w:marRight w:val="0"/>
      <w:marTop w:val="0"/>
      <w:marBottom w:val="0"/>
      <w:divBdr>
        <w:top w:val="none" w:sz="0" w:space="0" w:color="auto"/>
        <w:left w:val="none" w:sz="0" w:space="0" w:color="auto"/>
        <w:bottom w:val="none" w:sz="0" w:space="0" w:color="auto"/>
        <w:right w:val="none" w:sz="0" w:space="0" w:color="auto"/>
      </w:divBdr>
    </w:div>
    <w:div w:id="1517427505">
      <w:bodyDiv w:val="1"/>
      <w:marLeft w:val="0"/>
      <w:marRight w:val="0"/>
      <w:marTop w:val="0"/>
      <w:marBottom w:val="0"/>
      <w:divBdr>
        <w:top w:val="none" w:sz="0" w:space="0" w:color="auto"/>
        <w:left w:val="none" w:sz="0" w:space="0" w:color="auto"/>
        <w:bottom w:val="none" w:sz="0" w:space="0" w:color="auto"/>
        <w:right w:val="none" w:sz="0" w:space="0" w:color="auto"/>
      </w:divBdr>
    </w:div>
    <w:div w:id="1522813993">
      <w:bodyDiv w:val="1"/>
      <w:marLeft w:val="0"/>
      <w:marRight w:val="0"/>
      <w:marTop w:val="0"/>
      <w:marBottom w:val="0"/>
      <w:divBdr>
        <w:top w:val="none" w:sz="0" w:space="0" w:color="auto"/>
        <w:left w:val="none" w:sz="0" w:space="0" w:color="auto"/>
        <w:bottom w:val="none" w:sz="0" w:space="0" w:color="auto"/>
        <w:right w:val="none" w:sz="0" w:space="0" w:color="auto"/>
      </w:divBdr>
    </w:div>
    <w:div w:id="1531340445">
      <w:bodyDiv w:val="1"/>
      <w:marLeft w:val="0"/>
      <w:marRight w:val="0"/>
      <w:marTop w:val="0"/>
      <w:marBottom w:val="0"/>
      <w:divBdr>
        <w:top w:val="none" w:sz="0" w:space="0" w:color="auto"/>
        <w:left w:val="none" w:sz="0" w:space="0" w:color="auto"/>
        <w:bottom w:val="none" w:sz="0" w:space="0" w:color="auto"/>
        <w:right w:val="none" w:sz="0" w:space="0" w:color="auto"/>
      </w:divBdr>
    </w:div>
    <w:div w:id="1532110357">
      <w:bodyDiv w:val="1"/>
      <w:marLeft w:val="0"/>
      <w:marRight w:val="0"/>
      <w:marTop w:val="0"/>
      <w:marBottom w:val="0"/>
      <w:divBdr>
        <w:top w:val="none" w:sz="0" w:space="0" w:color="auto"/>
        <w:left w:val="none" w:sz="0" w:space="0" w:color="auto"/>
        <w:bottom w:val="none" w:sz="0" w:space="0" w:color="auto"/>
        <w:right w:val="none" w:sz="0" w:space="0" w:color="auto"/>
      </w:divBdr>
    </w:div>
    <w:div w:id="1538851422">
      <w:bodyDiv w:val="1"/>
      <w:marLeft w:val="0"/>
      <w:marRight w:val="0"/>
      <w:marTop w:val="0"/>
      <w:marBottom w:val="0"/>
      <w:divBdr>
        <w:top w:val="none" w:sz="0" w:space="0" w:color="auto"/>
        <w:left w:val="none" w:sz="0" w:space="0" w:color="auto"/>
        <w:bottom w:val="none" w:sz="0" w:space="0" w:color="auto"/>
        <w:right w:val="none" w:sz="0" w:space="0" w:color="auto"/>
      </w:divBdr>
    </w:div>
    <w:div w:id="1546525738">
      <w:bodyDiv w:val="1"/>
      <w:marLeft w:val="0"/>
      <w:marRight w:val="0"/>
      <w:marTop w:val="0"/>
      <w:marBottom w:val="0"/>
      <w:divBdr>
        <w:top w:val="none" w:sz="0" w:space="0" w:color="auto"/>
        <w:left w:val="none" w:sz="0" w:space="0" w:color="auto"/>
        <w:bottom w:val="none" w:sz="0" w:space="0" w:color="auto"/>
        <w:right w:val="none" w:sz="0" w:space="0" w:color="auto"/>
      </w:divBdr>
    </w:div>
    <w:div w:id="1555503050">
      <w:bodyDiv w:val="1"/>
      <w:marLeft w:val="0"/>
      <w:marRight w:val="0"/>
      <w:marTop w:val="0"/>
      <w:marBottom w:val="0"/>
      <w:divBdr>
        <w:top w:val="none" w:sz="0" w:space="0" w:color="auto"/>
        <w:left w:val="none" w:sz="0" w:space="0" w:color="auto"/>
        <w:bottom w:val="none" w:sz="0" w:space="0" w:color="auto"/>
        <w:right w:val="none" w:sz="0" w:space="0" w:color="auto"/>
      </w:divBdr>
    </w:div>
    <w:div w:id="1585072847">
      <w:bodyDiv w:val="1"/>
      <w:marLeft w:val="0"/>
      <w:marRight w:val="0"/>
      <w:marTop w:val="0"/>
      <w:marBottom w:val="0"/>
      <w:divBdr>
        <w:top w:val="none" w:sz="0" w:space="0" w:color="auto"/>
        <w:left w:val="none" w:sz="0" w:space="0" w:color="auto"/>
        <w:bottom w:val="none" w:sz="0" w:space="0" w:color="auto"/>
        <w:right w:val="none" w:sz="0" w:space="0" w:color="auto"/>
      </w:divBdr>
    </w:div>
    <w:div w:id="1590773854">
      <w:bodyDiv w:val="1"/>
      <w:marLeft w:val="0"/>
      <w:marRight w:val="0"/>
      <w:marTop w:val="0"/>
      <w:marBottom w:val="0"/>
      <w:divBdr>
        <w:top w:val="none" w:sz="0" w:space="0" w:color="auto"/>
        <w:left w:val="none" w:sz="0" w:space="0" w:color="auto"/>
        <w:bottom w:val="none" w:sz="0" w:space="0" w:color="auto"/>
        <w:right w:val="none" w:sz="0" w:space="0" w:color="auto"/>
      </w:divBdr>
    </w:div>
    <w:div w:id="1593856902">
      <w:bodyDiv w:val="1"/>
      <w:marLeft w:val="0"/>
      <w:marRight w:val="0"/>
      <w:marTop w:val="0"/>
      <w:marBottom w:val="0"/>
      <w:divBdr>
        <w:top w:val="none" w:sz="0" w:space="0" w:color="auto"/>
        <w:left w:val="none" w:sz="0" w:space="0" w:color="auto"/>
        <w:bottom w:val="none" w:sz="0" w:space="0" w:color="auto"/>
        <w:right w:val="none" w:sz="0" w:space="0" w:color="auto"/>
      </w:divBdr>
    </w:div>
    <w:div w:id="1602759091">
      <w:bodyDiv w:val="1"/>
      <w:marLeft w:val="0"/>
      <w:marRight w:val="0"/>
      <w:marTop w:val="0"/>
      <w:marBottom w:val="0"/>
      <w:divBdr>
        <w:top w:val="none" w:sz="0" w:space="0" w:color="auto"/>
        <w:left w:val="none" w:sz="0" w:space="0" w:color="auto"/>
        <w:bottom w:val="none" w:sz="0" w:space="0" w:color="auto"/>
        <w:right w:val="none" w:sz="0" w:space="0" w:color="auto"/>
      </w:divBdr>
    </w:div>
    <w:div w:id="1610042835">
      <w:bodyDiv w:val="1"/>
      <w:marLeft w:val="0"/>
      <w:marRight w:val="0"/>
      <w:marTop w:val="0"/>
      <w:marBottom w:val="0"/>
      <w:divBdr>
        <w:top w:val="none" w:sz="0" w:space="0" w:color="auto"/>
        <w:left w:val="none" w:sz="0" w:space="0" w:color="auto"/>
        <w:bottom w:val="none" w:sz="0" w:space="0" w:color="auto"/>
        <w:right w:val="none" w:sz="0" w:space="0" w:color="auto"/>
      </w:divBdr>
    </w:div>
    <w:div w:id="1612859007">
      <w:bodyDiv w:val="1"/>
      <w:marLeft w:val="0"/>
      <w:marRight w:val="0"/>
      <w:marTop w:val="0"/>
      <w:marBottom w:val="0"/>
      <w:divBdr>
        <w:top w:val="none" w:sz="0" w:space="0" w:color="auto"/>
        <w:left w:val="none" w:sz="0" w:space="0" w:color="auto"/>
        <w:bottom w:val="none" w:sz="0" w:space="0" w:color="auto"/>
        <w:right w:val="none" w:sz="0" w:space="0" w:color="auto"/>
      </w:divBdr>
    </w:div>
    <w:div w:id="1615600098">
      <w:bodyDiv w:val="1"/>
      <w:marLeft w:val="0"/>
      <w:marRight w:val="0"/>
      <w:marTop w:val="0"/>
      <w:marBottom w:val="0"/>
      <w:divBdr>
        <w:top w:val="none" w:sz="0" w:space="0" w:color="auto"/>
        <w:left w:val="none" w:sz="0" w:space="0" w:color="auto"/>
        <w:bottom w:val="none" w:sz="0" w:space="0" w:color="auto"/>
        <w:right w:val="none" w:sz="0" w:space="0" w:color="auto"/>
      </w:divBdr>
    </w:div>
    <w:div w:id="1626276893">
      <w:bodyDiv w:val="1"/>
      <w:marLeft w:val="0"/>
      <w:marRight w:val="0"/>
      <w:marTop w:val="0"/>
      <w:marBottom w:val="0"/>
      <w:divBdr>
        <w:top w:val="none" w:sz="0" w:space="0" w:color="auto"/>
        <w:left w:val="none" w:sz="0" w:space="0" w:color="auto"/>
        <w:bottom w:val="none" w:sz="0" w:space="0" w:color="auto"/>
        <w:right w:val="none" w:sz="0" w:space="0" w:color="auto"/>
      </w:divBdr>
    </w:div>
    <w:div w:id="1646935968">
      <w:bodyDiv w:val="1"/>
      <w:marLeft w:val="0"/>
      <w:marRight w:val="0"/>
      <w:marTop w:val="0"/>
      <w:marBottom w:val="0"/>
      <w:divBdr>
        <w:top w:val="none" w:sz="0" w:space="0" w:color="auto"/>
        <w:left w:val="none" w:sz="0" w:space="0" w:color="auto"/>
        <w:bottom w:val="none" w:sz="0" w:space="0" w:color="auto"/>
        <w:right w:val="none" w:sz="0" w:space="0" w:color="auto"/>
      </w:divBdr>
    </w:div>
    <w:div w:id="1649824352">
      <w:bodyDiv w:val="1"/>
      <w:marLeft w:val="0"/>
      <w:marRight w:val="0"/>
      <w:marTop w:val="0"/>
      <w:marBottom w:val="0"/>
      <w:divBdr>
        <w:top w:val="none" w:sz="0" w:space="0" w:color="auto"/>
        <w:left w:val="none" w:sz="0" w:space="0" w:color="auto"/>
        <w:bottom w:val="none" w:sz="0" w:space="0" w:color="auto"/>
        <w:right w:val="none" w:sz="0" w:space="0" w:color="auto"/>
      </w:divBdr>
    </w:div>
    <w:div w:id="1666517188">
      <w:bodyDiv w:val="1"/>
      <w:marLeft w:val="0"/>
      <w:marRight w:val="0"/>
      <w:marTop w:val="0"/>
      <w:marBottom w:val="0"/>
      <w:divBdr>
        <w:top w:val="none" w:sz="0" w:space="0" w:color="auto"/>
        <w:left w:val="none" w:sz="0" w:space="0" w:color="auto"/>
        <w:bottom w:val="none" w:sz="0" w:space="0" w:color="auto"/>
        <w:right w:val="none" w:sz="0" w:space="0" w:color="auto"/>
      </w:divBdr>
    </w:div>
    <w:div w:id="1670985655">
      <w:bodyDiv w:val="1"/>
      <w:marLeft w:val="0"/>
      <w:marRight w:val="0"/>
      <w:marTop w:val="0"/>
      <w:marBottom w:val="0"/>
      <w:divBdr>
        <w:top w:val="none" w:sz="0" w:space="0" w:color="auto"/>
        <w:left w:val="none" w:sz="0" w:space="0" w:color="auto"/>
        <w:bottom w:val="none" w:sz="0" w:space="0" w:color="auto"/>
        <w:right w:val="none" w:sz="0" w:space="0" w:color="auto"/>
      </w:divBdr>
    </w:div>
    <w:div w:id="1696687874">
      <w:bodyDiv w:val="1"/>
      <w:marLeft w:val="0"/>
      <w:marRight w:val="0"/>
      <w:marTop w:val="0"/>
      <w:marBottom w:val="0"/>
      <w:divBdr>
        <w:top w:val="none" w:sz="0" w:space="0" w:color="auto"/>
        <w:left w:val="none" w:sz="0" w:space="0" w:color="auto"/>
        <w:bottom w:val="none" w:sz="0" w:space="0" w:color="auto"/>
        <w:right w:val="none" w:sz="0" w:space="0" w:color="auto"/>
      </w:divBdr>
    </w:div>
    <w:div w:id="1698432833">
      <w:bodyDiv w:val="1"/>
      <w:marLeft w:val="0"/>
      <w:marRight w:val="0"/>
      <w:marTop w:val="0"/>
      <w:marBottom w:val="0"/>
      <w:divBdr>
        <w:top w:val="none" w:sz="0" w:space="0" w:color="auto"/>
        <w:left w:val="none" w:sz="0" w:space="0" w:color="auto"/>
        <w:bottom w:val="none" w:sz="0" w:space="0" w:color="auto"/>
        <w:right w:val="none" w:sz="0" w:space="0" w:color="auto"/>
      </w:divBdr>
    </w:div>
    <w:div w:id="1706558350">
      <w:bodyDiv w:val="1"/>
      <w:marLeft w:val="0"/>
      <w:marRight w:val="0"/>
      <w:marTop w:val="0"/>
      <w:marBottom w:val="0"/>
      <w:divBdr>
        <w:top w:val="none" w:sz="0" w:space="0" w:color="auto"/>
        <w:left w:val="none" w:sz="0" w:space="0" w:color="auto"/>
        <w:bottom w:val="none" w:sz="0" w:space="0" w:color="auto"/>
        <w:right w:val="none" w:sz="0" w:space="0" w:color="auto"/>
      </w:divBdr>
    </w:div>
    <w:div w:id="1719429490">
      <w:bodyDiv w:val="1"/>
      <w:marLeft w:val="0"/>
      <w:marRight w:val="0"/>
      <w:marTop w:val="0"/>
      <w:marBottom w:val="0"/>
      <w:divBdr>
        <w:top w:val="none" w:sz="0" w:space="0" w:color="auto"/>
        <w:left w:val="none" w:sz="0" w:space="0" w:color="auto"/>
        <w:bottom w:val="none" w:sz="0" w:space="0" w:color="auto"/>
        <w:right w:val="none" w:sz="0" w:space="0" w:color="auto"/>
      </w:divBdr>
    </w:div>
    <w:div w:id="1721396443">
      <w:bodyDiv w:val="1"/>
      <w:marLeft w:val="0"/>
      <w:marRight w:val="0"/>
      <w:marTop w:val="0"/>
      <w:marBottom w:val="0"/>
      <w:divBdr>
        <w:top w:val="none" w:sz="0" w:space="0" w:color="auto"/>
        <w:left w:val="none" w:sz="0" w:space="0" w:color="auto"/>
        <w:bottom w:val="none" w:sz="0" w:space="0" w:color="auto"/>
        <w:right w:val="none" w:sz="0" w:space="0" w:color="auto"/>
      </w:divBdr>
    </w:div>
    <w:div w:id="1729306142">
      <w:bodyDiv w:val="1"/>
      <w:marLeft w:val="0"/>
      <w:marRight w:val="0"/>
      <w:marTop w:val="0"/>
      <w:marBottom w:val="0"/>
      <w:divBdr>
        <w:top w:val="none" w:sz="0" w:space="0" w:color="auto"/>
        <w:left w:val="none" w:sz="0" w:space="0" w:color="auto"/>
        <w:bottom w:val="none" w:sz="0" w:space="0" w:color="auto"/>
        <w:right w:val="none" w:sz="0" w:space="0" w:color="auto"/>
      </w:divBdr>
    </w:div>
    <w:div w:id="1729960328">
      <w:bodyDiv w:val="1"/>
      <w:marLeft w:val="0"/>
      <w:marRight w:val="0"/>
      <w:marTop w:val="0"/>
      <w:marBottom w:val="0"/>
      <w:divBdr>
        <w:top w:val="none" w:sz="0" w:space="0" w:color="auto"/>
        <w:left w:val="none" w:sz="0" w:space="0" w:color="auto"/>
        <w:bottom w:val="none" w:sz="0" w:space="0" w:color="auto"/>
        <w:right w:val="none" w:sz="0" w:space="0" w:color="auto"/>
      </w:divBdr>
    </w:div>
    <w:div w:id="1731687710">
      <w:bodyDiv w:val="1"/>
      <w:marLeft w:val="0"/>
      <w:marRight w:val="0"/>
      <w:marTop w:val="0"/>
      <w:marBottom w:val="0"/>
      <w:divBdr>
        <w:top w:val="none" w:sz="0" w:space="0" w:color="auto"/>
        <w:left w:val="none" w:sz="0" w:space="0" w:color="auto"/>
        <w:bottom w:val="none" w:sz="0" w:space="0" w:color="auto"/>
        <w:right w:val="none" w:sz="0" w:space="0" w:color="auto"/>
      </w:divBdr>
    </w:div>
    <w:div w:id="1749840663">
      <w:bodyDiv w:val="1"/>
      <w:marLeft w:val="0"/>
      <w:marRight w:val="0"/>
      <w:marTop w:val="0"/>
      <w:marBottom w:val="0"/>
      <w:divBdr>
        <w:top w:val="none" w:sz="0" w:space="0" w:color="auto"/>
        <w:left w:val="none" w:sz="0" w:space="0" w:color="auto"/>
        <w:bottom w:val="none" w:sz="0" w:space="0" w:color="auto"/>
        <w:right w:val="none" w:sz="0" w:space="0" w:color="auto"/>
      </w:divBdr>
    </w:div>
    <w:div w:id="1772817211">
      <w:bodyDiv w:val="1"/>
      <w:marLeft w:val="0"/>
      <w:marRight w:val="0"/>
      <w:marTop w:val="0"/>
      <w:marBottom w:val="0"/>
      <w:divBdr>
        <w:top w:val="none" w:sz="0" w:space="0" w:color="auto"/>
        <w:left w:val="none" w:sz="0" w:space="0" w:color="auto"/>
        <w:bottom w:val="none" w:sz="0" w:space="0" w:color="auto"/>
        <w:right w:val="none" w:sz="0" w:space="0" w:color="auto"/>
      </w:divBdr>
    </w:div>
    <w:div w:id="1774469360">
      <w:bodyDiv w:val="1"/>
      <w:marLeft w:val="0"/>
      <w:marRight w:val="0"/>
      <w:marTop w:val="0"/>
      <w:marBottom w:val="0"/>
      <w:divBdr>
        <w:top w:val="none" w:sz="0" w:space="0" w:color="auto"/>
        <w:left w:val="none" w:sz="0" w:space="0" w:color="auto"/>
        <w:bottom w:val="none" w:sz="0" w:space="0" w:color="auto"/>
        <w:right w:val="none" w:sz="0" w:space="0" w:color="auto"/>
      </w:divBdr>
    </w:div>
    <w:div w:id="1776166203">
      <w:bodyDiv w:val="1"/>
      <w:marLeft w:val="0"/>
      <w:marRight w:val="0"/>
      <w:marTop w:val="0"/>
      <w:marBottom w:val="0"/>
      <w:divBdr>
        <w:top w:val="none" w:sz="0" w:space="0" w:color="auto"/>
        <w:left w:val="none" w:sz="0" w:space="0" w:color="auto"/>
        <w:bottom w:val="none" w:sz="0" w:space="0" w:color="auto"/>
        <w:right w:val="none" w:sz="0" w:space="0" w:color="auto"/>
      </w:divBdr>
    </w:div>
    <w:div w:id="1780375152">
      <w:bodyDiv w:val="1"/>
      <w:marLeft w:val="0"/>
      <w:marRight w:val="0"/>
      <w:marTop w:val="0"/>
      <w:marBottom w:val="0"/>
      <w:divBdr>
        <w:top w:val="none" w:sz="0" w:space="0" w:color="auto"/>
        <w:left w:val="none" w:sz="0" w:space="0" w:color="auto"/>
        <w:bottom w:val="none" w:sz="0" w:space="0" w:color="auto"/>
        <w:right w:val="none" w:sz="0" w:space="0" w:color="auto"/>
      </w:divBdr>
    </w:div>
    <w:div w:id="1786844557">
      <w:bodyDiv w:val="1"/>
      <w:marLeft w:val="0"/>
      <w:marRight w:val="0"/>
      <w:marTop w:val="0"/>
      <w:marBottom w:val="0"/>
      <w:divBdr>
        <w:top w:val="none" w:sz="0" w:space="0" w:color="auto"/>
        <w:left w:val="none" w:sz="0" w:space="0" w:color="auto"/>
        <w:bottom w:val="none" w:sz="0" w:space="0" w:color="auto"/>
        <w:right w:val="none" w:sz="0" w:space="0" w:color="auto"/>
      </w:divBdr>
    </w:div>
    <w:div w:id="1788354872">
      <w:bodyDiv w:val="1"/>
      <w:marLeft w:val="0"/>
      <w:marRight w:val="0"/>
      <w:marTop w:val="0"/>
      <w:marBottom w:val="0"/>
      <w:divBdr>
        <w:top w:val="none" w:sz="0" w:space="0" w:color="auto"/>
        <w:left w:val="none" w:sz="0" w:space="0" w:color="auto"/>
        <w:bottom w:val="none" w:sz="0" w:space="0" w:color="auto"/>
        <w:right w:val="none" w:sz="0" w:space="0" w:color="auto"/>
      </w:divBdr>
    </w:div>
    <w:div w:id="1799302268">
      <w:bodyDiv w:val="1"/>
      <w:marLeft w:val="0"/>
      <w:marRight w:val="0"/>
      <w:marTop w:val="0"/>
      <w:marBottom w:val="0"/>
      <w:divBdr>
        <w:top w:val="none" w:sz="0" w:space="0" w:color="auto"/>
        <w:left w:val="none" w:sz="0" w:space="0" w:color="auto"/>
        <w:bottom w:val="none" w:sz="0" w:space="0" w:color="auto"/>
        <w:right w:val="none" w:sz="0" w:space="0" w:color="auto"/>
      </w:divBdr>
    </w:div>
    <w:div w:id="1805730608">
      <w:bodyDiv w:val="1"/>
      <w:marLeft w:val="0"/>
      <w:marRight w:val="0"/>
      <w:marTop w:val="0"/>
      <w:marBottom w:val="0"/>
      <w:divBdr>
        <w:top w:val="none" w:sz="0" w:space="0" w:color="auto"/>
        <w:left w:val="none" w:sz="0" w:space="0" w:color="auto"/>
        <w:bottom w:val="none" w:sz="0" w:space="0" w:color="auto"/>
        <w:right w:val="none" w:sz="0" w:space="0" w:color="auto"/>
      </w:divBdr>
    </w:div>
    <w:div w:id="1847551049">
      <w:bodyDiv w:val="1"/>
      <w:marLeft w:val="0"/>
      <w:marRight w:val="0"/>
      <w:marTop w:val="0"/>
      <w:marBottom w:val="0"/>
      <w:divBdr>
        <w:top w:val="none" w:sz="0" w:space="0" w:color="auto"/>
        <w:left w:val="none" w:sz="0" w:space="0" w:color="auto"/>
        <w:bottom w:val="none" w:sz="0" w:space="0" w:color="auto"/>
        <w:right w:val="none" w:sz="0" w:space="0" w:color="auto"/>
      </w:divBdr>
    </w:div>
    <w:div w:id="1848866080">
      <w:bodyDiv w:val="1"/>
      <w:marLeft w:val="0"/>
      <w:marRight w:val="0"/>
      <w:marTop w:val="0"/>
      <w:marBottom w:val="0"/>
      <w:divBdr>
        <w:top w:val="none" w:sz="0" w:space="0" w:color="auto"/>
        <w:left w:val="none" w:sz="0" w:space="0" w:color="auto"/>
        <w:bottom w:val="none" w:sz="0" w:space="0" w:color="auto"/>
        <w:right w:val="none" w:sz="0" w:space="0" w:color="auto"/>
      </w:divBdr>
    </w:div>
    <w:div w:id="1858539462">
      <w:bodyDiv w:val="1"/>
      <w:marLeft w:val="0"/>
      <w:marRight w:val="0"/>
      <w:marTop w:val="0"/>
      <w:marBottom w:val="0"/>
      <w:divBdr>
        <w:top w:val="none" w:sz="0" w:space="0" w:color="auto"/>
        <w:left w:val="none" w:sz="0" w:space="0" w:color="auto"/>
        <w:bottom w:val="none" w:sz="0" w:space="0" w:color="auto"/>
        <w:right w:val="none" w:sz="0" w:space="0" w:color="auto"/>
      </w:divBdr>
    </w:div>
    <w:div w:id="1858735009">
      <w:bodyDiv w:val="1"/>
      <w:marLeft w:val="0"/>
      <w:marRight w:val="0"/>
      <w:marTop w:val="0"/>
      <w:marBottom w:val="0"/>
      <w:divBdr>
        <w:top w:val="none" w:sz="0" w:space="0" w:color="auto"/>
        <w:left w:val="none" w:sz="0" w:space="0" w:color="auto"/>
        <w:bottom w:val="none" w:sz="0" w:space="0" w:color="auto"/>
        <w:right w:val="none" w:sz="0" w:space="0" w:color="auto"/>
      </w:divBdr>
    </w:div>
    <w:div w:id="1867063931">
      <w:bodyDiv w:val="1"/>
      <w:marLeft w:val="0"/>
      <w:marRight w:val="0"/>
      <w:marTop w:val="0"/>
      <w:marBottom w:val="0"/>
      <w:divBdr>
        <w:top w:val="none" w:sz="0" w:space="0" w:color="auto"/>
        <w:left w:val="none" w:sz="0" w:space="0" w:color="auto"/>
        <w:bottom w:val="none" w:sz="0" w:space="0" w:color="auto"/>
        <w:right w:val="none" w:sz="0" w:space="0" w:color="auto"/>
      </w:divBdr>
    </w:div>
    <w:div w:id="1897859309">
      <w:bodyDiv w:val="1"/>
      <w:marLeft w:val="0"/>
      <w:marRight w:val="0"/>
      <w:marTop w:val="0"/>
      <w:marBottom w:val="0"/>
      <w:divBdr>
        <w:top w:val="none" w:sz="0" w:space="0" w:color="auto"/>
        <w:left w:val="none" w:sz="0" w:space="0" w:color="auto"/>
        <w:bottom w:val="none" w:sz="0" w:space="0" w:color="auto"/>
        <w:right w:val="none" w:sz="0" w:space="0" w:color="auto"/>
      </w:divBdr>
    </w:div>
    <w:div w:id="1899975963">
      <w:bodyDiv w:val="1"/>
      <w:marLeft w:val="0"/>
      <w:marRight w:val="0"/>
      <w:marTop w:val="0"/>
      <w:marBottom w:val="0"/>
      <w:divBdr>
        <w:top w:val="none" w:sz="0" w:space="0" w:color="auto"/>
        <w:left w:val="none" w:sz="0" w:space="0" w:color="auto"/>
        <w:bottom w:val="none" w:sz="0" w:space="0" w:color="auto"/>
        <w:right w:val="none" w:sz="0" w:space="0" w:color="auto"/>
      </w:divBdr>
    </w:div>
    <w:div w:id="1907913916">
      <w:bodyDiv w:val="1"/>
      <w:marLeft w:val="0"/>
      <w:marRight w:val="0"/>
      <w:marTop w:val="0"/>
      <w:marBottom w:val="0"/>
      <w:divBdr>
        <w:top w:val="none" w:sz="0" w:space="0" w:color="auto"/>
        <w:left w:val="none" w:sz="0" w:space="0" w:color="auto"/>
        <w:bottom w:val="none" w:sz="0" w:space="0" w:color="auto"/>
        <w:right w:val="none" w:sz="0" w:space="0" w:color="auto"/>
      </w:divBdr>
    </w:div>
    <w:div w:id="1917283187">
      <w:bodyDiv w:val="1"/>
      <w:marLeft w:val="0"/>
      <w:marRight w:val="0"/>
      <w:marTop w:val="0"/>
      <w:marBottom w:val="0"/>
      <w:divBdr>
        <w:top w:val="none" w:sz="0" w:space="0" w:color="auto"/>
        <w:left w:val="none" w:sz="0" w:space="0" w:color="auto"/>
        <w:bottom w:val="none" w:sz="0" w:space="0" w:color="auto"/>
        <w:right w:val="none" w:sz="0" w:space="0" w:color="auto"/>
      </w:divBdr>
    </w:div>
    <w:div w:id="1923486204">
      <w:bodyDiv w:val="1"/>
      <w:marLeft w:val="0"/>
      <w:marRight w:val="0"/>
      <w:marTop w:val="0"/>
      <w:marBottom w:val="0"/>
      <w:divBdr>
        <w:top w:val="none" w:sz="0" w:space="0" w:color="auto"/>
        <w:left w:val="none" w:sz="0" w:space="0" w:color="auto"/>
        <w:bottom w:val="none" w:sz="0" w:space="0" w:color="auto"/>
        <w:right w:val="none" w:sz="0" w:space="0" w:color="auto"/>
      </w:divBdr>
    </w:div>
    <w:div w:id="1924531806">
      <w:bodyDiv w:val="1"/>
      <w:marLeft w:val="0"/>
      <w:marRight w:val="0"/>
      <w:marTop w:val="0"/>
      <w:marBottom w:val="0"/>
      <w:divBdr>
        <w:top w:val="none" w:sz="0" w:space="0" w:color="auto"/>
        <w:left w:val="none" w:sz="0" w:space="0" w:color="auto"/>
        <w:bottom w:val="none" w:sz="0" w:space="0" w:color="auto"/>
        <w:right w:val="none" w:sz="0" w:space="0" w:color="auto"/>
      </w:divBdr>
    </w:div>
    <w:div w:id="1939831728">
      <w:bodyDiv w:val="1"/>
      <w:marLeft w:val="0"/>
      <w:marRight w:val="0"/>
      <w:marTop w:val="0"/>
      <w:marBottom w:val="0"/>
      <w:divBdr>
        <w:top w:val="none" w:sz="0" w:space="0" w:color="auto"/>
        <w:left w:val="none" w:sz="0" w:space="0" w:color="auto"/>
        <w:bottom w:val="none" w:sz="0" w:space="0" w:color="auto"/>
        <w:right w:val="none" w:sz="0" w:space="0" w:color="auto"/>
      </w:divBdr>
    </w:div>
    <w:div w:id="1962878618">
      <w:bodyDiv w:val="1"/>
      <w:marLeft w:val="0"/>
      <w:marRight w:val="0"/>
      <w:marTop w:val="0"/>
      <w:marBottom w:val="0"/>
      <w:divBdr>
        <w:top w:val="none" w:sz="0" w:space="0" w:color="auto"/>
        <w:left w:val="none" w:sz="0" w:space="0" w:color="auto"/>
        <w:bottom w:val="none" w:sz="0" w:space="0" w:color="auto"/>
        <w:right w:val="none" w:sz="0" w:space="0" w:color="auto"/>
      </w:divBdr>
    </w:div>
    <w:div w:id="1970473407">
      <w:bodyDiv w:val="1"/>
      <w:marLeft w:val="0"/>
      <w:marRight w:val="0"/>
      <w:marTop w:val="0"/>
      <w:marBottom w:val="0"/>
      <w:divBdr>
        <w:top w:val="none" w:sz="0" w:space="0" w:color="auto"/>
        <w:left w:val="none" w:sz="0" w:space="0" w:color="auto"/>
        <w:bottom w:val="none" w:sz="0" w:space="0" w:color="auto"/>
        <w:right w:val="none" w:sz="0" w:space="0" w:color="auto"/>
      </w:divBdr>
    </w:div>
    <w:div w:id="1974169865">
      <w:bodyDiv w:val="1"/>
      <w:marLeft w:val="0"/>
      <w:marRight w:val="0"/>
      <w:marTop w:val="0"/>
      <w:marBottom w:val="0"/>
      <w:divBdr>
        <w:top w:val="none" w:sz="0" w:space="0" w:color="auto"/>
        <w:left w:val="none" w:sz="0" w:space="0" w:color="auto"/>
        <w:bottom w:val="none" w:sz="0" w:space="0" w:color="auto"/>
        <w:right w:val="none" w:sz="0" w:space="0" w:color="auto"/>
      </w:divBdr>
    </w:div>
    <w:div w:id="1982073608">
      <w:bodyDiv w:val="1"/>
      <w:marLeft w:val="0"/>
      <w:marRight w:val="0"/>
      <w:marTop w:val="0"/>
      <w:marBottom w:val="0"/>
      <w:divBdr>
        <w:top w:val="none" w:sz="0" w:space="0" w:color="auto"/>
        <w:left w:val="none" w:sz="0" w:space="0" w:color="auto"/>
        <w:bottom w:val="none" w:sz="0" w:space="0" w:color="auto"/>
        <w:right w:val="none" w:sz="0" w:space="0" w:color="auto"/>
      </w:divBdr>
    </w:div>
    <w:div w:id="2015959024">
      <w:bodyDiv w:val="1"/>
      <w:marLeft w:val="0"/>
      <w:marRight w:val="0"/>
      <w:marTop w:val="0"/>
      <w:marBottom w:val="0"/>
      <w:divBdr>
        <w:top w:val="none" w:sz="0" w:space="0" w:color="auto"/>
        <w:left w:val="none" w:sz="0" w:space="0" w:color="auto"/>
        <w:bottom w:val="none" w:sz="0" w:space="0" w:color="auto"/>
        <w:right w:val="none" w:sz="0" w:space="0" w:color="auto"/>
      </w:divBdr>
    </w:div>
    <w:div w:id="2026127980">
      <w:bodyDiv w:val="1"/>
      <w:marLeft w:val="0"/>
      <w:marRight w:val="0"/>
      <w:marTop w:val="0"/>
      <w:marBottom w:val="0"/>
      <w:divBdr>
        <w:top w:val="none" w:sz="0" w:space="0" w:color="auto"/>
        <w:left w:val="none" w:sz="0" w:space="0" w:color="auto"/>
        <w:bottom w:val="none" w:sz="0" w:space="0" w:color="auto"/>
        <w:right w:val="none" w:sz="0" w:space="0" w:color="auto"/>
      </w:divBdr>
    </w:div>
    <w:div w:id="2037390686">
      <w:bodyDiv w:val="1"/>
      <w:marLeft w:val="0"/>
      <w:marRight w:val="0"/>
      <w:marTop w:val="0"/>
      <w:marBottom w:val="0"/>
      <w:divBdr>
        <w:top w:val="none" w:sz="0" w:space="0" w:color="auto"/>
        <w:left w:val="none" w:sz="0" w:space="0" w:color="auto"/>
        <w:bottom w:val="none" w:sz="0" w:space="0" w:color="auto"/>
        <w:right w:val="none" w:sz="0" w:space="0" w:color="auto"/>
      </w:divBdr>
    </w:div>
    <w:div w:id="2038003661">
      <w:bodyDiv w:val="1"/>
      <w:marLeft w:val="0"/>
      <w:marRight w:val="0"/>
      <w:marTop w:val="0"/>
      <w:marBottom w:val="0"/>
      <w:divBdr>
        <w:top w:val="none" w:sz="0" w:space="0" w:color="auto"/>
        <w:left w:val="none" w:sz="0" w:space="0" w:color="auto"/>
        <w:bottom w:val="none" w:sz="0" w:space="0" w:color="auto"/>
        <w:right w:val="none" w:sz="0" w:space="0" w:color="auto"/>
      </w:divBdr>
    </w:div>
    <w:div w:id="2040742390">
      <w:bodyDiv w:val="1"/>
      <w:marLeft w:val="0"/>
      <w:marRight w:val="0"/>
      <w:marTop w:val="0"/>
      <w:marBottom w:val="0"/>
      <w:divBdr>
        <w:top w:val="none" w:sz="0" w:space="0" w:color="auto"/>
        <w:left w:val="none" w:sz="0" w:space="0" w:color="auto"/>
        <w:bottom w:val="none" w:sz="0" w:space="0" w:color="auto"/>
        <w:right w:val="none" w:sz="0" w:space="0" w:color="auto"/>
      </w:divBdr>
    </w:div>
    <w:div w:id="2045859586">
      <w:bodyDiv w:val="1"/>
      <w:marLeft w:val="0"/>
      <w:marRight w:val="0"/>
      <w:marTop w:val="0"/>
      <w:marBottom w:val="0"/>
      <w:divBdr>
        <w:top w:val="none" w:sz="0" w:space="0" w:color="auto"/>
        <w:left w:val="none" w:sz="0" w:space="0" w:color="auto"/>
        <w:bottom w:val="none" w:sz="0" w:space="0" w:color="auto"/>
        <w:right w:val="none" w:sz="0" w:space="0" w:color="auto"/>
      </w:divBdr>
    </w:div>
    <w:div w:id="2048944576">
      <w:bodyDiv w:val="1"/>
      <w:marLeft w:val="0"/>
      <w:marRight w:val="0"/>
      <w:marTop w:val="0"/>
      <w:marBottom w:val="0"/>
      <w:divBdr>
        <w:top w:val="none" w:sz="0" w:space="0" w:color="auto"/>
        <w:left w:val="none" w:sz="0" w:space="0" w:color="auto"/>
        <w:bottom w:val="none" w:sz="0" w:space="0" w:color="auto"/>
        <w:right w:val="none" w:sz="0" w:space="0" w:color="auto"/>
      </w:divBdr>
    </w:div>
    <w:div w:id="2049068131">
      <w:bodyDiv w:val="1"/>
      <w:marLeft w:val="0"/>
      <w:marRight w:val="0"/>
      <w:marTop w:val="0"/>
      <w:marBottom w:val="0"/>
      <w:divBdr>
        <w:top w:val="none" w:sz="0" w:space="0" w:color="auto"/>
        <w:left w:val="none" w:sz="0" w:space="0" w:color="auto"/>
        <w:bottom w:val="none" w:sz="0" w:space="0" w:color="auto"/>
        <w:right w:val="none" w:sz="0" w:space="0" w:color="auto"/>
      </w:divBdr>
    </w:div>
    <w:div w:id="2051372150">
      <w:bodyDiv w:val="1"/>
      <w:marLeft w:val="0"/>
      <w:marRight w:val="0"/>
      <w:marTop w:val="0"/>
      <w:marBottom w:val="0"/>
      <w:divBdr>
        <w:top w:val="none" w:sz="0" w:space="0" w:color="auto"/>
        <w:left w:val="none" w:sz="0" w:space="0" w:color="auto"/>
        <w:bottom w:val="none" w:sz="0" w:space="0" w:color="auto"/>
        <w:right w:val="none" w:sz="0" w:space="0" w:color="auto"/>
      </w:divBdr>
    </w:div>
    <w:div w:id="2051567510">
      <w:bodyDiv w:val="1"/>
      <w:marLeft w:val="0"/>
      <w:marRight w:val="0"/>
      <w:marTop w:val="0"/>
      <w:marBottom w:val="0"/>
      <w:divBdr>
        <w:top w:val="none" w:sz="0" w:space="0" w:color="auto"/>
        <w:left w:val="none" w:sz="0" w:space="0" w:color="auto"/>
        <w:bottom w:val="none" w:sz="0" w:space="0" w:color="auto"/>
        <w:right w:val="none" w:sz="0" w:space="0" w:color="auto"/>
      </w:divBdr>
    </w:div>
    <w:div w:id="2059283827">
      <w:bodyDiv w:val="1"/>
      <w:marLeft w:val="0"/>
      <w:marRight w:val="0"/>
      <w:marTop w:val="0"/>
      <w:marBottom w:val="0"/>
      <w:divBdr>
        <w:top w:val="none" w:sz="0" w:space="0" w:color="auto"/>
        <w:left w:val="none" w:sz="0" w:space="0" w:color="auto"/>
        <w:bottom w:val="none" w:sz="0" w:space="0" w:color="auto"/>
        <w:right w:val="none" w:sz="0" w:space="0" w:color="auto"/>
      </w:divBdr>
    </w:div>
    <w:div w:id="2059746082">
      <w:bodyDiv w:val="1"/>
      <w:marLeft w:val="0"/>
      <w:marRight w:val="0"/>
      <w:marTop w:val="0"/>
      <w:marBottom w:val="0"/>
      <w:divBdr>
        <w:top w:val="none" w:sz="0" w:space="0" w:color="auto"/>
        <w:left w:val="none" w:sz="0" w:space="0" w:color="auto"/>
        <w:bottom w:val="none" w:sz="0" w:space="0" w:color="auto"/>
        <w:right w:val="none" w:sz="0" w:space="0" w:color="auto"/>
      </w:divBdr>
    </w:div>
    <w:div w:id="2062704489">
      <w:bodyDiv w:val="1"/>
      <w:marLeft w:val="0"/>
      <w:marRight w:val="0"/>
      <w:marTop w:val="0"/>
      <w:marBottom w:val="0"/>
      <w:divBdr>
        <w:top w:val="none" w:sz="0" w:space="0" w:color="auto"/>
        <w:left w:val="none" w:sz="0" w:space="0" w:color="auto"/>
        <w:bottom w:val="none" w:sz="0" w:space="0" w:color="auto"/>
        <w:right w:val="none" w:sz="0" w:space="0" w:color="auto"/>
      </w:divBdr>
    </w:div>
    <w:div w:id="2070492237">
      <w:bodyDiv w:val="1"/>
      <w:marLeft w:val="0"/>
      <w:marRight w:val="0"/>
      <w:marTop w:val="0"/>
      <w:marBottom w:val="0"/>
      <w:divBdr>
        <w:top w:val="none" w:sz="0" w:space="0" w:color="auto"/>
        <w:left w:val="none" w:sz="0" w:space="0" w:color="auto"/>
        <w:bottom w:val="none" w:sz="0" w:space="0" w:color="auto"/>
        <w:right w:val="none" w:sz="0" w:space="0" w:color="auto"/>
      </w:divBdr>
    </w:div>
    <w:div w:id="2077511000">
      <w:bodyDiv w:val="1"/>
      <w:marLeft w:val="0"/>
      <w:marRight w:val="0"/>
      <w:marTop w:val="0"/>
      <w:marBottom w:val="0"/>
      <w:divBdr>
        <w:top w:val="none" w:sz="0" w:space="0" w:color="auto"/>
        <w:left w:val="none" w:sz="0" w:space="0" w:color="auto"/>
        <w:bottom w:val="none" w:sz="0" w:space="0" w:color="auto"/>
        <w:right w:val="none" w:sz="0" w:space="0" w:color="auto"/>
      </w:divBdr>
    </w:div>
    <w:div w:id="2091148683">
      <w:bodyDiv w:val="1"/>
      <w:marLeft w:val="0"/>
      <w:marRight w:val="0"/>
      <w:marTop w:val="0"/>
      <w:marBottom w:val="0"/>
      <w:divBdr>
        <w:top w:val="none" w:sz="0" w:space="0" w:color="auto"/>
        <w:left w:val="none" w:sz="0" w:space="0" w:color="auto"/>
        <w:bottom w:val="none" w:sz="0" w:space="0" w:color="auto"/>
        <w:right w:val="none" w:sz="0" w:space="0" w:color="auto"/>
      </w:divBdr>
    </w:div>
    <w:div w:id="2092005014">
      <w:bodyDiv w:val="1"/>
      <w:marLeft w:val="0"/>
      <w:marRight w:val="0"/>
      <w:marTop w:val="0"/>
      <w:marBottom w:val="0"/>
      <w:divBdr>
        <w:top w:val="none" w:sz="0" w:space="0" w:color="auto"/>
        <w:left w:val="none" w:sz="0" w:space="0" w:color="auto"/>
        <w:bottom w:val="none" w:sz="0" w:space="0" w:color="auto"/>
        <w:right w:val="none" w:sz="0" w:space="0" w:color="auto"/>
      </w:divBdr>
    </w:div>
    <w:div w:id="2092388610">
      <w:bodyDiv w:val="1"/>
      <w:marLeft w:val="0"/>
      <w:marRight w:val="0"/>
      <w:marTop w:val="0"/>
      <w:marBottom w:val="0"/>
      <w:divBdr>
        <w:top w:val="none" w:sz="0" w:space="0" w:color="auto"/>
        <w:left w:val="none" w:sz="0" w:space="0" w:color="auto"/>
        <w:bottom w:val="none" w:sz="0" w:space="0" w:color="auto"/>
        <w:right w:val="none" w:sz="0" w:space="0" w:color="auto"/>
      </w:divBdr>
    </w:div>
    <w:div w:id="2092502957">
      <w:bodyDiv w:val="1"/>
      <w:marLeft w:val="0"/>
      <w:marRight w:val="0"/>
      <w:marTop w:val="0"/>
      <w:marBottom w:val="0"/>
      <w:divBdr>
        <w:top w:val="none" w:sz="0" w:space="0" w:color="auto"/>
        <w:left w:val="none" w:sz="0" w:space="0" w:color="auto"/>
        <w:bottom w:val="none" w:sz="0" w:space="0" w:color="auto"/>
        <w:right w:val="none" w:sz="0" w:space="0" w:color="auto"/>
      </w:divBdr>
    </w:div>
    <w:div w:id="2092967107">
      <w:bodyDiv w:val="1"/>
      <w:marLeft w:val="0"/>
      <w:marRight w:val="0"/>
      <w:marTop w:val="0"/>
      <w:marBottom w:val="0"/>
      <w:divBdr>
        <w:top w:val="none" w:sz="0" w:space="0" w:color="auto"/>
        <w:left w:val="none" w:sz="0" w:space="0" w:color="auto"/>
        <w:bottom w:val="none" w:sz="0" w:space="0" w:color="auto"/>
        <w:right w:val="none" w:sz="0" w:space="0" w:color="auto"/>
      </w:divBdr>
    </w:div>
    <w:div w:id="2111897961">
      <w:bodyDiv w:val="1"/>
      <w:marLeft w:val="0"/>
      <w:marRight w:val="0"/>
      <w:marTop w:val="0"/>
      <w:marBottom w:val="0"/>
      <w:divBdr>
        <w:top w:val="none" w:sz="0" w:space="0" w:color="auto"/>
        <w:left w:val="none" w:sz="0" w:space="0" w:color="auto"/>
        <w:bottom w:val="none" w:sz="0" w:space="0" w:color="auto"/>
        <w:right w:val="none" w:sz="0" w:space="0" w:color="auto"/>
      </w:divBdr>
    </w:div>
    <w:div w:id="2114087228">
      <w:bodyDiv w:val="1"/>
      <w:marLeft w:val="0"/>
      <w:marRight w:val="0"/>
      <w:marTop w:val="0"/>
      <w:marBottom w:val="0"/>
      <w:divBdr>
        <w:top w:val="none" w:sz="0" w:space="0" w:color="auto"/>
        <w:left w:val="none" w:sz="0" w:space="0" w:color="auto"/>
        <w:bottom w:val="none" w:sz="0" w:space="0" w:color="auto"/>
        <w:right w:val="none" w:sz="0" w:space="0" w:color="auto"/>
      </w:divBdr>
    </w:div>
    <w:div w:id="2142724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D155C-5D04-402B-AE27-79DEE3F7F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15</Pages>
  <Words>3454</Words>
  <Characters>19692</Characters>
  <Application>Microsoft Office Word</Application>
  <DocSecurity>0</DocSecurity>
  <Lines>164</Lines>
  <Paragraphs>46</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Sithichock</dc:creator>
  <cp:lastModifiedBy>Vayroj Laophokhin</cp:lastModifiedBy>
  <cp:revision>6</cp:revision>
  <dcterms:created xsi:type="dcterms:W3CDTF">2024-08-10T08:57:00Z</dcterms:created>
  <dcterms:modified xsi:type="dcterms:W3CDTF">2024-08-10T09:22:00Z</dcterms:modified>
</cp:coreProperties>
</file>