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196F" w14:textId="77777777" w:rsidR="002F0162" w:rsidRPr="000A1286" w:rsidRDefault="002F0162" w:rsidP="002F0162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2BA49A02" w14:textId="77777777" w:rsidR="002F0162" w:rsidRDefault="002F0162" w:rsidP="002F0162">
      <w:pPr>
        <w:pStyle w:val="HEADING1SMPC"/>
      </w:pPr>
      <w:r w:rsidRPr="008F5678">
        <w:t>NAME OF THE MEDICINAL PRODUCT</w:t>
      </w:r>
    </w:p>
    <w:p w14:paraId="64B4FAAB" w14:textId="235E34B8" w:rsidR="002F0162" w:rsidRPr="00A4294B" w:rsidRDefault="002F0162" w:rsidP="002F0162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2F0162">
        <w:rPr>
          <w:rFonts w:ascii="Times New Roman" w:hAnsi="Times New Roman" w:cs="Times New Roman"/>
          <w:color w:val="FF0000"/>
          <w:sz w:val="28"/>
        </w:rPr>
        <w:t>&lt;Trade Name&gt; &lt;Strength&gt;</w:t>
      </w:r>
      <w:r w:rsidR="00943D0E">
        <w:rPr>
          <w:rFonts w:ascii="Times New Roman" w:hAnsi="Times New Roman" w:cs="Times New Roman"/>
          <w:color w:val="FF0000"/>
          <w:sz w:val="28"/>
        </w:rPr>
        <w:t xml:space="preserve"> </w:t>
      </w:r>
      <w:r w:rsidR="00943D0E">
        <w:rPr>
          <w:rFonts w:ascii="Times New Roman" w:hAnsi="Times New Roman" w:cs="Times New Roman"/>
          <w:sz w:val="28"/>
        </w:rPr>
        <w:t>e</w:t>
      </w:r>
      <w:r w:rsidRPr="002F0162">
        <w:rPr>
          <w:rFonts w:ascii="Times New Roman" w:hAnsi="Times New Roman" w:cs="Times New Roman"/>
          <w:sz w:val="28"/>
        </w:rPr>
        <w:t>mulsion BP</w:t>
      </w:r>
    </w:p>
    <w:p w14:paraId="0E0157F4" w14:textId="77777777" w:rsidR="002F0162" w:rsidRDefault="002F0162" w:rsidP="002F0162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1A92B2BB" w14:textId="10CF9996" w:rsidR="002F0162" w:rsidRDefault="002F0162" w:rsidP="002F0162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2F0162">
        <w:rPr>
          <w:rFonts w:ascii="Times New Roman" w:hAnsi="Times New Roman" w:cs="Times New Roman"/>
          <w:sz w:val="28"/>
        </w:rPr>
        <w:t xml:space="preserve">Liquid </w:t>
      </w:r>
      <w:r w:rsidR="00943D0E">
        <w:rPr>
          <w:rFonts w:ascii="Times New Roman" w:hAnsi="Times New Roman" w:cs="Times New Roman"/>
          <w:sz w:val="28"/>
        </w:rPr>
        <w:t>p</w:t>
      </w:r>
      <w:r w:rsidRPr="002F0162">
        <w:rPr>
          <w:rFonts w:ascii="Times New Roman" w:hAnsi="Times New Roman" w:cs="Times New Roman"/>
          <w:sz w:val="28"/>
        </w:rPr>
        <w:t>araffin BP 25% v/v</w:t>
      </w:r>
    </w:p>
    <w:p w14:paraId="2D416795" w14:textId="4C428549" w:rsidR="002F0162" w:rsidRDefault="002F0162" w:rsidP="002F0162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2F0162">
        <w:rPr>
          <w:rFonts w:ascii="Times New Roman" w:hAnsi="Times New Roman" w:cs="Times New Roman"/>
          <w:sz w:val="28"/>
        </w:rPr>
        <w:t xml:space="preserve">Magnesium </w:t>
      </w:r>
      <w:r w:rsidR="00943D0E">
        <w:rPr>
          <w:rFonts w:ascii="Times New Roman" w:hAnsi="Times New Roman" w:cs="Times New Roman"/>
          <w:sz w:val="28"/>
        </w:rPr>
        <w:t>h</w:t>
      </w:r>
      <w:r w:rsidRPr="002F0162">
        <w:rPr>
          <w:rFonts w:ascii="Times New Roman" w:hAnsi="Times New Roman" w:cs="Times New Roman"/>
          <w:sz w:val="28"/>
        </w:rPr>
        <w:t>ydroxide 6%</w:t>
      </w:r>
      <w:r>
        <w:rPr>
          <w:rFonts w:ascii="Times New Roman" w:hAnsi="Times New Roman" w:cs="Times New Roman"/>
          <w:sz w:val="28"/>
        </w:rPr>
        <w:t xml:space="preserve"> </w:t>
      </w:r>
      <w:r w:rsidRPr="002F0162">
        <w:rPr>
          <w:rFonts w:ascii="Times New Roman" w:hAnsi="Times New Roman" w:cs="Times New Roman"/>
          <w:sz w:val="28"/>
        </w:rPr>
        <w:t>w/w</w:t>
      </w:r>
    </w:p>
    <w:p w14:paraId="3079FD88" w14:textId="650934F4" w:rsidR="002F0162" w:rsidRPr="00943D0E" w:rsidRDefault="002F0162" w:rsidP="002F0162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943D0E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530007D9" w14:textId="77777777" w:rsidR="002F0162" w:rsidRPr="0085460F" w:rsidRDefault="002F0162" w:rsidP="002F0162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339E793" w14:textId="77777777" w:rsidR="002F0162" w:rsidRPr="000A1286" w:rsidRDefault="002F0162" w:rsidP="002F0162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1F75C0C8" w14:textId="77777777" w:rsidR="002F0162" w:rsidRDefault="002F0162" w:rsidP="002F0162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1DFA54BD" w14:textId="56588342" w:rsidR="002F0162" w:rsidRDefault="002F0162" w:rsidP="002F0162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E</w:t>
      </w:r>
      <w:r w:rsidRPr="002F0162">
        <w:rPr>
          <w:rFonts w:ascii="Times New Roman" w:hAnsi="Times New Roman" w:cs="Times New Roman"/>
          <w:sz w:val="28"/>
        </w:rPr>
        <w:t>mulsion</w:t>
      </w:r>
    </w:p>
    <w:p w14:paraId="31486649" w14:textId="7D7C2091" w:rsidR="002F0162" w:rsidRPr="0085460F" w:rsidRDefault="002F0162" w:rsidP="002F0162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188B9CA" w14:textId="77777777" w:rsidR="002F0162" w:rsidRPr="008F5678" w:rsidRDefault="002F0162" w:rsidP="002F0162">
      <w:pPr>
        <w:pStyle w:val="HEADING1SMPC"/>
        <w:rPr>
          <w:szCs w:val="28"/>
        </w:rPr>
      </w:pPr>
      <w:r w:rsidRPr="008F5678">
        <w:t>CLINICAL PARTICULARS</w:t>
      </w:r>
    </w:p>
    <w:p w14:paraId="354C47DC" w14:textId="77777777" w:rsidR="002F0162" w:rsidRDefault="002F0162" w:rsidP="002F0162">
      <w:pPr>
        <w:pStyle w:val="SubHeafingSMPC"/>
        <w:spacing w:before="0"/>
        <w:ind w:left="0" w:firstLine="0"/>
      </w:pPr>
      <w:r w:rsidRPr="007F158B">
        <w:t>Therapeutic indications</w:t>
      </w:r>
    </w:p>
    <w:p w14:paraId="4A6D95B8" w14:textId="22023D2C" w:rsidR="002F0162" w:rsidRPr="00A27C5D" w:rsidRDefault="002F0162" w:rsidP="002F0162">
      <w:pPr>
        <w:pStyle w:val="SubHeafingSMPC"/>
        <w:numPr>
          <w:ilvl w:val="0"/>
          <w:numId w:val="0"/>
        </w:numPr>
        <w:spacing w:before="0"/>
      </w:pPr>
      <w:r>
        <w:tab/>
      </w:r>
      <w:r w:rsidR="00F35A53" w:rsidRPr="00F35A53">
        <w:rPr>
          <w:rFonts w:cstheme="minorBidi"/>
          <w:b w:val="0"/>
          <w:bCs w:val="0"/>
        </w:rPr>
        <w:t>For oral use for the temporary relief of constipation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691582AB" w14:textId="77777777" w:rsidR="002F0162" w:rsidRPr="00E26561" w:rsidRDefault="002F0162" w:rsidP="002F0162">
      <w:pPr>
        <w:pStyle w:val="SubHeafingSMPC"/>
        <w:spacing w:before="0"/>
        <w:ind w:left="57"/>
      </w:pPr>
      <w:r w:rsidRPr="008F5678">
        <w:t>Posology and method of administration</w:t>
      </w:r>
    </w:p>
    <w:p w14:paraId="0419A1B4" w14:textId="77777777" w:rsidR="00F35A53" w:rsidRDefault="002F0162" w:rsidP="00F35A53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rFonts w:cstheme="minorBidi"/>
          <w:cs/>
        </w:rPr>
        <w:tab/>
      </w:r>
      <w:r w:rsidR="00F35A53" w:rsidRPr="00F35A53">
        <w:rPr>
          <w:b w:val="0"/>
          <w:bCs w:val="0"/>
          <w:u w:val="single"/>
        </w:rPr>
        <w:t>For adults over 12 years (including the elderly)</w:t>
      </w:r>
    </w:p>
    <w:p w14:paraId="40A6122A" w14:textId="28F87FEE" w:rsidR="00F35A53" w:rsidRDefault="00F35A53" w:rsidP="00F35A53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F35A53">
        <w:rPr>
          <w:b w:val="0"/>
          <w:bCs w:val="0"/>
        </w:rPr>
        <w:t>5 to 20</w:t>
      </w:r>
      <w:r w:rsidR="00943D0E">
        <w:rPr>
          <w:b w:val="0"/>
          <w:bCs w:val="0"/>
        </w:rPr>
        <w:t xml:space="preserve"> </w:t>
      </w:r>
      <w:r w:rsidRPr="00F35A53">
        <w:rPr>
          <w:b w:val="0"/>
          <w:bCs w:val="0"/>
        </w:rPr>
        <w:t>ml orally as required (maximum daily dose 20</w:t>
      </w:r>
      <w:r w:rsidR="00943D0E">
        <w:rPr>
          <w:b w:val="0"/>
          <w:bCs w:val="0"/>
        </w:rPr>
        <w:t xml:space="preserve"> </w:t>
      </w:r>
      <w:r w:rsidRPr="00F35A53">
        <w:rPr>
          <w:b w:val="0"/>
          <w:bCs w:val="0"/>
        </w:rPr>
        <w:t>ml)</w:t>
      </w:r>
    </w:p>
    <w:p w14:paraId="3174321D" w14:textId="77777777" w:rsidR="00943D0E" w:rsidRPr="00943D0E" w:rsidRDefault="00943D0E" w:rsidP="00F35A53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5BA55809" w14:textId="665D2DFC" w:rsidR="002F0162" w:rsidRDefault="00F35A53" w:rsidP="00F35A53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F35A53">
        <w:rPr>
          <w:b w:val="0"/>
          <w:bCs w:val="0"/>
          <w:u w:val="single"/>
        </w:rPr>
        <w:t>For Children 3-12 years of age</w:t>
      </w:r>
    </w:p>
    <w:p w14:paraId="175BEEEA" w14:textId="6050A4FA" w:rsidR="00F35A53" w:rsidRPr="00F35A53" w:rsidRDefault="00F35A53" w:rsidP="00F35A53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 w:rsidRPr="00F35A53">
        <w:rPr>
          <w:b w:val="0"/>
          <w:bCs w:val="0"/>
        </w:rPr>
        <w:tab/>
        <w:t>5 to 15</w:t>
      </w:r>
      <w:r w:rsidR="00943D0E">
        <w:rPr>
          <w:b w:val="0"/>
          <w:bCs w:val="0"/>
        </w:rPr>
        <w:t xml:space="preserve"> </w:t>
      </w:r>
      <w:r w:rsidRPr="00F35A53">
        <w:rPr>
          <w:b w:val="0"/>
          <w:bCs w:val="0"/>
        </w:rPr>
        <w:t>ml orally as required (maximum daily dose 15</w:t>
      </w:r>
      <w:r w:rsidR="00943D0E">
        <w:rPr>
          <w:b w:val="0"/>
          <w:bCs w:val="0"/>
        </w:rPr>
        <w:t xml:space="preserve"> </w:t>
      </w:r>
      <w:r w:rsidRPr="00F35A53">
        <w:rPr>
          <w:b w:val="0"/>
          <w:bCs w:val="0"/>
        </w:rPr>
        <w:t>ml)</w:t>
      </w:r>
    </w:p>
    <w:p w14:paraId="712F30CD" w14:textId="77777777" w:rsidR="002F0162" w:rsidRDefault="002F0162" w:rsidP="002F0162">
      <w:pPr>
        <w:pStyle w:val="SubHeafingSMPC"/>
        <w:ind w:left="57"/>
      </w:pPr>
      <w:r w:rsidRPr="008F5678">
        <w:t>Contraindications</w:t>
      </w:r>
    </w:p>
    <w:p w14:paraId="1AF43050" w14:textId="77777777" w:rsidR="00A258A8" w:rsidRDefault="002F0162" w:rsidP="00A258A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A258A8" w:rsidRPr="00A258A8">
        <w:rPr>
          <w:b w:val="0"/>
          <w:bCs w:val="0"/>
          <w:lang w:eastAsia="zh-CN"/>
        </w:rPr>
        <w:t>Not recommended for children under 3 years of age.</w:t>
      </w:r>
    </w:p>
    <w:p w14:paraId="7997EEB8" w14:textId="77777777" w:rsidR="00943D0E" w:rsidRPr="00943D0E" w:rsidRDefault="00943D0E" w:rsidP="00A258A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7BA468DD" w14:textId="24EE2D34" w:rsidR="002F0162" w:rsidRPr="004E6B0A" w:rsidRDefault="00A258A8" w:rsidP="00A258A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A258A8">
        <w:rPr>
          <w:b w:val="0"/>
          <w:bCs w:val="0"/>
          <w:lang w:eastAsia="zh-CN"/>
        </w:rPr>
        <w:t>Do not use when intestinal obstruction is suspected</w:t>
      </w:r>
      <w:r w:rsidR="002F0162" w:rsidRPr="004E6B0A">
        <w:rPr>
          <w:b w:val="0"/>
          <w:bCs w:val="0"/>
          <w:lang w:eastAsia="zh-CN"/>
        </w:rPr>
        <w:t>.</w:t>
      </w:r>
    </w:p>
    <w:p w14:paraId="6D57ED4E" w14:textId="77777777" w:rsidR="002F0162" w:rsidRDefault="002F0162" w:rsidP="002F0162">
      <w:pPr>
        <w:pStyle w:val="SubHeafingSMPC"/>
        <w:ind w:left="57"/>
      </w:pPr>
      <w:r w:rsidRPr="008F5678">
        <w:lastRenderedPageBreak/>
        <w:t>Special warnings and precautions for use</w:t>
      </w:r>
    </w:p>
    <w:p w14:paraId="6C4A0DE8" w14:textId="77777777" w:rsidR="00943D0E" w:rsidRDefault="00A258A8" w:rsidP="00943D0E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A258A8">
        <w:rPr>
          <w:rFonts w:cstheme="minorBidi"/>
          <w:b w:val="0"/>
          <w:bCs w:val="0"/>
        </w:rPr>
        <w:t>Avoid prolonged use.</w:t>
      </w:r>
    </w:p>
    <w:p w14:paraId="51E01649" w14:textId="77777777" w:rsidR="00943D0E" w:rsidRDefault="00A258A8" w:rsidP="00943D0E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943D0E">
        <w:rPr>
          <w:rFonts w:cstheme="minorBidi"/>
          <w:b w:val="0"/>
          <w:bCs w:val="0"/>
        </w:rPr>
        <w:t>Caution should be exercised in administering this product to the elderly with possible renal impairment.</w:t>
      </w:r>
    </w:p>
    <w:p w14:paraId="089ACDE6" w14:textId="77777777" w:rsidR="00943D0E" w:rsidRDefault="00A258A8" w:rsidP="00943D0E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943D0E">
        <w:rPr>
          <w:rFonts w:cstheme="minorBidi"/>
          <w:b w:val="0"/>
          <w:bCs w:val="0"/>
        </w:rPr>
        <w:t>Keep out of the sight and reach of children.</w:t>
      </w:r>
    </w:p>
    <w:p w14:paraId="124EFC26" w14:textId="77777777" w:rsidR="00943D0E" w:rsidRDefault="00A258A8" w:rsidP="00943D0E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943D0E">
        <w:rPr>
          <w:rFonts w:cstheme="minorBidi"/>
          <w:b w:val="0"/>
          <w:bCs w:val="0"/>
        </w:rPr>
        <w:t>Store below 25°C</w:t>
      </w:r>
    </w:p>
    <w:p w14:paraId="57DDEA28" w14:textId="36C0822E" w:rsidR="002F0162" w:rsidRPr="00943D0E" w:rsidRDefault="00A258A8" w:rsidP="00943D0E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943D0E">
        <w:rPr>
          <w:rFonts w:cstheme="minorBidi"/>
          <w:b w:val="0"/>
          <w:bCs w:val="0"/>
        </w:rPr>
        <w:t>Do not freeze.</w:t>
      </w:r>
    </w:p>
    <w:p w14:paraId="776CDCB1" w14:textId="77777777" w:rsidR="002F0162" w:rsidRPr="002C2ECF" w:rsidRDefault="002F0162" w:rsidP="002F0162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265B5C2D" w14:textId="6B806E93" w:rsidR="002F0162" w:rsidRPr="006722FC" w:rsidRDefault="002F0162" w:rsidP="002F016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56BD7" w:rsidRPr="00A56BD7">
        <w:rPr>
          <w:b w:val="0"/>
          <w:bCs w:val="0"/>
        </w:rPr>
        <w:t>There may be interference with the absorption of fat soluble vitamins</w:t>
      </w:r>
      <w:r w:rsidRPr="00D31F5A">
        <w:rPr>
          <w:b w:val="0"/>
          <w:bCs w:val="0"/>
        </w:rPr>
        <w:t>.</w:t>
      </w:r>
    </w:p>
    <w:p w14:paraId="19EBF727" w14:textId="77777777" w:rsidR="002F0162" w:rsidRDefault="002F0162" w:rsidP="002F0162">
      <w:pPr>
        <w:pStyle w:val="SubHeafingSMPC"/>
        <w:ind w:left="57"/>
      </w:pPr>
      <w:r w:rsidRPr="008F5678">
        <w:t>Fertility, pregnancy and lactation</w:t>
      </w:r>
    </w:p>
    <w:p w14:paraId="1EF65DB1" w14:textId="3E7AB095" w:rsidR="002F0162" w:rsidRPr="009126B5" w:rsidRDefault="002F0162" w:rsidP="00A56BD7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A56BD7" w:rsidRPr="00A56BD7">
        <w:rPr>
          <w:b w:val="0"/>
          <w:bCs w:val="0"/>
        </w:rPr>
        <w:t>Avoid in early pregnancy or lactation</w:t>
      </w:r>
      <w:r w:rsidRPr="00A56BD7">
        <w:rPr>
          <w:b w:val="0"/>
          <w:bCs w:val="0"/>
        </w:rPr>
        <w:t>.</w:t>
      </w:r>
    </w:p>
    <w:p w14:paraId="6C750FE3" w14:textId="77777777" w:rsidR="002F0162" w:rsidRPr="009126B5" w:rsidRDefault="002F0162" w:rsidP="002F0162">
      <w:pPr>
        <w:pStyle w:val="SubHeafingSMPC"/>
        <w:ind w:left="57"/>
      </w:pPr>
      <w:r w:rsidRPr="008F5678">
        <w:t>Effects on ability to drive and use machines</w:t>
      </w:r>
    </w:p>
    <w:p w14:paraId="61EF6755" w14:textId="06716C18" w:rsidR="002F0162" w:rsidRPr="002D59FE" w:rsidRDefault="002F0162" w:rsidP="002F0162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A56BD7" w:rsidRPr="00A56BD7">
        <w:rPr>
          <w:b w:val="0"/>
          <w:bCs w:val="0"/>
          <w:lang w:eastAsia="zh-CN"/>
        </w:rPr>
        <w:t>Does not affect ability to drive and operate machinery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385C0910" w14:textId="77777777" w:rsidR="002F0162" w:rsidRDefault="002F0162" w:rsidP="002F0162">
      <w:pPr>
        <w:pStyle w:val="SubHeafingSMPC"/>
        <w:ind w:left="57"/>
      </w:pPr>
      <w:r w:rsidRPr="008F5678">
        <w:t>Undesirable effects</w:t>
      </w:r>
    </w:p>
    <w:p w14:paraId="39FB2F69" w14:textId="77777777" w:rsidR="00A56BD7" w:rsidRDefault="002F0162" w:rsidP="002F016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A56BD7" w:rsidRPr="00A56BD7">
        <w:rPr>
          <w:b w:val="0"/>
          <w:bCs w:val="0"/>
        </w:rPr>
        <w:t xml:space="preserve">Anal seepage of paraffin and consequent anal irritation can occur after </w:t>
      </w:r>
      <w:r w:rsidR="00A56BD7">
        <w:rPr>
          <w:b w:val="0"/>
          <w:bCs w:val="0"/>
        </w:rPr>
        <w:tab/>
      </w:r>
      <w:r w:rsidR="00A56BD7" w:rsidRPr="00A56BD7">
        <w:rPr>
          <w:b w:val="0"/>
          <w:bCs w:val="0"/>
        </w:rPr>
        <w:t>prolonged use.</w:t>
      </w:r>
    </w:p>
    <w:p w14:paraId="62BCA755" w14:textId="77777777" w:rsidR="00943D0E" w:rsidRPr="00943D0E" w:rsidRDefault="00943D0E" w:rsidP="002F016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8D42548" w14:textId="77777777" w:rsidR="00A56BD7" w:rsidRDefault="00A56BD7" w:rsidP="002F016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56BD7">
        <w:rPr>
          <w:b w:val="0"/>
          <w:bCs w:val="0"/>
        </w:rPr>
        <w:t xml:space="preserve">Granulomatous reactions caused by absorption of small quantities of </w:t>
      </w:r>
      <w:r>
        <w:rPr>
          <w:b w:val="0"/>
          <w:bCs w:val="0"/>
        </w:rPr>
        <w:tab/>
      </w:r>
      <w:r w:rsidRPr="00A56BD7">
        <w:rPr>
          <w:b w:val="0"/>
          <w:bCs w:val="0"/>
        </w:rPr>
        <w:t>liquid paraffin.</w:t>
      </w:r>
    </w:p>
    <w:p w14:paraId="27193665" w14:textId="77777777" w:rsidR="00943D0E" w:rsidRPr="00943D0E" w:rsidRDefault="00943D0E" w:rsidP="002F016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DD474D8" w14:textId="3E058A80" w:rsidR="002F0162" w:rsidRDefault="00A56BD7" w:rsidP="002F0162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A56BD7">
        <w:rPr>
          <w:b w:val="0"/>
          <w:bCs w:val="0"/>
        </w:rPr>
        <w:t xml:space="preserve">Lipoid pneumonia (by accidental inhalation) may occur and therefore </w:t>
      </w:r>
      <w:r>
        <w:rPr>
          <w:b w:val="0"/>
          <w:bCs w:val="0"/>
        </w:rPr>
        <w:tab/>
      </w:r>
      <w:r w:rsidRPr="00A56BD7">
        <w:rPr>
          <w:b w:val="0"/>
          <w:bCs w:val="0"/>
        </w:rPr>
        <w:t>caution is required in patients with swallowing difficulties.</w:t>
      </w:r>
    </w:p>
    <w:p w14:paraId="1A9347A1" w14:textId="77777777" w:rsidR="002F0162" w:rsidRPr="00091200" w:rsidRDefault="002F0162" w:rsidP="002F0162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1F2FB811" w14:textId="77777777" w:rsidR="002F0162" w:rsidRPr="00091200" w:rsidRDefault="002F0162" w:rsidP="002F0162">
      <w:pPr>
        <w:pStyle w:val="SubHeafingSMPC"/>
        <w:numPr>
          <w:ilvl w:val="0"/>
          <w:numId w:val="0"/>
        </w:numPr>
        <w:jc w:val="thaiDistribute"/>
        <w:rPr>
          <w:u w:val="single"/>
        </w:rPr>
      </w:pPr>
      <w:r>
        <w:tab/>
      </w:r>
      <w:r w:rsidRPr="00091200">
        <w:rPr>
          <w:b w:val="0"/>
          <w:bCs w:val="0"/>
          <w:u w:val="single"/>
        </w:rPr>
        <w:t>Reporting of suspected adverse reactions</w:t>
      </w:r>
    </w:p>
    <w:p w14:paraId="04B53015" w14:textId="3EEB3C80" w:rsidR="002F0162" w:rsidRPr="00CE651D" w:rsidRDefault="002F0162" w:rsidP="00D112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943D0E" w:rsidRPr="00943D0E">
        <w:rPr>
          <w:b w:val="0"/>
          <w:bCs w:val="0"/>
        </w:rPr>
        <w:t xml:space="preserve">Reporting suspected adverse reactions after </w:t>
      </w:r>
      <w:proofErr w:type="spellStart"/>
      <w:r w:rsidR="00943D0E" w:rsidRPr="00943D0E">
        <w:rPr>
          <w:b w:val="0"/>
          <w:bCs w:val="0"/>
        </w:rPr>
        <w:t>authorisation</w:t>
      </w:r>
      <w:proofErr w:type="spellEnd"/>
      <w:r w:rsidR="00943D0E" w:rsidRPr="00943D0E">
        <w:rPr>
          <w:b w:val="0"/>
          <w:bCs w:val="0"/>
        </w:rPr>
        <w:t xml:space="preserve"> of the </w:t>
      </w:r>
      <w:r w:rsidR="00943D0E">
        <w:rPr>
          <w:b w:val="0"/>
          <w:bCs w:val="0"/>
        </w:rPr>
        <w:tab/>
      </w:r>
      <w:r w:rsidR="00943D0E" w:rsidRPr="00943D0E">
        <w:rPr>
          <w:b w:val="0"/>
          <w:bCs w:val="0"/>
        </w:rPr>
        <w:t xml:space="preserve">medicinal product is important. It allows continued monitoring of the </w:t>
      </w:r>
      <w:r w:rsidR="00943D0E">
        <w:rPr>
          <w:b w:val="0"/>
          <w:bCs w:val="0"/>
        </w:rPr>
        <w:tab/>
      </w:r>
      <w:r w:rsidR="00943D0E" w:rsidRPr="00943D0E">
        <w:rPr>
          <w:b w:val="0"/>
          <w:bCs w:val="0"/>
        </w:rPr>
        <w:t xml:space="preserve">benefit/risk balance of the medicinal product. Healthcare professionals </w:t>
      </w:r>
      <w:r w:rsidR="00943D0E">
        <w:rPr>
          <w:b w:val="0"/>
          <w:bCs w:val="0"/>
        </w:rPr>
        <w:tab/>
      </w:r>
      <w:r w:rsidR="00943D0E" w:rsidRPr="00943D0E">
        <w:rPr>
          <w:b w:val="0"/>
          <w:bCs w:val="0"/>
        </w:rPr>
        <w:t xml:space="preserve">are asked to report any suspected adverse reactions via Health Product </w:t>
      </w:r>
      <w:r w:rsidR="00943D0E">
        <w:rPr>
          <w:b w:val="0"/>
          <w:bCs w:val="0"/>
        </w:rPr>
        <w:tab/>
      </w:r>
      <w:r w:rsidR="00943D0E" w:rsidRPr="00943D0E">
        <w:rPr>
          <w:b w:val="0"/>
          <w:bCs w:val="0"/>
        </w:rPr>
        <w:t>Vigilance Center; HPVC Thai FDA</w:t>
      </w:r>
    </w:p>
    <w:p w14:paraId="3602492E" w14:textId="77777777" w:rsidR="002F0162" w:rsidRDefault="002F0162" w:rsidP="002F0162">
      <w:pPr>
        <w:pStyle w:val="SubHeafingSMPC"/>
        <w:ind w:left="0" w:firstLine="0"/>
      </w:pPr>
      <w:r w:rsidRPr="008F5678">
        <w:lastRenderedPageBreak/>
        <w:t>Overdose</w:t>
      </w:r>
    </w:p>
    <w:p w14:paraId="35E31155" w14:textId="3E8C39A3" w:rsidR="002F0162" w:rsidRPr="00FF2F61" w:rsidRDefault="002F0162" w:rsidP="00FF2F6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FF2F61" w:rsidRPr="00FF2F61">
        <w:rPr>
          <w:rFonts w:cstheme="minorBidi"/>
          <w:b w:val="0"/>
          <w:bCs w:val="0"/>
        </w:rPr>
        <w:t>If large quantities are ingested, withdraw medication.</w:t>
      </w:r>
      <w:r w:rsidR="00FF2F61">
        <w:rPr>
          <w:rFonts w:cstheme="minorBidi"/>
          <w:b w:val="0"/>
          <w:bCs w:val="0"/>
        </w:rPr>
        <w:t xml:space="preserve"> </w:t>
      </w:r>
      <w:r w:rsidR="00FF2F61" w:rsidRPr="00FF2F61">
        <w:rPr>
          <w:rFonts w:cstheme="minorBidi"/>
          <w:b w:val="0"/>
          <w:bCs w:val="0"/>
        </w:rPr>
        <w:t xml:space="preserve">Supportive </w:t>
      </w:r>
      <w:r w:rsidR="00FF2F61">
        <w:rPr>
          <w:rFonts w:cstheme="minorBidi"/>
          <w:b w:val="0"/>
          <w:bCs w:val="0"/>
        </w:rPr>
        <w:tab/>
      </w:r>
      <w:r w:rsidR="00FF2F61" w:rsidRPr="00FF2F61">
        <w:rPr>
          <w:rFonts w:cstheme="minorBidi"/>
          <w:b w:val="0"/>
          <w:bCs w:val="0"/>
        </w:rPr>
        <w:t>treatment may be required.</w:t>
      </w:r>
    </w:p>
    <w:p w14:paraId="631CB22F" w14:textId="77777777" w:rsidR="002F0162" w:rsidRPr="008F5678" w:rsidRDefault="002F0162" w:rsidP="002F0162">
      <w:pPr>
        <w:pStyle w:val="HEADING1SMPC"/>
      </w:pPr>
      <w:r w:rsidRPr="008F5678">
        <w:t xml:space="preserve">PHARMACOLOGICAL PROPERTIES </w:t>
      </w:r>
    </w:p>
    <w:p w14:paraId="5EEC99C7" w14:textId="77777777" w:rsidR="002F0162" w:rsidRDefault="002F0162" w:rsidP="002F0162">
      <w:pPr>
        <w:pStyle w:val="SubHeafingSMPC"/>
        <w:ind w:left="57"/>
      </w:pPr>
      <w:r w:rsidRPr="008F5678">
        <w:t>Pharmacodynamic properties</w:t>
      </w:r>
    </w:p>
    <w:p w14:paraId="326D00C3" w14:textId="7483A3C4" w:rsidR="00FF2F61" w:rsidRDefault="002F0162" w:rsidP="00FF2F6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FF2F61" w:rsidRPr="00FF2F61">
        <w:rPr>
          <w:b w:val="0"/>
          <w:bCs w:val="0"/>
        </w:rPr>
        <w:t xml:space="preserve">Liquid </w:t>
      </w:r>
      <w:r w:rsidR="00943D0E">
        <w:rPr>
          <w:b w:val="0"/>
          <w:bCs w:val="0"/>
        </w:rPr>
        <w:t>p</w:t>
      </w:r>
      <w:r w:rsidR="00FF2F61" w:rsidRPr="00FF2F61">
        <w:rPr>
          <w:b w:val="0"/>
          <w:bCs w:val="0"/>
        </w:rPr>
        <w:t xml:space="preserve">araffin, taken internally, acts as a lubricant and is widely used to </w:t>
      </w:r>
      <w:r w:rsidR="00FF2F61">
        <w:rPr>
          <w:b w:val="0"/>
          <w:bCs w:val="0"/>
        </w:rPr>
        <w:tab/>
      </w:r>
      <w:r w:rsidR="00FF2F61" w:rsidRPr="00FF2F61">
        <w:rPr>
          <w:b w:val="0"/>
          <w:bCs w:val="0"/>
        </w:rPr>
        <w:t>alleviate constipation.</w:t>
      </w:r>
    </w:p>
    <w:p w14:paraId="09F4016C" w14:textId="77777777" w:rsidR="00943D0E" w:rsidRPr="00943D0E" w:rsidRDefault="00943D0E" w:rsidP="00FF2F61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5DF37F" w14:textId="0A896E53" w:rsidR="002F0162" w:rsidRPr="00FF2F61" w:rsidRDefault="00FF2F61" w:rsidP="00FF2F6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F2F61">
        <w:rPr>
          <w:b w:val="0"/>
          <w:bCs w:val="0"/>
        </w:rPr>
        <w:t xml:space="preserve">Magnesium </w:t>
      </w:r>
      <w:r w:rsidR="00943D0E">
        <w:rPr>
          <w:b w:val="0"/>
          <w:bCs w:val="0"/>
        </w:rPr>
        <w:t>h</w:t>
      </w:r>
      <w:r w:rsidRPr="00FF2F61">
        <w:rPr>
          <w:b w:val="0"/>
          <w:bCs w:val="0"/>
        </w:rPr>
        <w:t xml:space="preserve">ydroxide has antacid properties </w:t>
      </w:r>
      <w:proofErr w:type="gramStart"/>
      <w:r w:rsidRPr="00FF2F61">
        <w:rPr>
          <w:b w:val="0"/>
          <w:bCs w:val="0"/>
        </w:rPr>
        <w:t>and also</w:t>
      </w:r>
      <w:proofErr w:type="gramEnd"/>
      <w:r w:rsidRPr="00FF2F61">
        <w:rPr>
          <w:b w:val="0"/>
          <w:bCs w:val="0"/>
        </w:rPr>
        <w:t xml:space="preserve"> acts as a mild </w:t>
      </w:r>
      <w:r>
        <w:rPr>
          <w:b w:val="0"/>
          <w:bCs w:val="0"/>
        </w:rPr>
        <w:tab/>
      </w:r>
      <w:r w:rsidRPr="00FF2F61">
        <w:rPr>
          <w:b w:val="0"/>
          <w:bCs w:val="0"/>
        </w:rPr>
        <w:t>saline laxative</w:t>
      </w:r>
      <w:r w:rsidR="002F0162" w:rsidRPr="00FF2F61">
        <w:rPr>
          <w:b w:val="0"/>
          <w:bCs w:val="0"/>
        </w:rPr>
        <w:t>.</w:t>
      </w:r>
    </w:p>
    <w:p w14:paraId="16530E74" w14:textId="77777777" w:rsidR="002F0162" w:rsidRDefault="002F0162" w:rsidP="002F0162">
      <w:pPr>
        <w:pStyle w:val="SubHeafingSMPC"/>
        <w:ind w:left="57"/>
      </w:pPr>
      <w:r w:rsidRPr="008F5678">
        <w:t>Pharmacokinetic properties</w:t>
      </w:r>
    </w:p>
    <w:p w14:paraId="3A6D71FC" w14:textId="53517F17" w:rsidR="002F0162" w:rsidRPr="00FF2F61" w:rsidRDefault="002F0162" w:rsidP="00FF2F61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FF2F61" w:rsidRPr="00FF2F61">
        <w:rPr>
          <w:b w:val="0"/>
          <w:bCs w:val="0"/>
        </w:rPr>
        <w:t xml:space="preserve">There is some evidence that </w:t>
      </w:r>
      <w:r w:rsidR="00943D0E">
        <w:rPr>
          <w:b w:val="0"/>
          <w:bCs w:val="0"/>
        </w:rPr>
        <w:t>m</w:t>
      </w:r>
      <w:r w:rsidR="00FF2F61" w:rsidRPr="00FF2F61">
        <w:rPr>
          <w:b w:val="0"/>
          <w:bCs w:val="0"/>
        </w:rPr>
        <w:t xml:space="preserve">agnesium salts may cause decreased </w:t>
      </w:r>
      <w:r w:rsidR="00FF2F61">
        <w:rPr>
          <w:b w:val="0"/>
          <w:bCs w:val="0"/>
        </w:rPr>
        <w:tab/>
      </w:r>
      <w:r w:rsidR="00FF2F61" w:rsidRPr="00FF2F61">
        <w:rPr>
          <w:b w:val="0"/>
          <w:bCs w:val="0"/>
        </w:rPr>
        <w:t xml:space="preserve">absorption of the active ingredients of other medications. e.g. </w:t>
      </w:r>
      <w:r w:rsidR="00943D0E">
        <w:rPr>
          <w:b w:val="0"/>
          <w:bCs w:val="0"/>
        </w:rPr>
        <w:t>d</w:t>
      </w:r>
      <w:r w:rsidR="00FF2F61" w:rsidRPr="00FF2F61">
        <w:rPr>
          <w:b w:val="0"/>
          <w:bCs w:val="0"/>
        </w:rPr>
        <w:t xml:space="preserve">igoxin. </w:t>
      </w:r>
      <w:r w:rsidR="00FF2F61">
        <w:rPr>
          <w:b w:val="0"/>
          <w:bCs w:val="0"/>
        </w:rPr>
        <w:tab/>
      </w:r>
      <w:r w:rsidR="00FF2F61" w:rsidRPr="00FF2F61">
        <w:rPr>
          <w:b w:val="0"/>
          <w:bCs w:val="0"/>
        </w:rPr>
        <w:t xml:space="preserve">Excessive use of </w:t>
      </w:r>
      <w:r w:rsidR="00943D0E">
        <w:rPr>
          <w:b w:val="0"/>
          <w:bCs w:val="0"/>
        </w:rPr>
        <w:t>l</w:t>
      </w:r>
      <w:r w:rsidR="00FF2F61" w:rsidRPr="00FF2F61">
        <w:rPr>
          <w:b w:val="0"/>
          <w:bCs w:val="0"/>
        </w:rPr>
        <w:t xml:space="preserve">iquid </w:t>
      </w:r>
      <w:r w:rsidR="00943D0E">
        <w:rPr>
          <w:b w:val="0"/>
          <w:bCs w:val="0"/>
        </w:rPr>
        <w:t>p</w:t>
      </w:r>
      <w:r w:rsidR="00FF2F61" w:rsidRPr="00FF2F61">
        <w:rPr>
          <w:b w:val="0"/>
          <w:bCs w:val="0"/>
        </w:rPr>
        <w:t xml:space="preserve">araffin may lead to anal seepage and irritation </w:t>
      </w:r>
      <w:r w:rsidR="00FF2F61">
        <w:rPr>
          <w:b w:val="0"/>
          <w:bCs w:val="0"/>
        </w:rPr>
        <w:tab/>
      </w:r>
      <w:r w:rsidR="00FF2F61" w:rsidRPr="00FF2F61">
        <w:rPr>
          <w:b w:val="0"/>
          <w:bCs w:val="0"/>
        </w:rPr>
        <w:t xml:space="preserve">and may, if emulsified, give rise to </w:t>
      </w:r>
      <w:proofErr w:type="spellStart"/>
      <w:r w:rsidR="00FF2F61" w:rsidRPr="00FF2F61">
        <w:rPr>
          <w:b w:val="0"/>
          <w:bCs w:val="0"/>
        </w:rPr>
        <w:t>granulatomous</w:t>
      </w:r>
      <w:proofErr w:type="spellEnd"/>
      <w:r w:rsidR="00FF2F61" w:rsidRPr="00FF2F61">
        <w:rPr>
          <w:b w:val="0"/>
          <w:bCs w:val="0"/>
        </w:rPr>
        <w:t xml:space="preserve"> reactions.</w:t>
      </w:r>
    </w:p>
    <w:p w14:paraId="13BA9123" w14:textId="77777777" w:rsidR="002F0162" w:rsidRPr="00F82D07" w:rsidRDefault="002F0162" w:rsidP="002F0162">
      <w:pPr>
        <w:pStyle w:val="SubHeafingSMPC"/>
        <w:ind w:left="57"/>
      </w:pPr>
      <w:r w:rsidRPr="008F5678">
        <w:t xml:space="preserve">Preclinical safety data </w:t>
      </w:r>
    </w:p>
    <w:p w14:paraId="775EB537" w14:textId="55096DD0" w:rsidR="002F0162" w:rsidRDefault="002F0162" w:rsidP="002F016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1603E1">
        <w:rPr>
          <w:b w:val="0"/>
          <w:bCs w:val="0"/>
        </w:rPr>
        <w:t>-</w:t>
      </w:r>
    </w:p>
    <w:p w14:paraId="075B0674" w14:textId="77777777" w:rsidR="002F0162" w:rsidRPr="008F5678" w:rsidRDefault="002F0162" w:rsidP="002F0162">
      <w:pPr>
        <w:pStyle w:val="HEADING1SMPC"/>
      </w:pPr>
      <w:r w:rsidRPr="008F5678">
        <w:t xml:space="preserve">PHARMACEUTICAL PARTICULARS </w:t>
      </w:r>
    </w:p>
    <w:p w14:paraId="4A135333" w14:textId="77777777" w:rsidR="002F0162" w:rsidRPr="008F5678" w:rsidRDefault="002F0162" w:rsidP="002F0162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26BBB2B" w14:textId="77777777" w:rsidR="002F0162" w:rsidRPr="000A71B4" w:rsidRDefault="002F0162" w:rsidP="002F016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9F8532F" w14:textId="77777777" w:rsidR="002F0162" w:rsidRPr="00F527B4" w:rsidRDefault="002F0162" w:rsidP="002F0162">
      <w:pPr>
        <w:pStyle w:val="SubHeafingSMPC"/>
        <w:ind w:left="57"/>
      </w:pPr>
      <w:r w:rsidRPr="008F5678">
        <w:t xml:space="preserve">Incompatibilities </w:t>
      </w:r>
    </w:p>
    <w:p w14:paraId="269C27DD" w14:textId="201DDC77" w:rsidR="002F0162" w:rsidRPr="001603E1" w:rsidRDefault="002F0162" w:rsidP="001603E1">
      <w:pPr>
        <w:pStyle w:val="SubHeafingSMPC"/>
        <w:numPr>
          <w:ilvl w:val="0"/>
          <w:numId w:val="0"/>
        </w:numPr>
        <w:ind w:left="57"/>
        <w:rPr>
          <w:b w:val="0"/>
          <w:bCs w:val="0"/>
        </w:rPr>
      </w:pPr>
      <w:r>
        <w:rPr>
          <w:b w:val="0"/>
          <w:bCs w:val="0"/>
        </w:rPr>
        <w:tab/>
      </w:r>
      <w:r w:rsidR="001603E1" w:rsidRPr="001603E1">
        <w:rPr>
          <w:b w:val="0"/>
          <w:bCs w:val="0"/>
        </w:rPr>
        <w:t>None known.</w:t>
      </w:r>
    </w:p>
    <w:p w14:paraId="4FB21171" w14:textId="77777777" w:rsidR="002F0162" w:rsidRPr="000A71B4" w:rsidRDefault="002F0162" w:rsidP="002F0162">
      <w:pPr>
        <w:pStyle w:val="SubHeafingSMPC"/>
        <w:ind w:left="57"/>
      </w:pPr>
      <w:r w:rsidRPr="008F5678">
        <w:t xml:space="preserve">Shelf life </w:t>
      </w:r>
    </w:p>
    <w:p w14:paraId="7D53F2D0" w14:textId="77777777" w:rsidR="002F0162" w:rsidRPr="000A71B4" w:rsidRDefault="002F0162" w:rsidP="002F0162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89722CE" w14:textId="77777777" w:rsidR="002F0162" w:rsidRPr="008F5678" w:rsidRDefault="002F0162" w:rsidP="002F0162">
      <w:pPr>
        <w:pStyle w:val="SubHeafingSMPC"/>
        <w:ind w:left="57"/>
      </w:pPr>
      <w:r w:rsidRPr="008F5678">
        <w:t xml:space="preserve">Special precautions for storage </w:t>
      </w:r>
    </w:p>
    <w:p w14:paraId="791EFB72" w14:textId="77777777" w:rsidR="002F0162" w:rsidRPr="000A71B4" w:rsidRDefault="002F0162" w:rsidP="002F016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4A1309D" w14:textId="77777777" w:rsidR="002F0162" w:rsidRPr="008F5678" w:rsidRDefault="002F0162" w:rsidP="002F0162">
      <w:pPr>
        <w:pStyle w:val="SubHeafingSMPC"/>
        <w:ind w:left="57"/>
      </w:pPr>
      <w:r w:rsidRPr="008F5678">
        <w:lastRenderedPageBreak/>
        <w:t xml:space="preserve">Nature and contents of container </w:t>
      </w:r>
    </w:p>
    <w:p w14:paraId="26D2B59A" w14:textId="77777777" w:rsidR="002F0162" w:rsidRPr="000A71B4" w:rsidRDefault="002F0162" w:rsidP="002F016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C8DA21E" w14:textId="77777777" w:rsidR="002F0162" w:rsidRPr="000A71B4" w:rsidRDefault="002F0162" w:rsidP="002F0162">
      <w:pPr>
        <w:pStyle w:val="SubHeafingSMPC"/>
        <w:ind w:left="57"/>
      </w:pPr>
      <w:r w:rsidRPr="008F5678">
        <w:t xml:space="preserve">Special precautions for disposal </w:t>
      </w:r>
    </w:p>
    <w:p w14:paraId="60915C8C" w14:textId="77777777" w:rsidR="002F0162" w:rsidRPr="000A71B4" w:rsidRDefault="002F0162" w:rsidP="002F0162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398463E" w14:textId="77777777" w:rsidR="002F0162" w:rsidRDefault="002F0162" w:rsidP="002F0162">
      <w:pPr>
        <w:pStyle w:val="HEADING1SMPC"/>
      </w:pPr>
      <w:r w:rsidRPr="008F5678">
        <w:t xml:space="preserve">MARKETING AUTHORISATION HOLDER </w:t>
      </w:r>
    </w:p>
    <w:p w14:paraId="43CB9B21" w14:textId="77777777" w:rsidR="002F0162" w:rsidRPr="00D741D1" w:rsidRDefault="002F0162" w:rsidP="002F016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50B1C53" w14:textId="77777777" w:rsidR="002F0162" w:rsidRDefault="002F0162" w:rsidP="002F0162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464A861A" w14:textId="77777777" w:rsidR="002F0162" w:rsidRPr="002270FF" w:rsidRDefault="002F0162" w:rsidP="002F016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407674B" w14:textId="5765AA89" w:rsidR="002F0162" w:rsidRDefault="002F0162" w:rsidP="002F0162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>DATE OF FIRST AUTHORISATION/RENEWAL OF THE</w:t>
      </w:r>
      <w:r>
        <w:rPr>
          <w:color w:val="000000" w:themeColor="text1"/>
        </w:rPr>
        <w:t xml:space="preserve"> </w:t>
      </w:r>
      <w:r w:rsidRPr="008F5678">
        <w:rPr>
          <w:color w:val="000000" w:themeColor="text1"/>
        </w:rPr>
        <w:t xml:space="preserve">AUTHORISATION </w:t>
      </w:r>
    </w:p>
    <w:p w14:paraId="1B12658A" w14:textId="77777777" w:rsidR="002F0162" w:rsidRPr="002270FF" w:rsidRDefault="002F0162" w:rsidP="002F0162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BCE28F0" w14:textId="77777777" w:rsidR="002F0162" w:rsidRPr="008F5678" w:rsidRDefault="002F0162" w:rsidP="002F0162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F0555CF" w14:textId="77777777" w:rsidR="002F0162" w:rsidRPr="002270FF" w:rsidRDefault="002F0162" w:rsidP="002F01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2AB998C7" w14:textId="77777777" w:rsidR="002F0162" w:rsidRPr="004E6B0A" w:rsidRDefault="002F0162" w:rsidP="002F0162">
      <w:pPr>
        <w:rPr>
          <w:rFonts w:ascii="Times New Roman" w:hAnsi="Times New Roman" w:cs="Times New Roman"/>
          <w:sz w:val="28"/>
          <w:szCs w:val="28"/>
        </w:rPr>
      </w:pPr>
    </w:p>
    <w:p w14:paraId="2CA491E4" w14:textId="77777777" w:rsidR="00CD0A94" w:rsidRPr="002F0162" w:rsidRDefault="00CD0A94">
      <w:pPr>
        <w:rPr>
          <w:rFonts w:ascii="Times New Roman" w:hAnsi="Times New Roman" w:cs="Times New Roman"/>
          <w:sz w:val="28"/>
          <w:szCs w:val="28"/>
        </w:rPr>
      </w:pPr>
    </w:p>
    <w:sectPr w:rsidR="00CD0A94" w:rsidRPr="002F0162" w:rsidSect="002F0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5514" w14:textId="77777777" w:rsidR="001419EB" w:rsidRDefault="001419EB" w:rsidP="001603E1">
      <w:pPr>
        <w:spacing w:line="240" w:lineRule="auto"/>
      </w:pPr>
      <w:r>
        <w:separator/>
      </w:r>
    </w:p>
  </w:endnote>
  <w:endnote w:type="continuationSeparator" w:id="0">
    <w:p w14:paraId="707907D9" w14:textId="77777777" w:rsidR="001419EB" w:rsidRDefault="001419EB" w:rsidP="00160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2D26D513" w14:textId="77777777" w:rsidR="0027024B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5C8F805" w14:textId="77777777" w:rsidR="0027024B" w:rsidRDefault="0027024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3454783" w14:textId="77777777" w:rsidR="0027024B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33D5234A" w14:textId="52A1AF31" w:rsidR="0027024B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1603E1" w:rsidRPr="001603E1">
      <w:rPr>
        <w:rFonts w:ascii="Times New Roman" w:hAnsi="Times New Roman" w:cs="Times New Roman"/>
        <w:sz w:val="24"/>
        <w:szCs w:val="24"/>
      </w:rPr>
      <w:t>Ref: Liquid Paraffin and Magnesium Hydroxide, MHRA, 29/12/2023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E6C9" w14:textId="77777777" w:rsidR="001603E1" w:rsidRDefault="001603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7E43" w14:textId="77777777" w:rsidR="001419EB" w:rsidRDefault="001419EB" w:rsidP="001603E1">
      <w:pPr>
        <w:spacing w:line="240" w:lineRule="auto"/>
      </w:pPr>
      <w:r>
        <w:separator/>
      </w:r>
    </w:p>
  </w:footnote>
  <w:footnote w:type="continuationSeparator" w:id="0">
    <w:p w14:paraId="5314D16A" w14:textId="77777777" w:rsidR="001419EB" w:rsidRDefault="001419EB" w:rsidP="00160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4D81" w14:textId="77777777" w:rsidR="001603E1" w:rsidRDefault="001603E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F91B" w14:textId="77777777" w:rsidR="001603E1" w:rsidRDefault="001603E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BB52" w14:textId="77777777" w:rsidR="001603E1" w:rsidRDefault="001603E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680BFD"/>
    <w:multiLevelType w:val="hybridMultilevel"/>
    <w:tmpl w:val="3042CDB0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79289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62"/>
    <w:rsid w:val="001419EB"/>
    <w:rsid w:val="001603E1"/>
    <w:rsid w:val="00196211"/>
    <w:rsid w:val="0027024B"/>
    <w:rsid w:val="002F0162"/>
    <w:rsid w:val="00454EC5"/>
    <w:rsid w:val="00610BC8"/>
    <w:rsid w:val="0083274C"/>
    <w:rsid w:val="00920590"/>
    <w:rsid w:val="00943D0E"/>
    <w:rsid w:val="009F5322"/>
    <w:rsid w:val="00A258A8"/>
    <w:rsid w:val="00A56BD7"/>
    <w:rsid w:val="00A710F6"/>
    <w:rsid w:val="00B06764"/>
    <w:rsid w:val="00B268E1"/>
    <w:rsid w:val="00C551F2"/>
    <w:rsid w:val="00C9316C"/>
    <w:rsid w:val="00CD0A94"/>
    <w:rsid w:val="00D112DF"/>
    <w:rsid w:val="00D807F6"/>
    <w:rsid w:val="00F35A53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1097"/>
  <w15:chartTrackingRefBased/>
  <w15:docId w15:val="{329FDD71-C0EB-4732-989C-0C15F36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6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016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6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6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016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016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016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01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016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01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016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01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01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16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F016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F0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016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F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F0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F01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0162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2F0162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2F0162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2F0162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2F016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2F016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2F0162"/>
  </w:style>
  <w:style w:type="paragraph" w:styleId="ae">
    <w:name w:val="Body Text"/>
    <w:basedOn w:val="a"/>
    <w:link w:val="af2"/>
    <w:uiPriority w:val="99"/>
    <w:unhideWhenUsed/>
    <w:rsid w:val="002F0162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2F016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1603E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1603E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A7A8-93A1-4265-A51A-D29C586A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2024-08-04T04:14:00Z</dcterms:created>
  <dcterms:modified xsi:type="dcterms:W3CDTF">2024-08-15T16:17:00Z</dcterms:modified>
</cp:coreProperties>
</file>