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848DFB3" w:rsidR="00227FD4" w:rsidRPr="00E641A1" w:rsidRDefault="009743F6" w:rsidP="00AF212D">
      <w:pPr>
        <w:pStyle w:val="BodyTextSMPC"/>
        <w:rPr>
          <w:rFonts w:cstheme="minorBidi"/>
        </w:rPr>
      </w:pPr>
      <w:r w:rsidRPr="009743F6">
        <w:t>Carbocisteine</w:t>
      </w:r>
      <w:r>
        <w:rPr>
          <w:color w:val="FF0000"/>
        </w:rPr>
        <w:t xml:space="preserve"> </w:t>
      </w:r>
      <w:r w:rsidR="00C069FE" w:rsidRPr="005574FA">
        <w:rPr>
          <w:color w:val="FF0000"/>
        </w:rPr>
        <w:t>&lt;TRADE NAME&gt; &lt;STRENGTH&gt;</w:t>
      </w:r>
      <w:r w:rsidR="00A10233">
        <w:rPr>
          <w:color w:val="FF0000"/>
        </w:rPr>
        <w:t xml:space="preserve"> </w:t>
      </w:r>
      <w:r w:rsidR="002B2F96">
        <w:t>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19832F8" w:rsidR="00A10233" w:rsidRDefault="008639E1" w:rsidP="00391F2E">
      <w:pPr>
        <w:pStyle w:val="BodyTextSMPC"/>
      </w:pPr>
      <w:r w:rsidRPr="008639E1">
        <w:t xml:space="preserve">Each </w:t>
      </w:r>
      <w:r w:rsidR="002B2F96">
        <w:t>5 ml</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9743F6" w:rsidRPr="009743F6">
        <w:t>carbocisteine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3CDDEBF2" w:rsidR="00227FD4" w:rsidRPr="00070173" w:rsidRDefault="002B2F96" w:rsidP="00AF212D">
      <w:pPr>
        <w:pStyle w:val="BodyTextSMPC"/>
        <w:rPr>
          <w:rFonts w:cs="Angsana New"/>
          <w:szCs w:val="35"/>
        </w:rPr>
      </w:pPr>
      <w:r>
        <w:t>Syrup</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13E7A8FA" w:rsidR="00C864CB" w:rsidRDefault="009743F6" w:rsidP="009743F6">
      <w:pPr>
        <w:pStyle w:val="BodyTextSMPC"/>
        <w:rPr>
          <w:rFonts w:cstheme="minorBidi"/>
        </w:rPr>
      </w:pPr>
      <w:r w:rsidRPr="009743F6">
        <w:rPr>
          <w:rFonts w:cstheme="minorBidi"/>
        </w:rPr>
        <w:t>Carbocisteine is a mucolytic agent for the adjunctive therapy of respiratory tract disorders characterised by excessive, viscous mucus, including chronic obstructive airways disease.</w:t>
      </w:r>
    </w:p>
    <w:p w14:paraId="361392E9" w14:textId="0F394946" w:rsidR="00732389" w:rsidRPr="00C864CB" w:rsidRDefault="00000000" w:rsidP="00C864CB">
      <w:pPr>
        <w:pStyle w:val="SubHeafingSMPC"/>
      </w:pPr>
      <w:r w:rsidRPr="008F5678">
        <w:t>Posology and method of administration</w:t>
      </w:r>
    </w:p>
    <w:p w14:paraId="19B3E51B" w14:textId="77777777" w:rsidR="00692EC1" w:rsidRPr="00692EC1" w:rsidRDefault="00692EC1" w:rsidP="00692EC1">
      <w:pPr>
        <w:pStyle w:val="BodyTextSMPC"/>
        <w:rPr>
          <w:b/>
          <w:bCs/>
        </w:rPr>
      </w:pPr>
      <w:r w:rsidRPr="00692EC1">
        <w:rPr>
          <w:b/>
          <w:bCs/>
        </w:rPr>
        <w:t>Posology</w:t>
      </w:r>
    </w:p>
    <w:p w14:paraId="25690EC8" w14:textId="77777777" w:rsidR="00692EC1" w:rsidRPr="00692EC1" w:rsidRDefault="00692EC1" w:rsidP="00692EC1">
      <w:pPr>
        <w:pStyle w:val="BodyTextSMPC"/>
        <w:rPr>
          <w:b/>
          <w:bCs/>
        </w:rPr>
      </w:pPr>
      <w:r w:rsidRPr="00692EC1">
        <w:rPr>
          <w:b/>
          <w:bCs/>
        </w:rPr>
        <w:t xml:space="preserve">Adults including the elderly </w:t>
      </w:r>
    </w:p>
    <w:p w14:paraId="73044079" w14:textId="16473D4A" w:rsidR="00692EC1" w:rsidRDefault="00692EC1" w:rsidP="00692EC1">
      <w:pPr>
        <w:pStyle w:val="BodyTextSMPC"/>
      </w:pPr>
      <w:r>
        <w:t xml:space="preserve">Dosage is based upon an initial daily dosage of 2250 mg in divided doses, reducing to 1500 mg daily in divided doses when a satisfactory response is obtained. </w:t>
      </w:r>
    </w:p>
    <w:p w14:paraId="052A6383" w14:textId="77777777" w:rsidR="00692EC1" w:rsidRPr="00692EC1" w:rsidRDefault="00692EC1" w:rsidP="00692EC1">
      <w:pPr>
        <w:pStyle w:val="BodyTextSMPC"/>
        <w:rPr>
          <w:b/>
          <w:bCs/>
        </w:rPr>
      </w:pPr>
      <w:r w:rsidRPr="00692EC1">
        <w:rPr>
          <w:b/>
          <w:bCs/>
        </w:rPr>
        <w:t xml:space="preserve">Paediatric population </w:t>
      </w:r>
    </w:p>
    <w:p w14:paraId="400F660D" w14:textId="05070CF3" w:rsidR="002B2F96" w:rsidRDefault="002B2F96" w:rsidP="002B2F96">
      <w:pPr>
        <w:pStyle w:val="BodyTextSMPC"/>
      </w:pPr>
      <w:r w:rsidRPr="002B2F96">
        <w:rPr>
          <w:u w:val="single"/>
        </w:rPr>
        <w:t>Children 2 – 5 years</w:t>
      </w:r>
      <w:r>
        <w:t xml:space="preserve">: The usual dose is </w:t>
      </w:r>
      <w:r w:rsidR="00291814">
        <w:t>62.5</w:t>
      </w:r>
      <w:r>
        <w:t xml:space="preserve"> – 125 </w:t>
      </w:r>
      <w:r w:rsidR="00291814">
        <w:t>mg</w:t>
      </w:r>
      <w:r>
        <w:t xml:space="preserve"> four times daily. </w:t>
      </w:r>
    </w:p>
    <w:p w14:paraId="29CAE175" w14:textId="1DAADB89" w:rsidR="002B2F96" w:rsidRDefault="002B2F96" w:rsidP="002B2F96">
      <w:pPr>
        <w:pStyle w:val="BodyTextSMPC"/>
      </w:pPr>
      <w:r w:rsidRPr="002B2F96">
        <w:rPr>
          <w:u w:val="single"/>
        </w:rPr>
        <w:t>Children 5 – 12 years</w:t>
      </w:r>
      <w:r>
        <w:t xml:space="preserve">: The usual dose is </w:t>
      </w:r>
      <w:r w:rsidR="00291814">
        <w:t>250 mg</w:t>
      </w:r>
      <w:r>
        <w:t xml:space="preserve"> three times daily. </w:t>
      </w:r>
    </w:p>
    <w:p w14:paraId="691D875E" w14:textId="6C3485E0" w:rsidR="00BD1BD1" w:rsidRPr="00BD1BD1" w:rsidRDefault="002B2F96" w:rsidP="002B2F96">
      <w:pPr>
        <w:pStyle w:val="BodyTextSMPC"/>
      </w:pPr>
      <w:r>
        <w:lastRenderedPageBreak/>
        <w:t>Carbocisteine is contraindicated for use in children less than 2 years of age</w:t>
      </w:r>
      <w:r w:rsidR="00692EC1">
        <w:t>.</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77C4A0A8" w14:textId="3CAF864F" w:rsidR="00692EC1" w:rsidRDefault="00692EC1" w:rsidP="00692EC1">
      <w:pPr>
        <w:pStyle w:val="BodyTextSMPC"/>
      </w:pPr>
      <w:r>
        <w:t xml:space="preserve">Hypersensitivity to the active substance or to any of the excipients listed in section 6.1. </w:t>
      </w:r>
    </w:p>
    <w:p w14:paraId="4D60939E" w14:textId="351689C1" w:rsidR="007B18D7" w:rsidRDefault="00692EC1" w:rsidP="00692EC1">
      <w:pPr>
        <w:pStyle w:val="BodyTextSMPC"/>
      </w:pPr>
      <w:r>
        <w:t>Use in patients with active peptic ulceration.</w:t>
      </w:r>
    </w:p>
    <w:p w14:paraId="39271FE7" w14:textId="67B2CCD3" w:rsidR="00291814" w:rsidRDefault="00291814" w:rsidP="00692EC1">
      <w:pPr>
        <w:pStyle w:val="BodyTextSMPC"/>
      </w:pPr>
      <w:r w:rsidRPr="00291814">
        <w:t>Use in children less than 2 years of age.</w:t>
      </w:r>
    </w:p>
    <w:p w14:paraId="6955ACE4" w14:textId="77777777" w:rsidR="00A144D2" w:rsidRPr="008F5678" w:rsidRDefault="00000000" w:rsidP="00671E86">
      <w:pPr>
        <w:pStyle w:val="SubHeafingSMPC"/>
      </w:pPr>
      <w:r w:rsidRPr="008F5678">
        <w:t xml:space="preserve">Special warnings and precautions for use </w:t>
      </w:r>
    </w:p>
    <w:p w14:paraId="01B9360E" w14:textId="30ECE496" w:rsidR="00AF364C" w:rsidRPr="006101D5" w:rsidRDefault="00692EC1" w:rsidP="00692EC1">
      <w:pPr>
        <w:pStyle w:val="BodyTextSMPC"/>
      </w:pPr>
      <w:r>
        <w:t>Caution is recommended in the elderly, in those with a history of gastroduodenal ulcers, or those taking concomitant medications known to cause gastrointestinal bleeding. If gastrointestinal bleeding occurs, patients should discontinue medication.</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71F337F" w14:textId="0DC232B6" w:rsidR="003B51C2" w:rsidRDefault="00692EC1" w:rsidP="00692EC1">
      <w:pPr>
        <w:pStyle w:val="BodyTextSMPC"/>
      </w:pPr>
      <w:r w:rsidRPr="00692EC1">
        <w:t>There are no known interactions with other medicinal products or other forms of interaction</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BBEE802" w14:textId="48D88F95" w:rsidR="003B16FC" w:rsidRDefault="00692EC1" w:rsidP="00692EC1">
      <w:pPr>
        <w:pStyle w:val="BodyTextSMPC"/>
      </w:pPr>
      <w:r>
        <w:t>There are no available data on carbocisteine use in pregnant women. No conclusions can be drawn regarding whether or not carbocisteine is safe for use during pregnancy. The use of carbocisteine in pregnant women is not recommended, especially during the first trimester</w:t>
      </w:r>
      <w:r w:rsidR="003B16FC">
        <w:t>.</w:t>
      </w:r>
    </w:p>
    <w:p w14:paraId="0F6D438F" w14:textId="21009765" w:rsidR="00D32C40" w:rsidRPr="00D32C40" w:rsidRDefault="00D32C40" w:rsidP="00D32C40">
      <w:pPr>
        <w:pStyle w:val="BodyTextSMPC"/>
        <w:rPr>
          <w:b/>
          <w:bCs/>
        </w:rPr>
      </w:pPr>
      <w:r w:rsidRPr="00D32C40">
        <w:rPr>
          <w:b/>
          <w:bCs/>
        </w:rPr>
        <w:t>Breast-feeding</w:t>
      </w:r>
    </w:p>
    <w:p w14:paraId="7F9E4D3C" w14:textId="3C1B6CC6" w:rsidR="00EB692F" w:rsidRDefault="00692EC1" w:rsidP="006D2A4B">
      <w:pPr>
        <w:pStyle w:val="BodyTextSMPC"/>
      </w:pPr>
      <w:r>
        <w:lastRenderedPageBreak/>
        <w:t>There are no available data on the presence of carbocisteine in human milk, milk production, or the effects on the breastfed infant. No conclusions can be drawn regarding whether or not carbocisteine is safe for use during breast-feeding. The use of carbocisteine in breast-feeding women is not recommended</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55ABDB39" w:rsidR="00227FD4" w:rsidRPr="009D6FFD" w:rsidRDefault="006D2A4B" w:rsidP="009A1A64">
      <w:pPr>
        <w:pStyle w:val="BodyTextSMPC"/>
      </w:pPr>
      <w:r w:rsidRPr="006D2A4B">
        <w:t>Carbocisteine has no or negligible influence on the ability to drive and use machines</w:t>
      </w:r>
      <w:r w:rsidR="00EB692F">
        <w:t>.</w:t>
      </w:r>
    </w:p>
    <w:p w14:paraId="071D62C3" w14:textId="1176E362" w:rsidR="00227FD4" w:rsidRPr="008F5678" w:rsidRDefault="00000000" w:rsidP="00671E86">
      <w:pPr>
        <w:pStyle w:val="SubHeafingSMPC"/>
      </w:pPr>
      <w:r w:rsidRPr="008F5678">
        <w:t xml:space="preserve">Undesirable effects </w:t>
      </w:r>
    </w:p>
    <w:p w14:paraId="6CEC3F60" w14:textId="536BAD39" w:rsidR="00652313" w:rsidRDefault="006D2A4B" w:rsidP="006D2A4B">
      <w:pPr>
        <w:pStyle w:val="BodyTextSMPC"/>
        <w:spacing w:before="240"/>
      </w:pPr>
      <w:r>
        <w:t>The following CIOMS frequency rating is used, when applicable: Very common (≥1/10); common (≥ 1/100 to &lt; 1/10); uncommon (≥ 1/1,000 to ≤ 1/100); rare (≥1/10,000 to ≤ 1/1,000); very rare (≤ 1/10,000); not known (cannot be estimated from the available data).</w:t>
      </w:r>
      <w:r w:rsidR="00652313">
        <w:t xml:space="preserve"> </w:t>
      </w:r>
    </w:p>
    <w:p w14:paraId="50115A70" w14:textId="77777777" w:rsidR="006D2A4B" w:rsidRPr="006D2A4B" w:rsidRDefault="006D2A4B" w:rsidP="006D2A4B">
      <w:pPr>
        <w:pStyle w:val="BodyTextSMPC"/>
        <w:spacing w:before="240"/>
        <w:rPr>
          <w:b/>
          <w:bCs/>
        </w:rPr>
      </w:pPr>
      <w:r w:rsidRPr="006D2A4B">
        <w:rPr>
          <w:b/>
          <w:bCs/>
        </w:rPr>
        <w:t>Immune system disorders</w:t>
      </w:r>
    </w:p>
    <w:p w14:paraId="3035F75E" w14:textId="447F8351" w:rsidR="006D2A4B" w:rsidRPr="006D2A4B" w:rsidRDefault="006D2A4B" w:rsidP="006D2A4B">
      <w:pPr>
        <w:pStyle w:val="BodyTextSMPC"/>
        <w:spacing w:before="240"/>
      </w:pPr>
      <w:r w:rsidRPr="006D2A4B">
        <w:t xml:space="preserve">There have been reports of anaphylactic reactions, allergic skin eruption and fixed drug eruption. </w:t>
      </w:r>
    </w:p>
    <w:p w14:paraId="215FA871" w14:textId="77777777" w:rsidR="006D2A4B" w:rsidRPr="006D2A4B" w:rsidRDefault="006D2A4B" w:rsidP="006D2A4B">
      <w:pPr>
        <w:pStyle w:val="BodyTextSMPC"/>
        <w:spacing w:before="240"/>
        <w:rPr>
          <w:b/>
          <w:bCs/>
        </w:rPr>
      </w:pPr>
      <w:r w:rsidRPr="006D2A4B">
        <w:rPr>
          <w:b/>
          <w:bCs/>
        </w:rPr>
        <w:t>Gastrointestinal disorders</w:t>
      </w:r>
    </w:p>
    <w:p w14:paraId="0997863D" w14:textId="432C53CF" w:rsidR="006D2A4B" w:rsidRPr="006D2A4B" w:rsidRDefault="006D2A4B" w:rsidP="0089153F">
      <w:pPr>
        <w:pStyle w:val="BodyTextSMPC"/>
        <w:spacing w:before="240"/>
      </w:pPr>
      <w:r w:rsidRPr="006D2A4B">
        <w:t xml:space="preserve">There have been reports of diarrhoea, nausea, epigastric discomfort and gastrointestinal bleeding occurring during treatment with carbocisteine. </w:t>
      </w:r>
    </w:p>
    <w:p w14:paraId="150593BA" w14:textId="77777777" w:rsidR="006D2A4B" w:rsidRPr="006D2A4B" w:rsidRDefault="006D2A4B" w:rsidP="006D2A4B">
      <w:pPr>
        <w:pStyle w:val="BodyTextSMPC"/>
        <w:spacing w:before="240"/>
      </w:pPr>
      <w:r w:rsidRPr="006D2A4B">
        <w:t xml:space="preserve">Frequency not known: vomiting, gastrointestinal bleeding </w:t>
      </w:r>
    </w:p>
    <w:p w14:paraId="1200F794" w14:textId="77777777" w:rsidR="006D2A4B" w:rsidRPr="006D2A4B" w:rsidRDefault="006D2A4B" w:rsidP="006D2A4B">
      <w:pPr>
        <w:pStyle w:val="BodyTextSMPC"/>
        <w:spacing w:before="240"/>
        <w:rPr>
          <w:b/>
          <w:bCs/>
        </w:rPr>
      </w:pPr>
      <w:r w:rsidRPr="006D2A4B">
        <w:rPr>
          <w:b/>
          <w:bCs/>
        </w:rPr>
        <w:t>Skin and subcutaneous tissue disorders</w:t>
      </w:r>
    </w:p>
    <w:p w14:paraId="3DC0B0D1" w14:textId="6279F04D" w:rsidR="00EB692F" w:rsidRPr="0089153F" w:rsidRDefault="006D2A4B" w:rsidP="0089153F">
      <w:pPr>
        <w:pStyle w:val="BodyTextSMPC"/>
        <w:spacing w:before="240"/>
      </w:pPr>
      <w:r w:rsidRPr="0089153F">
        <w:t>There have been reports of skin rashes and allergic skin eruptions. Isolated cases of dermatitis bullous such as Stevens–Johnson syndrome and erythema multiforme have also been reported.</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lastRenderedPageBreak/>
        <w:t xml:space="preserve">Overdose </w:t>
      </w:r>
    </w:p>
    <w:p w14:paraId="5199B15A" w14:textId="7E9F73FF" w:rsidR="001624D3" w:rsidRPr="001624D3" w:rsidRDefault="0089153F" w:rsidP="0089153F">
      <w:pPr>
        <w:pStyle w:val="BodyTextSMPC"/>
      </w:pPr>
      <w:r>
        <w:t>Gastric lavage may be beneficial, followed by observation. Gastrointestinal disturbance is the most likely symptom of carbocisteine overdosage</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001D66FA" w:rsidR="001624D3" w:rsidRDefault="0089153F" w:rsidP="001624D3">
      <w:pPr>
        <w:pStyle w:val="BodyTextSMPC"/>
      </w:pPr>
      <w:r w:rsidRPr="0089153F">
        <w:t>Pharmacotherapeutic group: Mucolytic, ATC code: R05C B03</w:t>
      </w:r>
    </w:p>
    <w:p w14:paraId="6F8E529B" w14:textId="77777777" w:rsidR="001624D3" w:rsidRDefault="001624D3" w:rsidP="001624D3">
      <w:pPr>
        <w:pStyle w:val="BodyTextSMPC"/>
      </w:pPr>
      <w:r>
        <w:t xml:space="preserve">Mechanism of action </w:t>
      </w:r>
    </w:p>
    <w:p w14:paraId="2FDF4A6E" w14:textId="782D9707" w:rsidR="0089153F" w:rsidRDefault="0089153F" w:rsidP="0089153F">
      <w:pPr>
        <w:pStyle w:val="BodyTextSMPC"/>
      </w:pPr>
      <w:r>
        <w:t xml:space="preserve">Carbocisteine (5-carboxymethyl L-cysteine) has been shown in normal and bronchitic animal models to affect the nature and amount of mucus glycoprotein that is secreted by the respiratory tract. An increase in the acid:neutral glycoprotein ratio of the mucus and a transformation of serous cells to mucus cells is known to be the initial response to irritation and will normally be followed by hypersecretion. </w:t>
      </w:r>
    </w:p>
    <w:p w14:paraId="7D59141E" w14:textId="2E6A0924" w:rsidR="0089153F" w:rsidRDefault="0089153F" w:rsidP="0089153F">
      <w:pPr>
        <w:pStyle w:val="BodyTextSMPC"/>
      </w:pPr>
      <w:r>
        <w:t xml:space="preserve">The administration of carbocisteine to animals exposed to irritants indicates that the glycoprotein secreted remains normal; administration after exposure indicates that return to the normal state is accelerated. </w:t>
      </w:r>
    </w:p>
    <w:p w14:paraId="51641238" w14:textId="14585DA9" w:rsidR="00351B91" w:rsidRDefault="0089153F" w:rsidP="0089153F">
      <w:pPr>
        <w:pStyle w:val="BodyTextSMPC"/>
      </w:pPr>
      <w:r>
        <w:t>Studies in humans have demonstrated that carbocisteine reduces goblet cell hyperplasia. Carbocisteine can therefore play a role in the management of disorders characterised by abnormal mucus</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20229346" w:rsidR="006745E3" w:rsidRDefault="0089153F" w:rsidP="006745E3">
      <w:pPr>
        <w:pStyle w:val="BodyTextSMPC"/>
      </w:pPr>
      <w:r w:rsidRPr="0089153F">
        <w:t>Carbocisteine is rapidly absorbed from the GI tract</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2B31E401" w14:textId="59D212D9" w:rsidR="00934487" w:rsidRDefault="0089153F" w:rsidP="0089153F">
      <w:pPr>
        <w:pStyle w:val="BodyTextSMPC"/>
      </w:pPr>
      <w:r>
        <w:t xml:space="preserve">Equilibrium pharmacokinetics were established in healthy volunteers following administration of carbocisteine 375mg capsules, 2 capsules t.d.s. for seven days. The mean Tmax was 2.0 hours (range 1.0 –3.0); T½ 1.87 hours (range 1.4 – 2.5); KEL 0.387 hour-1 (range 0.28 – 0.50) and AUC0-7.5 was 39.26 mcg.hr/ml (range 26.0 – 62.4). Values for </w:t>
      </w:r>
      <w:r>
        <w:lastRenderedPageBreak/>
        <w:t>derived pharmacokinetic values were CLS 331ml.min-1; VD 105.2 L and VD1.4 L/Kg</w:t>
      </w:r>
      <w:r w:rsidR="006745E3">
        <w:t xml:space="preserve">. </w:t>
      </w:r>
    </w:p>
    <w:p w14:paraId="0BBA0F2C" w14:textId="58A139F5" w:rsidR="00227FD4" w:rsidRPr="008F5678" w:rsidRDefault="00000000" w:rsidP="00671E86">
      <w:pPr>
        <w:pStyle w:val="SubHeafingSMPC"/>
      </w:pPr>
      <w:r w:rsidRPr="008F5678">
        <w:t xml:space="preserve">Preclinical safety data </w:t>
      </w:r>
    </w:p>
    <w:p w14:paraId="7BE4B9BC" w14:textId="44621201" w:rsidR="00227FD4" w:rsidRPr="005574FA" w:rsidRDefault="0089153F" w:rsidP="006745E3">
      <w:pPr>
        <w:pStyle w:val="BodyTextSMPC"/>
      </w:pPr>
      <w:r w:rsidRPr="0089153F">
        <w:t>No additional data of relevance to the prescriber</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C4FD7" w14:textId="77777777" w:rsidR="00C71E1D" w:rsidRDefault="00C71E1D" w:rsidP="008F5678">
      <w:pPr>
        <w:spacing w:line="240" w:lineRule="auto"/>
      </w:pPr>
      <w:r>
        <w:separator/>
      </w:r>
    </w:p>
  </w:endnote>
  <w:endnote w:type="continuationSeparator" w:id="0">
    <w:p w14:paraId="68959E6C" w14:textId="77777777" w:rsidR="00C71E1D" w:rsidRDefault="00C71E1D"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3F79D53A"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89153F" w:rsidRPr="0089153F">
      <w:rPr>
        <w:rFonts w:ascii="Times New Roman" w:hAnsi="Times New Roman" w:cs="Times New Roman"/>
        <w:sz w:val="24"/>
        <w:szCs w:val="24"/>
      </w:rPr>
      <w:t>Carbocisteine</w:t>
    </w:r>
    <w:r w:rsidR="00BD1C40">
      <w:rPr>
        <w:rFonts w:ascii="Times New Roman" w:hAnsi="Times New Roman" w:cs="Times New Roman"/>
        <w:sz w:val="24"/>
        <w:szCs w:val="24"/>
      </w:rPr>
      <w:t xml:space="preserve"> syrup</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BD1C40">
      <w:rPr>
        <w:rFonts w:ascii="Times New Roman" w:hAnsi="Times New Roman" w:cs="Times New Roman"/>
        <w:sz w:val="24"/>
        <w:szCs w:val="24"/>
      </w:rPr>
      <w:t>07/09/2022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C4F" w14:textId="77777777" w:rsidR="00C71E1D" w:rsidRDefault="00C71E1D" w:rsidP="008F5678">
      <w:pPr>
        <w:spacing w:line="240" w:lineRule="auto"/>
      </w:pPr>
      <w:r>
        <w:separator/>
      </w:r>
    </w:p>
  </w:footnote>
  <w:footnote w:type="continuationSeparator" w:id="0">
    <w:p w14:paraId="3D39025B" w14:textId="77777777" w:rsidR="00C71E1D" w:rsidRDefault="00C71E1D"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41A"/>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1814"/>
    <w:rsid w:val="002933FE"/>
    <w:rsid w:val="002B2F96"/>
    <w:rsid w:val="002C0470"/>
    <w:rsid w:val="00302302"/>
    <w:rsid w:val="00303231"/>
    <w:rsid w:val="00307506"/>
    <w:rsid w:val="00316A60"/>
    <w:rsid w:val="00323A34"/>
    <w:rsid w:val="0032475B"/>
    <w:rsid w:val="00342687"/>
    <w:rsid w:val="003467EF"/>
    <w:rsid w:val="00351B91"/>
    <w:rsid w:val="00353092"/>
    <w:rsid w:val="00362134"/>
    <w:rsid w:val="00363BF4"/>
    <w:rsid w:val="00364ADF"/>
    <w:rsid w:val="0037676B"/>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3F5D"/>
    <w:rsid w:val="00475F22"/>
    <w:rsid w:val="00480965"/>
    <w:rsid w:val="0048242B"/>
    <w:rsid w:val="004A007B"/>
    <w:rsid w:val="004A5AB4"/>
    <w:rsid w:val="004B3BC3"/>
    <w:rsid w:val="004B56C3"/>
    <w:rsid w:val="004B5CBB"/>
    <w:rsid w:val="004C064E"/>
    <w:rsid w:val="004D6737"/>
    <w:rsid w:val="004F658C"/>
    <w:rsid w:val="0050369A"/>
    <w:rsid w:val="005122F4"/>
    <w:rsid w:val="005200B2"/>
    <w:rsid w:val="00523E4C"/>
    <w:rsid w:val="005248D2"/>
    <w:rsid w:val="0053070C"/>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2EC1"/>
    <w:rsid w:val="0069711D"/>
    <w:rsid w:val="006A7BA7"/>
    <w:rsid w:val="006B0EF4"/>
    <w:rsid w:val="006B41AF"/>
    <w:rsid w:val="006B462B"/>
    <w:rsid w:val="006B7B99"/>
    <w:rsid w:val="006C22F9"/>
    <w:rsid w:val="006D2A4B"/>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153F"/>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43F6"/>
    <w:rsid w:val="00977EEA"/>
    <w:rsid w:val="00982CEB"/>
    <w:rsid w:val="00982EC5"/>
    <w:rsid w:val="00997D0B"/>
    <w:rsid w:val="009A1A64"/>
    <w:rsid w:val="009A3143"/>
    <w:rsid w:val="009C4E09"/>
    <w:rsid w:val="009D4641"/>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A54F0"/>
    <w:rsid w:val="00BB0627"/>
    <w:rsid w:val="00BB2B03"/>
    <w:rsid w:val="00BB33DA"/>
    <w:rsid w:val="00BD1BD1"/>
    <w:rsid w:val="00BD1C40"/>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1E1D"/>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207A"/>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909</Words>
  <Characters>5182</Characters>
  <Application>Microsoft Office Word</Application>
  <DocSecurity>0</DocSecurity>
  <Lines>43</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2024-08-10T03:45:00Z</dcterms:created>
  <dcterms:modified xsi:type="dcterms:W3CDTF">2024-08-10T04:04:00Z</dcterms:modified>
</cp:coreProperties>
</file>