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6D0ACD60" w:rsidR="00227FD4" w:rsidRPr="00E641A1" w:rsidRDefault="00EA0B4A" w:rsidP="00AF212D">
      <w:pPr>
        <w:pStyle w:val="BodyTextSMPC"/>
        <w:rPr>
          <w:rFonts w:cstheme="minorBidi"/>
        </w:rPr>
      </w:pPr>
      <w:r w:rsidRPr="00EA0B4A">
        <w:t>Gentamicin</w:t>
      </w:r>
      <w:r>
        <w:rPr>
          <w:color w:val="FF0000"/>
        </w:rPr>
        <w:t xml:space="preserve"> </w:t>
      </w:r>
      <w:r w:rsidR="00C069FE" w:rsidRPr="005574FA">
        <w:rPr>
          <w:color w:val="FF0000"/>
        </w:rPr>
        <w:t>&lt;TRADE NAME&gt; &lt;STRENGTH&gt;</w:t>
      </w:r>
      <w:r w:rsidR="00A10233">
        <w:rPr>
          <w:color w:val="FF0000"/>
        </w:rPr>
        <w:t xml:space="preserve"> </w:t>
      </w:r>
      <w:r w:rsidR="003450C0" w:rsidRPr="003450C0">
        <w:t>Eye Drops, Solution</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22332F6F" w:rsidR="00A10233" w:rsidRDefault="008639E1" w:rsidP="00391F2E">
      <w:pPr>
        <w:pStyle w:val="BodyTextSMPC"/>
      </w:pPr>
      <w:r w:rsidRPr="008639E1">
        <w:t xml:space="preserve">Each </w:t>
      </w:r>
      <w:r w:rsidR="003450C0">
        <w:t xml:space="preserve"> </w:t>
      </w:r>
      <w:r w:rsidR="00EA0B4A" w:rsidRPr="00EA0B4A">
        <w:rPr>
          <w:color w:val="FF0000"/>
        </w:rPr>
        <w:t>&lt;</w:t>
      </w:r>
      <w:r w:rsidR="003450C0" w:rsidRPr="00EA0B4A">
        <w:rPr>
          <w:color w:val="FF0000"/>
        </w:rPr>
        <w:t>mL</w:t>
      </w:r>
      <w:r w:rsidR="00EA0B4A" w:rsidRPr="00EA0B4A">
        <w:rPr>
          <w:color w:val="FF0000"/>
        </w:rPr>
        <w:t>&gt;</w:t>
      </w:r>
      <w:r w:rsidR="003450C0">
        <w:t xml:space="preserve"> solution</w:t>
      </w:r>
      <w:r w:rsidRPr="008639E1">
        <w:t xml:space="preserve"> contains </w:t>
      </w:r>
      <w:r w:rsidR="00A10233" w:rsidRPr="005574FA">
        <w:rPr>
          <w:color w:val="FF0000"/>
        </w:rPr>
        <w:t>&lt;STRENGTH&gt;</w:t>
      </w:r>
      <w:r w:rsidR="008C0C75">
        <w:rPr>
          <w:color w:val="FF0000"/>
        </w:rPr>
        <w:t xml:space="preserve"> </w:t>
      </w:r>
      <w:r w:rsidR="008C0C75" w:rsidRPr="008C0C75">
        <w:t>of</w:t>
      </w:r>
      <w:r w:rsidR="00A10233">
        <w:rPr>
          <w:color w:val="FF0000"/>
        </w:rPr>
        <w:t xml:space="preserve"> </w:t>
      </w:r>
      <w:r w:rsidR="00EA0B4A" w:rsidRPr="00EA0B4A">
        <w:t>Gentamicin</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4A74DBB3" w:rsidR="00227FD4" w:rsidRPr="00070173" w:rsidRDefault="003450C0" w:rsidP="00AF212D">
      <w:pPr>
        <w:pStyle w:val="BodyTextSMPC"/>
        <w:rPr>
          <w:rFonts w:cs="Angsana New"/>
          <w:szCs w:val="35"/>
        </w:rPr>
      </w:pPr>
      <w:r w:rsidRPr="003450C0">
        <w:t xml:space="preserve">Eye Drops, Solution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080327BB" w14:textId="46A85A30" w:rsidR="00EA0B4A" w:rsidRDefault="00EA0B4A" w:rsidP="003450C0">
      <w:pPr>
        <w:pStyle w:val="BodyTextSMPC"/>
        <w:rPr>
          <w:rFonts w:cstheme="minorBidi"/>
        </w:rPr>
      </w:pPr>
      <w:proofErr w:type="spellStart"/>
      <w:r w:rsidRPr="00EA0B4A">
        <w:rPr>
          <w:rFonts w:cstheme="minorBidi"/>
        </w:rPr>
        <w:t>Genticin</w:t>
      </w:r>
      <w:proofErr w:type="spellEnd"/>
      <w:r w:rsidRPr="00EA0B4A">
        <w:rPr>
          <w:rFonts w:cstheme="minorBidi"/>
        </w:rPr>
        <w:t xml:space="preserve"> eye drops are indicated in adults and children:</w:t>
      </w:r>
    </w:p>
    <w:p w14:paraId="3C066CBC" w14:textId="09FA19B4" w:rsidR="00EA0B4A" w:rsidRPr="00EA0B4A" w:rsidRDefault="00EA0B4A" w:rsidP="00EA0B4A">
      <w:pPr>
        <w:pStyle w:val="BodyTextSMPC"/>
        <w:rPr>
          <w:rFonts w:cstheme="minorBidi"/>
        </w:rPr>
      </w:pPr>
      <w:r w:rsidRPr="00EA0B4A">
        <w:rPr>
          <w:rFonts w:cstheme="minorBidi"/>
        </w:rPr>
        <w:t xml:space="preserve">1. For the treatment of superficial eye infections caused by organisms sensitive to gentamicin. </w:t>
      </w:r>
    </w:p>
    <w:p w14:paraId="2BCE2209" w14:textId="35051BB3" w:rsidR="00C864CB" w:rsidRDefault="00EA0B4A" w:rsidP="00EA0B4A">
      <w:pPr>
        <w:pStyle w:val="BodyTextSMPC"/>
        <w:rPr>
          <w:rFonts w:cstheme="minorBidi"/>
        </w:rPr>
      </w:pPr>
      <w:r w:rsidRPr="00EA0B4A">
        <w:rPr>
          <w:rFonts w:cstheme="minorBidi"/>
        </w:rPr>
        <w:t>2. For prophylaxis against infection in trauma of the eye.</w:t>
      </w:r>
    </w:p>
    <w:p w14:paraId="361392E9" w14:textId="0F394946" w:rsidR="00732389" w:rsidRPr="00C864CB" w:rsidRDefault="00000000" w:rsidP="00C864CB">
      <w:pPr>
        <w:pStyle w:val="SubHeafingSMPC"/>
      </w:pPr>
      <w:r w:rsidRPr="008F5678">
        <w:t>Posology and method of administration</w:t>
      </w:r>
    </w:p>
    <w:p w14:paraId="5B9EEC35" w14:textId="0FAFA93A" w:rsidR="00D511A4" w:rsidRPr="003450C0" w:rsidRDefault="003450C0" w:rsidP="00D511A4">
      <w:pPr>
        <w:pStyle w:val="BodyTextSMPC"/>
        <w:rPr>
          <w:b/>
          <w:bCs/>
        </w:rPr>
      </w:pPr>
      <w:r w:rsidRPr="003450C0">
        <w:rPr>
          <w:b/>
          <w:bCs/>
        </w:rPr>
        <w:t>Posology</w:t>
      </w:r>
      <w:r w:rsidR="00D511A4" w:rsidRPr="003450C0">
        <w:rPr>
          <w:b/>
          <w:bCs/>
        </w:rPr>
        <w:t xml:space="preserve"> </w:t>
      </w:r>
    </w:p>
    <w:p w14:paraId="484781FA" w14:textId="77777777" w:rsidR="00EA0B4A" w:rsidRPr="00EA0B4A" w:rsidRDefault="00EA0B4A" w:rsidP="00EA0B4A">
      <w:pPr>
        <w:pStyle w:val="BodyTextSMPC"/>
        <w:rPr>
          <w:b/>
          <w:bCs/>
        </w:rPr>
      </w:pPr>
      <w:r w:rsidRPr="00EA0B4A">
        <w:rPr>
          <w:b/>
          <w:bCs/>
        </w:rPr>
        <w:t xml:space="preserve">Adults, the elderly and the </w:t>
      </w:r>
      <w:proofErr w:type="spellStart"/>
      <w:r w:rsidRPr="00EA0B4A">
        <w:rPr>
          <w:b/>
          <w:bCs/>
        </w:rPr>
        <w:t>paediatric</w:t>
      </w:r>
      <w:proofErr w:type="spellEnd"/>
      <w:r w:rsidRPr="00EA0B4A">
        <w:rPr>
          <w:b/>
          <w:bCs/>
        </w:rPr>
        <w:t xml:space="preserve"> population </w:t>
      </w:r>
    </w:p>
    <w:p w14:paraId="691D875E" w14:textId="1EF3F65E" w:rsidR="00BD1BD1" w:rsidRPr="00EA0B4A" w:rsidRDefault="00EA0B4A" w:rsidP="00EA0B4A">
      <w:pPr>
        <w:pStyle w:val="BodyTextSMPC"/>
      </w:pPr>
      <w:r w:rsidRPr="00EA0B4A">
        <w:t>Eyes: 1 or 2 drops should be instilled in the affected eye up to six times a day, or more frequently if required. (Severe infections may require 1 or 2 drops every fifteen to twenty minutes initially, reducing the frequency of instillation gradually as the infection is controlled)</w:t>
      </w:r>
      <w:r>
        <w:t>.</w:t>
      </w:r>
      <w:r w:rsidR="00D511A4" w:rsidRPr="00EA0B4A">
        <w:t xml:space="preserve"> </w:t>
      </w:r>
    </w:p>
    <w:p w14:paraId="6E4D95D4" w14:textId="5225F1A9" w:rsidR="00D511A4" w:rsidRPr="00D511A4" w:rsidRDefault="00D511A4" w:rsidP="00C864CB">
      <w:pPr>
        <w:pStyle w:val="BodyTextSMPC"/>
        <w:rPr>
          <w:b/>
          <w:bCs/>
        </w:rPr>
      </w:pPr>
      <w:r w:rsidRPr="00D511A4">
        <w:rPr>
          <w:b/>
          <w:bCs/>
        </w:rPr>
        <w:t>Method of administration</w:t>
      </w:r>
    </w:p>
    <w:p w14:paraId="6B255F2A" w14:textId="30495C36" w:rsidR="00D511A4" w:rsidRDefault="003450C0" w:rsidP="00D511A4">
      <w:pPr>
        <w:pStyle w:val="BodyTextSMPC"/>
      </w:pPr>
      <w:r w:rsidRPr="003450C0">
        <w:lastRenderedPageBreak/>
        <w:t>For topical ocular use</w:t>
      </w:r>
      <w:r w:rsidR="00D511A4">
        <w:t>.</w:t>
      </w:r>
    </w:p>
    <w:p w14:paraId="5B05A77F" w14:textId="77777777" w:rsidR="00671E86" w:rsidRPr="008F5678" w:rsidRDefault="00000000" w:rsidP="00233A79">
      <w:pPr>
        <w:pStyle w:val="SubHeafingSMPC"/>
      </w:pPr>
      <w:r w:rsidRPr="008F5678">
        <w:t>Contraindications</w:t>
      </w:r>
    </w:p>
    <w:p w14:paraId="0D9BB513" w14:textId="6F81FBDA" w:rsidR="00203876" w:rsidRDefault="00203876" w:rsidP="00203876">
      <w:pPr>
        <w:pStyle w:val="BodyTextSMPC"/>
      </w:pPr>
      <w:r>
        <w:t xml:space="preserve">Hypersensitivity to the active substance or to any of the excipients listed in section 6.1 </w:t>
      </w:r>
    </w:p>
    <w:p w14:paraId="4D60939E" w14:textId="297E5B51" w:rsidR="007B18D7" w:rsidRDefault="00203876" w:rsidP="00203876">
      <w:pPr>
        <w:pStyle w:val="BodyTextSMPC"/>
      </w:pPr>
      <w:r>
        <w:t>Myasthenia gravis</w:t>
      </w:r>
      <w:r w:rsidR="00C864CB">
        <w:t>.</w:t>
      </w:r>
    </w:p>
    <w:p w14:paraId="6955ACE4" w14:textId="77777777" w:rsidR="00A144D2" w:rsidRPr="008F5678" w:rsidRDefault="00000000" w:rsidP="00671E86">
      <w:pPr>
        <w:pStyle w:val="SubHeafingSMPC"/>
      </w:pPr>
      <w:r w:rsidRPr="008F5678">
        <w:t xml:space="preserve">Special warnings and precautions for use </w:t>
      </w:r>
    </w:p>
    <w:p w14:paraId="79350682" w14:textId="0E9A92F4" w:rsidR="00203876" w:rsidRDefault="00203876" w:rsidP="00203876">
      <w:pPr>
        <w:pStyle w:val="BodyTextSMPC"/>
      </w:pPr>
      <w:r>
        <w:t xml:space="preserve">Long-term continuous topical therapy should be avoided. Prolonged use may lead to skin </w:t>
      </w:r>
      <w:proofErr w:type="spellStart"/>
      <w:r>
        <w:t>sensitisation</w:t>
      </w:r>
      <w:proofErr w:type="spellEnd"/>
      <w:r>
        <w:t xml:space="preserve"> and the emergence of resistant organisms. Cross sensitivity with other aminoglycoside antibiotics may occur. </w:t>
      </w:r>
    </w:p>
    <w:p w14:paraId="0F0877A5" w14:textId="5B046006" w:rsidR="00203876" w:rsidRDefault="00203876" w:rsidP="00203876">
      <w:pPr>
        <w:pStyle w:val="BodyTextSMPC"/>
      </w:pPr>
      <w:r>
        <w:t xml:space="preserve">In severe infections, topical use of gentamicin should be supplemented with appropriate systemic antibiotic treatment. </w:t>
      </w:r>
    </w:p>
    <w:p w14:paraId="62BEC6AD" w14:textId="17B40F15" w:rsidR="00203876" w:rsidRDefault="00203876" w:rsidP="00203876">
      <w:pPr>
        <w:pStyle w:val="BodyTextSMPC"/>
      </w:pPr>
      <w:r>
        <w:t xml:space="preserve">Gentamicin may cause irreversible partial or total deafness when given systemically or when applied topically to open wounds or damaged skin. This effect is dose-related and is enhanced by renal and/or hepatic impairment and is more likely in the elderly. </w:t>
      </w:r>
    </w:p>
    <w:p w14:paraId="36798262" w14:textId="71B366A0" w:rsidR="00203876" w:rsidRDefault="00203876" w:rsidP="00203876">
      <w:pPr>
        <w:pStyle w:val="BodyTextSMPC"/>
      </w:pPr>
      <w:r>
        <w:t xml:space="preserve">Contact lenses should be removed during the period of treatment of ocular infections. </w:t>
      </w:r>
    </w:p>
    <w:p w14:paraId="052986AC" w14:textId="2612EDF0" w:rsidR="00203876" w:rsidRDefault="00203876" w:rsidP="00203876">
      <w:pPr>
        <w:pStyle w:val="BodyTextSMPC"/>
      </w:pPr>
      <w:r>
        <w:t xml:space="preserve">Serious adverse reactions including neurotoxicity, ototoxicity and nephrotoxicity have occurred in patients receiving systemic gentamicin therapy. Although these effects have not been reported following topical </w:t>
      </w:r>
      <w:proofErr w:type="spellStart"/>
      <w:r>
        <w:t>otic</w:t>
      </w:r>
      <w:proofErr w:type="spellEnd"/>
      <w:r>
        <w:t xml:space="preserve"> use of gentamicin, caution is advised when used concomitantly with systemic aminoglycosides. There have been observed cases of an increased risk of ototoxicity with aminoglycosides administered to patients with mitochondrial mutations, particularly the m.1555A&gt;G mutation, including cases where the patient’s aminoglycoside serum levels were within the recommended range. Some cases were associated with a maternal history of deafness and/or mitochondrial mutation. Mitochondrial mutations are rare, and the penetrance of this observed effect is unknown. </w:t>
      </w:r>
    </w:p>
    <w:p w14:paraId="01B9360E" w14:textId="4F581AF4" w:rsidR="00AF364C" w:rsidRPr="006101D5" w:rsidRDefault="00203876" w:rsidP="00203876">
      <w:pPr>
        <w:pStyle w:val="BodyTextSMPC"/>
      </w:pPr>
      <w:r>
        <w:t>Patients should be monitored in case of prolonged use</w:t>
      </w:r>
      <w:r w:rsidR="00E26333">
        <w:t>.</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lastRenderedPageBreak/>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626736A3" w14:textId="47E9542B" w:rsidR="00DB5F3B" w:rsidRDefault="00DB5F3B" w:rsidP="00DB5F3B">
      <w:pPr>
        <w:pStyle w:val="BodyTextSMPC"/>
      </w:pPr>
      <w:r>
        <w:t xml:space="preserve">Potent diuretics such as ethacrynic acid and furosemide are believed to enhance any risk of ototoxicity whilst amphotericin B, cisplatin and cyclosporine and cephalosporins are potential enhancers of nephrotoxicity. </w:t>
      </w:r>
    </w:p>
    <w:p w14:paraId="43FA9E64" w14:textId="5D4EC4F8" w:rsidR="00DB5F3B" w:rsidRDefault="00DB5F3B" w:rsidP="00DB5F3B">
      <w:pPr>
        <w:pStyle w:val="BodyTextSMPC"/>
      </w:pPr>
      <w:r>
        <w:t xml:space="preserve">Concurrent use with other potentially nephrotoxic or ototoxic drugs should be avoided unless considered essential by the physician. </w:t>
      </w:r>
    </w:p>
    <w:p w14:paraId="671F337F" w14:textId="1067A5D5" w:rsidR="003B51C2" w:rsidRDefault="00DB5F3B" w:rsidP="00DB5F3B">
      <w:pPr>
        <w:pStyle w:val="BodyTextSMPC"/>
      </w:pPr>
      <w:r>
        <w:t xml:space="preserve">Neuromuscular blockade and respiratory paralysis have been reported in patients from the administration of aminoglycosides to patients who have received curare-type muscle relaxants during </w:t>
      </w:r>
      <w:proofErr w:type="spellStart"/>
      <w:r>
        <w:t>anaesthesia</w:t>
      </w:r>
      <w:proofErr w:type="spellEnd"/>
      <w:r w:rsidR="00364ADF">
        <w:t>.</w:t>
      </w:r>
      <w:r w:rsidR="00F70F86">
        <w:t xml:space="preserve"> </w:t>
      </w:r>
      <w:r w:rsidR="004B5CBB">
        <w:t xml:space="preserve"> </w:t>
      </w:r>
    </w:p>
    <w:p w14:paraId="622B2896" w14:textId="178152B9" w:rsidR="009D6FFD" w:rsidRPr="009D6FFD" w:rsidRDefault="00000000" w:rsidP="004A5AB4">
      <w:pPr>
        <w:pStyle w:val="SubHeafingSMPC"/>
      </w:pPr>
      <w:r w:rsidRPr="008F5678">
        <w:t xml:space="preserve">Fertility, pregnancy and lactation </w:t>
      </w:r>
    </w:p>
    <w:p w14:paraId="10293316" w14:textId="77777777" w:rsidR="00DB5F3B" w:rsidRPr="00DB5F3B" w:rsidRDefault="00DB5F3B" w:rsidP="00DB5F3B">
      <w:pPr>
        <w:pStyle w:val="BodyTextSMPC"/>
        <w:rPr>
          <w:b/>
          <w:bCs/>
        </w:rPr>
      </w:pPr>
      <w:r w:rsidRPr="00DB5F3B">
        <w:rPr>
          <w:b/>
          <w:bCs/>
        </w:rPr>
        <w:t>Pregnancy</w:t>
      </w:r>
    </w:p>
    <w:p w14:paraId="3A0BE1DB" w14:textId="2B6B9808" w:rsidR="00DB5F3B" w:rsidRDefault="00DB5F3B" w:rsidP="00DB5F3B">
      <w:pPr>
        <w:pStyle w:val="BodyTextSMPC"/>
      </w:pPr>
      <w:r>
        <w:t>Safety for use in pregnancy has not been established. Gentamicin should only be used in pregnancy when considered essential by the physician, after careful assessment of the potential</w:t>
      </w:r>
      <w:r>
        <w:t xml:space="preserve"> </w:t>
      </w:r>
      <w:r>
        <w:t xml:space="preserve">risks and benefits. </w:t>
      </w:r>
    </w:p>
    <w:p w14:paraId="74E450B8" w14:textId="77777777" w:rsidR="00DB5F3B" w:rsidRPr="00DB5F3B" w:rsidRDefault="00DB5F3B" w:rsidP="00DB5F3B">
      <w:pPr>
        <w:pStyle w:val="BodyTextSMPC"/>
        <w:rPr>
          <w:b/>
          <w:bCs/>
        </w:rPr>
      </w:pPr>
      <w:r w:rsidRPr="00DB5F3B">
        <w:rPr>
          <w:b/>
          <w:bCs/>
        </w:rPr>
        <w:t>Breast-feeding</w:t>
      </w:r>
    </w:p>
    <w:p w14:paraId="549AB4B3" w14:textId="5F35C2A1" w:rsidR="00DB5F3B" w:rsidRDefault="00DB5F3B" w:rsidP="00DB5F3B">
      <w:pPr>
        <w:pStyle w:val="BodyTextSMPC"/>
      </w:pPr>
      <w:r>
        <w:t xml:space="preserve">Safety for use in lactation has not been established. In the absence of gastrointestinal </w:t>
      </w:r>
      <w:r>
        <w:t>inflammation,</w:t>
      </w:r>
      <w:r>
        <w:t xml:space="preserve"> the amount of gentamicin ingested from the milk is unlikely to result in significant blood levels in breast-fed infants. Gentamicin should only be used in lactation when considered essential by the physician, after careful assessment of the potential risks and benefits. </w:t>
      </w:r>
    </w:p>
    <w:p w14:paraId="4E132A44" w14:textId="77777777" w:rsidR="00DB5F3B" w:rsidRPr="00DB5F3B" w:rsidRDefault="00DB5F3B" w:rsidP="00DB5F3B">
      <w:pPr>
        <w:pStyle w:val="BodyTextSMPC"/>
        <w:rPr>
          <w:b/>
          <w:bCs/>
        </w:rPr>
      </w:pPr>
      <w:r w:rsidRPr="00DB5F3B">
        <w:rPr>
          <w:b/>
          <w:bCs/>
        </w:rPr>
        <w:t>Fertility</w:t>
      </w:r>
    </w:p>
    <w:p w14:paraId="7F9E4D3C" w14:textId="1959BCAE" w:rsidR="00EB692F" w:rsidRDefault="00DB5F3B" w:rsidP="00DB5F3B">
      <w:pPr>
        <w:pStyle w:val="BodyTextSMPC"/>
      </w:pPr>
      <w:r>
        <w:t>No data available.</w:t>
      </w:r>
    </w:p>
    <w:p w14:paraId="6D62B196" w14:textId="223FFB6A" w:rsidR="00227FD4" w:rsidRPr="008F5678" w:rsidRDefault="00000000" w:rsidP="00671E86">
      <w:pPr>
        <w:pStyle w:val="SubHeafingSMPC"/>
      </w:pPr>
      <w:r w:rsidRPr="008F5678">
        <w:t xml:space="preserve">Effects on ability to drive and use machines </w:t>
      </w:r>
    </w:p>
    <w:p w14:paraId="7E43B901" w14:textId="45008E77" w:rsidR="00227FD4" w:rsidRPr="009D6FFD" w:rsidRDefault="00DB5F3B" w:rsidP="00DB5F3B">
      <w:pPr>
        <w:pStyle w:val="BodyTextSMPC"/>
      </w:pPr>
      <w:r>
        <w:t>Patients should be advised that the use of Gentamicin in the eye may cause transient blurring of vision. If affected, patients should not drive or operate machinery until vision has cleared</w:t>
      </w:r>
      <w:r w:rsidR="00EB692F">
        <w:t>.</w:t>
      </w:r>
    </w:p>
    <w:p w14:paraId="071D62C3" w14:textId="1176E362" w:rsidR="00227FD4" w:rsidRPr="008F5678" w:rsidRDefault="00000000" w:rsidP="00671E86">
      <w:pPr>
        <w:pStyle w:val="SubHeafingSMPC"/>
      </w:pPr>
      <w:r w:rsidRPr="008F5678">
        <w:lastRenderedPageBreak/>
        <w:t xml:space="preserve">Undesirable effects </w:t>
      </w:r>
    </w:p>
    <w:p w14:paraId="08F951CC" w14:textId="001C0641" w:rsidR="00DB5F3B" w:rsidRDefault="00DB5F3B" w:rsidP="00DB5F3B">
      <w:pPr>
        <w:pStyle w:val="BodyTextSMPC"/>
        <w:spacing w:before="240"/>
      </w:pPr>
      <w:r>
        <w:t>The following adverse reactions are classified by system organ class and ranked under heading of frequency using the following convention: Not known (cannot be estimated from the available data)</w:t>
      </w:r>
    </w:p>
    <w:tbl>
      <w:tblPr>
        <w:tblW w:w="8505" w:type="dxa"/>
        <w:tblCellSpacing w:w="0" w:type="dxa"/>
        <w:tblInd w:w="70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261"/>
        <w:gridCol w:w="2267"/>
        <w:gridCol w:w="2977"/>
      </w:tblGrid>
      <w:tr w:rsidR="00DB5F3B" w:rsidRPr="00DB5F3B" w14:paraId="122E3C73" w14:textId="77777777" w:rsidTr="006B4344">
        <w:trPr>
          <w:tblCellSpacing w:w="0" w:type="dxa"/>
        </w:trPr>
        <w:tc>
          <w:tcPr>
            <w:tcW w:w="1917" w:type="pct"/>
            <w:tcBorders>
              <w:top w:val="outset" w:sz="6" w:space="0" w:color="auto"/>
              <w:left w:val="outset" w:sz="6" w:space="0" w:color="auto"/>
              <w:bottom w:val="outset" w:sz="6" w:space="0" w:color="auto"/>
              <w:right w:val="outset" w:sz="6" w:space="0" w:color="auto"/>
            </w:tcBorders>
            <w:shd w:val="clear" w:color="auto" w:fill="FFFFFF"/>
            <w:hideMark/>
          </w:tcPr>
          <w:p w14:paraId="7C51155E" w14:textId="77777777" w:rsidR="00DB5F3B" w:rsidRPr="00DB5F3B" w:rsidRDefault="00DB5F3B" w:rsidP="006B4344">
            <w:pPr>
              <w:pStyle w:val="BodyTextSMPC"/>
              <w:spacing w:after="0"/>
              <w:ind w:left="0"/>
              <w:jc w:val="center"/>
              <w:rPr>
                <w:b/>
                <w:bCs/>
              </w:rPr>
            </w:pPr>
            <w:r w:rsidRPr="00DB5F3B">
              <w:rPr>
                <w:b/>
                <w:bCs/>
              </w:rPr>
              <w:t>System organ class</w:t>
            </w:r>
          </w:p>
        </w:tc>
        <w:tc>
          <w:tcPr>
            <w:tcW w:w="1333" w:type="pct"/>
            <w:tcBorders>
              <w:top w:val="outset" w:sz="6" w:space="0" w:color="auto"/>
              <w:left w:val="outset" w:sz="6" w:space="0" w:color="auto"/>
              <w:bottom w:val="outset" w:sz="6" w:space="0" w:color="auto"/>
              <w:right w:val="outset" w:sz="6" w:space="0" w:color="auto"/>
            </w:tcBorders>
            <w:shd w:val="clear" w:color="auto" w:fill="FFFFFF"/>
            <w:hideMark/>
          </w:tcPr>
          <w:p w14:paraId="4DADB062" w14:textId="77777777" w:rsidR="00DB5F3B" w:rsidRPr="00DB5F3B" w:rsidRDefault="00DB5F3B" w:rsidP="006B4344">
            <w:pPr>
              <w:pStyle w:val="BodyTextSMPC"/>
              <w:spacing w:after="0"/>
              <w:ind w:left="0"/>
              <w:jc w:val="center"/>
              <w:rPr>
                <w:b/>
                <w:bCs/>
              </w:rPr>
            </w:pPr>
            <w:r w:rsidRPr="00DB5F3B">
              <w:rPr>
                <w:b/>
                <w:bCs/>
              </w:rPr>
              <w:t>Frequency</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14:paraId="1B54758C" w14:textId="77777777" w:rsidR="00DB5F3B" w:rsidRPr="00DB5F3B" w:rsidRDefault="00DB5F3B" w:rsidP="006B4344">
            <w:pPr>
              <w:pStyle w:val="BodyTextSMPC"/>
              <w:spacing w:after="0"/>
              <w:ind w:left="0"/>
              <w:jc w:val="center"/>
              <w:rPr>
                <w:b/>
                <w:bCs/>
              </w:rPr>
            </w:pPr>
            <w:r w:rsidRPr="00DB5F3B">
              <w:rPr>
                <w:b/>
                <w:bCs/>
              </w:rPr>
              <w:t>Undesirable effects</w:t>
            </w:r>
          </w:p>
        </w:tc>
      </w:tr>
      <w:tr w:rsidR="00DB5F3B" w:rsidRPr="00DB5F3B" w14:paraId="2D3948DE" w14:textId="77777777" w:rsidTr="006B4344">
        <w:trPr>
          <w:tblCellSpacing w:w="0" w:type="dxa"/>
        </w:trPr>
        <w:tc>
          <w:tcPr>
            <w:tcW w:w="1917" w:type="pct"/>
            <w:tcBorders>
              <w:top w:val="outset" w:sz="6" w:space="0" w:color="auto"/>
              <w:left w:val="outset" w:sz="6" w:space="0" w:color="auto"/>
              <w:bottom w:val="outset" w:sz="6" w:space="0" w:color="auto"/>
              <w:right w:val="outset" w:sz="6" w:space="0" w:color="auto"/>
            </w:tcBorders>
            <w:shd w:val="clear" w:color="auto" w:fill="FFFFFF"/>
            <w:hideMark/>
          </w:tcPr>
          <w:p w14:paraId="12D1D149" w14:textId="77777777" w:rsidR="00DB5F3B" w:rsidRPr="00DB5F3B" w:rsidRDefault="00DB5F3B" w:rsidP="006B4344">
            <w:pPr>
              <w:pStyle w:val="BodyTextSMPC"/>
              <w:spacing w:after="0"/>
              <w:ind w:left="0"/>
              <w:jc w:val="left"/>
            </w:pPr>
            <w:r w:rsidRPr="00DB5F3B">
              <w:t>Eye disorders</w:t>
            </w:r>
          </w:p>
        </w:tc>
        <w:tc>
          <w:tcPr>
            <w:tcW w:w="1333" w:type="pct"/>
            <w:tcBorders>
              <w:top w:val="outset" w:sz="6" w:space="0" w:color="auto"/>
              <w:left w:val="outset" w:sz="6" w:space="0" w:color="auto"/>
              <w:bottom w:val="outset" w:sz="6" w:space="0" w:color="auto"/>
              <w:right w:val="outset" w:sz="6" w:space="0" w:color="auto"/>
            </w:tcBorders>
            <w:shd w:val="clear" w:color="auto" w:fill="FFFFFF"/>
            <w:hideMark/>
          </w:tcPr>
          <w:p w14:paraId="16569844" w14:textId="77777777" w:rsidR="00DB5F3B" w:rsidRPr="00DB5F3B" w:rsidRDefault="00DB5F3B" w:rsidP="006B4344">
            <w:pPr>
              <w:pStyle w:val="BodyTextSMPC"/>
              <w:spacing w:after="0"/>
              <w:ind w:left="0"/>
              <w:jc w:val="left"/>
            </w:pPr>
            <w:r w:rsidRPr="00DB5F3B">
              <w:t>Not known</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14:paraId="131C2BC4" w14:textId="77777777" w:rsidR="00DB5F3B" w:rsidRPr="00DB5F3B" w:rsidRDefault="00DB5F3B" w:rsidP="006B4344">
            <w:pPr>
              <w:pStyle w:val="BodyTextSMPC"/>
              <w:spacing w:after="0"/>
              <w:ind w:left="0"/>
              <w:jc w:val="left"/>
            </w:pPr>
            <w:r w:rsidRPr="00DB5F3B">
              <w:t>- local sensitivity:</w:t>
            </w:r>
          </w:p>
          <w:p w14:paraId="3AC7C77C" w14:textId="77777777" w:rsidR="00DB5F3B" w:rsidRPr="00DB5F3B" w:rsidRDefault="00DB5F3B" w:rsidP="006B4344">
            <w:pPr>
              <w:pStyle w:val="BodyTextSMPC"/>
              <w:spacing w:after="0"/>
              <w:ind w:left="0"/>
              <w:jc w:val="left"/>
            </w:pPr>
            <w:r w:rsidRPr="00DB5F3B">
              <w:t>- vision blurred</w:t>
            </w:r>
          </w:p>
          <w:p w14:paraId="1D3CAC40" w14:textId="77777777" w:rsidR="00DB5F3B" w:rsidRPr="00DB5F3B" w:rsidRDefault="00DB5F3B" w:rsidP="006B4344">
            <w:pPr>
              <w:pStyle w:val="BodyTextSMPC"/>
              <w:spacing w:after="0"/>
              <w:ind w:left="0"/>
              <w:jc w:val="left"/>
            </w:pPr>
            <w:r w:rsidRPr="00DB5F3B">
              <w:t>- eye irritation</w:t>
            </w:r>
          </w:p>
          <w:p w14:paraId="3BA8E2AD" w14:textId="77777777" w:rsidR="00DB5F3B" w:rsidRPr="00DB5F3B" w:rsidRDefault="00DB5F3B" w:rsidP="006B4344">
            <w:pPr>
              <w:pStyle w:val="BodyTextSMPC"/>
              <w:spacing w:after="0"/>
              <w:ind w:left="0"/>
              <w:jc w:val="left"/>
            </w:pPr>
            <w:r w:rsidRPr="00DB5F3B">
              <w:t>- burning sensation</w:t>
            </w:r>
          </w:p>
          <w:p w14:paraId="590CCF01" w14:textId="77777777" w:rsidR="00DB5F3B" w:rsidRPr="00DB5F3B" w:rsidRDefault="00DB5F3B" w:rsidP="006B4344">
            <w:pPr>
              <w:pStyle w:val="BodyTextSMPC"/>
              <w:spacing w:after="0"/>
              <w:ind w:left="0"/>
              <w:jc w:val="left"/>
            </w:pPr>
            <w:r w:rsidRPr="00DB5F3B">
              <w:t>- stinging sensation</w:t>
            </w:r>
          </w:p>
          <w:p w14:paraId="5B6E3021" w14:textId="77777777" w:rsidR="00DB5F3B" w:rsidRPr="00DB5F3B" w:rsidRDefault="00DB5F3B" w:rsidP="006B4344">
            <w:pPr>
              <w:pStyle w:val="BodyTextSMPC"/>
              <w:spacing w:after="0"/>
              <w:ind w:left="0"/>
              <w:jc w:val="left"/>
            </w:pPr>
            <w:r w:rsidRPr="00DB5F3B">
              <w:t>- itching (eye pruritus)</w:t>
            </w:r>
          </w:p>
        </w:tc>
      </w:tr>
      <w:tr w:rsidR="00DB5F3B" w:rsidRPr="00DB5F3B" w14:paraId="0A067450" w14:textId="77777777" w:rsidTr="006B4344">
        <w:trPr>
          <w:tblCellSpacing w:w="0" w:type="dxa"/>
        </w:trPr>
        <w:tc>
          <w:tcPr>
            <w:tcW w:w="1917" w:type="pct"/>
            <w:tcBorders>
              <w:top w:val="outset" w:sz="6" w:space="0" w:color="auto"/>
              <w:left w:val="outset" w:sz="6" w:space="0" w:color="auto"/>
              <w:bottom w:val="outset" w:sz="6" w:space="0" w:color="auto"/>
              <w:right w:val="outset" w:sz="6" w:space="0" w:color="auto"/>
            </w:tcBorders>
            <w:shd w:val="clear" w:color="auto" w:fill="FFFFFF"/>
            <w:hideMark/>
          </w:tcPr>
          <w:p w14:paraId="09AD2F30" w14:textId="77777777" w:rsidR="00DB5F3B" w:rsidRPr="00DB5F3B" w:rsidRDefault="00DB5F3B" w:rsidP="006B4344">
            <w:pPr>
              <w:pStyle w:val="BodyTextSMPC"/>
              <w:spacing w:after="0"/>
              <w:ind w:left="0"/>
              <w:jc w:val="left"/>
            </w:pPr>
            <w:r w:rsidRPr="00DB5F3B">
              <w:t>Ear and labyrinth disorders</w:t>
            </w:r>
          </w:p>
        </w:tc>
        <w:tc>
          <w:tcPr>
            <w:tcW w:w="1333" w:type="pct"/>
            <w:tcBorders>
              <w:top w:val="outset" w:sz="6" w:space="0" w:color="auto"/>
              <w:left w:val="outset" w:sz="6" w:space="0" w:color="auto"/>
              <w:bottom w:val="outset" w:sz="6" w:space="0" w:color="auto"/>
              <w:right w:val="outset" w:sz="6" w:space="0" w:color="auto"/>
            </w:tcBorders>
            <w:shd w:val="clear" w:color="auto" w:fill="FFFFFF"/>
            <w:hideMark/>
          </w:tcPr>
          <w:p w14:paraId="53F8034D" w14:textId="77777777" w:rsidR="00DB5F3B" w:rsidRPr="00DB5F3B" w:rsidRDefault="00DB5F3B" w:rsidP="006B4344">
            <w:pPr>
              <w:pStyle w:val="BodyTextSMPC"/>
              <w:spacing w:after="0"/>
              <w:ind w:left="0"/>
              <w:jc w:val="left"/>
            </w:pPr>
            <w:r w:rsidRPr="00DB5F3B">
              <w:t>Not known</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14:paraId="6CA38A05" w14:textId="77777777" w:rsidR="00DB5F3B" w:rsidRPr="00DB5F3B" w:rsidRDefault="00DB5F3B" w:rsidP="006B4344">
            <w:pPr>
              <w:pStyle w:val="BodyTextSMPC"/>
              <w:spacing w:after="0"/>
              <w:ind w:left="0"/>
              <w:jc w:val="left"/>
            </w:pPr>
            <w:r w:rsidRPr="00DB5F3B">
              <w:t>- local sensitivity</w:t>
            </w:r>
          </w:p>
          <w:p w14:paraId="58F2D4FB" w14:textId="77777777" w:rsidR="00DB5F3B" w:rsidRPr="00DB5F3B" w:rsidRDefault="00DB5F3B" w:rsidP="006B4344">
            <w:pPr>
              <w:pStyle w:val="BodyTextSMPC"/>
              <w:spacing w:after="0"/>
              <w:ind w:left="0"/>
              <w:jc w:val="left"/>
            </w:pPr>
            <w:r w:rsidRPr="00DB5F3B">
              <w:t>- ototoxicity</w:t>
            </w:r>
          </w:p>
          <w:p w14:paraId="76E18210" w14:textId="77777777" w:rsidR="00DB5F3B" w:rsidRPr="00DB5F3B" w:rsidRDefault="00DB5F3B" w:rsidP="006B4344">
            <w:pPr>
              <w:pStyle w:val="BodyTextSMPC"/>
              <w:spacing w:after="0"/>
              <w:ind w:left="0"/>
              <w:jc w:val="left"/>
            </w:pPr>
            <w:r w:rsidRPr="00DB5F3B">
              <w:t>- vestibular disorder:</w:t>
            </w:r>
          </w:p>
          <w:p w14:paraId="44479AB2" w14:textId="77777777" w:rsidR="00DB5F3B" w:rsidRPr="00DB5F3B" w:rsidRDefault="00DB5F3B" w:rsidP="006B4344">
            <w:pPr>
              <w:pStyle w:val="BodyTextSMPC"/>
              <w:spacing w:after="0"/>
              <w:ind w:left="0"/>
              <w:jc w:val="left"/>
            </w:pPr>
            <w:r w:rsidRPr="00DB5F3B">
              <w:t>- hearing loss</w:t>
            </w:r>
          </w:p>
        </w:tc>
      </w:tr>
      <w:tr w:rsidR="00DB5F3B" w:rsidRPr="00DB5F3B" w14:paraId="29BA0B4C" w14:textId="77777777" w:rsidTr="006B4344">
        <w:trPr>
          <w:tblCellSpacing w:w="0" w:type="dxa"/>
        </w:trPr>
        <w:tc>
          <w:tcPr>
            <w:tcW w:w="1917" w:type="pct"/>
            <w:tcBorders>
              <w:top w:val="outset" w:sz="6" w:space="0" w:color="auto"/>
              <w:left w:val="outset" w:sz="6" w:space="0" w:color="auto"/>
              <w:bottom w:val="outset" w:sz="6" w:space="0" w:color="auto"/>
              <w:right w:val="outset" w:sz="6" w:space="0" w:color="auto"/>
            </w:tcBorders>
            <w:shd w:val="clear" w:color="auto" w:fill="FFFFFF"/>
            <w:hideMark/>
          </w:tcPr>
          <w:p w14:paraId="34A8C5C7" w14:textId="77777777" w:rsidR="00DB5F3B" w:rsidRPr="00DB5F3B" w:rsidRDefault="00DB5F3B" w:rsidP="006B4344">
            <w:pPr>
              <w:pStyle w:val="BodyTextSMPC"/>
              <w:spacing w:after="0"/>
              <w:ind w:left="0"/>
              <w:jc w:val="left"/>
            </w:pPr>
            <w:r w:rsidRPr="00DB5F3B">
              <w:t>Skin and subcutaneous tissue disorders</w:t>
            </w:r>
          </w:p>
        </w:tc>
        <w:tc>
          <w:tcPr>
            <w:tcW w:w="1333" w:type="pct"/>
            <w:tcBorders>
              <w:top w:val="outset" w:sz="6" w:space="0" w:color="auto"/>
              <w:left w:val="outset" w:sz="6" w:space="0" w:color="auto"/>
              <w:bottom w:val="outset" w:sz="6" w:space="0" w:color="auto"/>
              <w:right w:val="outset" w:sz="6" w:space="0" w:color="auto"/>
            </w:tcBorders>
            <w:shd w:val="clear" w:color="auto" w:fill="FFFFFF"/>
            <w:hideMark/>
          </w:tcPr>
          <w:p w14:paraId="49B83D48" w14:textId="77777777" w:rsidR="00DB5F3B" w:rsidRPr="00DB5F3B" w:rsidRDefault="00DB5F3B" w:rsidP="006B4344">
            <w:pPr>
              <w:pStyle w:val="BodyTextSMPC"/>
              <w:spacing w:after="0"/>
              <w:ind w:left="0"/>
              <w:jc w:val="left"/>
            </w:pPr>
            <w:r w:rsidRPr="00DB5F3B">
              <w:t>Not known</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14:paraId="3C13D2C4" w14:textId="77777777" w:rsidR="00DB5F3B" w:rsidRPr="00DB5F3B" w:rsidRDefault="00DB5F3B" w:rsidP="006B4344">
            <w:pPr>
              <w:pStyle w:val="BodyTextSMPC"/>
              <w:spacing w:after="0"/>
              <w:ind w:left="0"/>
              <w:jc w:val="left"/>
            </w:pPr>
            <w:r w:rsidRPr="00DB5F3B">
              <w:t>- burning sensation</w:t>
            </w:r>
          </w:p>
          <w:p w14:paraId="5F897A59" w14:textId="77777777" w:rsidR="00DB5F3B" w:rsidRPr="00DB5F3B" w:rsidRDefault="00DB5F3B" w:rsidP="006B4344">
            <w:pPr>
              <w:pStyle w:val="BodyTextSMPC"/>
              <w:spacing w:after="0"/>
              <w:ind w:left="0"/>
              <w:jc w:val="left"/>
            </w:pPr>
            <w:r w:rsidRPr="00DB5F3B">
              <w:t>- stinging</w:t>
            </w:r>
          </w:p>
          <w:p w14:paraId="38279DAC" w14:textId="77777777" w:rsidR="00DB5F3B" w:rsidRPr="00DB5F3B" w:rsidRDefault="00DB5F3B" w:rsidP="006B4344">
            <w:pPr>
              <w:pStyle w:val="BodyTextSMPC"/>
              <w:spacing w:after="0"/>
              <w:ind w:left="0"/>
              <w:jc w:val="left"/>
            </w:pPr>
            <w:r w:rsidRPr="00DB5F3B">
              <w:t>- itching (pruritus):</w:t>
            </w:r>
          </w:p>
          <w:p w14:paraId="62D89431" w14:textId="77777777" w:rsidR="00DB5F3B" w:rsidRPr="00DB5F3B" w:rsidRDefault="00DB5F3B" w:rsidP="006B4344">
            <w:pPr>
              <w:pStyle w:val="BodyTextSMPC"/>
              <w:spacing w:after="0"/>
              <w:ind w:left="0"/>
              <w:jc w:val="left"/>
            </w:pPr>
            <w:r w:rsidRPr="00DB5F3B">
              <w:t>- dermatitis.</w:t>
            </w:r>
          </w:p>
        </w:tc>
      </w:tr>
      <w:tr w:rsidR="00DB5F3B" w:rsidRPr="00DB5F3B" w14:paraId="63D255CB" w14:textId="77777777" w:rsidTr="006B4344">
        <w:trPr>
          <w:tblCellSpacing w:w="0" w:type="dxa"/>
        </w:trPr>
        <w:tc>
          <w:tcPr>
            <w:tcW w:w="1917" w:type="pct"/>
            <w:tcBorders>
              <w:top w:val="outset" w:sz="6" w:space="0" w:color="auto"/>
              <w:left w:val="outset" w:sz="6" w:space="0" w:color="auto"/>
              <w:bottom w:val="outset" w:sz="6" w:space="0" w:color="auto"/>
              <w:right w:val="outset" w:sz="6" w:space="0" w:color="auto"/>
            </w:tcBorders>
            <w:shd w:val="clear" w:color="auto" w:fill="FFFFFF"/>
            <w:hideMark/>
          </w:tcPr>
          <w:p w14:paraId="615020E0" w14:textId="77777777" w:rsidR="00DB5F3B" w:rsidRPr="00DB5F3B" w:rsidRDefault="00DB5F3B" w:rsidP="006B4344">
            <w:pPr>
              <w:pStyle w:val="BodyTextSMPC"/>
              <w:spacing w:after="0"/>
              <w:ind w:left="0"/>
              <w:jc w:val="left"/>
            </w:pPr>
            <w:r w:rsidRPr="00DB5F3B">
              <w:t>Renal and urinary disorders</w:t>
            </w:r>
          </w:p>
        </w:tc>
        <w:tc>
          <w:tcPr>
            <w:tcW w:w="1333" w:type="pct"/>
            <w:tcBorders>
              <w:top w:val="outset" w:sz="6" w:space="0" w:color="auto"/>
              <w:left w:val="outset" w:sz="6" w:space="0" w:color="auto"/>
              <w:bottom w:val="outset" w:sz="6" w:space="0" w:color="auto"/>
              <w:right w:val="outset" w:sz="6" w:space="0" w:color="auto"/>
            </w:tcBorders>
            <w:shd w:val="clear" w:color="auto" w:fill="FFFFFF"/>
            <w:hideMark/>
          </w:tcPr>
          <w:p w14:paraId="5A0A090A" w14:textId="77777777" w:rsidR="00DB5F3B" w:rsidRPr="00DB5F3B" w:rsidRDefault="00DB5F3B" w:rsidP="006B4344">
            <w:pPr>
              <w:pStyle w:val="BodyTextSMPC"/>
              <w:spacing w:after="0"/>
              <w:ind w:left="0"/>
              <w:jc w:val="left"/>
            </w:pPr>
            <w:r w:rsidRPr="00DB5F3B">
              <w:t>Not known</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14:paraId="4E09B267" w14:textId="77777777" w:rsidR="00DB5F3B" w:rsidRPr="00DB5F3B" w:rsidRDefault="00DB5F3B" w:rsidP="006B4344">
            <w:pPr>
              <w:pStyle w:val="BodyTextSMPC"/>
              <w:spacing w:after="0"/>
              <w:ind w:left="0"/>
              <w:jc w:val="left"/>
            </w:pPr>
            <w:r w:rsidRPr="00DB5F3B">
              <w:t>- nephropathy toxic*</w:t>
            </w:r>
          </w:p>
          <w:p w14:paraId="650DF73A" w14:textId="77777777" w:rsidR="00DB5F3B" w:rsidRPr="00DB5F3B" w:rsidRDefault="00DB5F3B" w:rsidP="006B4344">
            <w:pPr>
              <w:pStyle w:val="BodyTextSMPC"/>
              <w:spacing w:after="0"/>
              <w:ind w:left="0"/>
              <w:jc w:val="left"/>
            </w:pPr>
            <w:r w:rsidRPr="00DB5F3B">
              <w:t>- acute renal failure</w:t>
            </w:r>
          </w:p>
        </w:tc>
      </w:tr>
    </w:tbl>
    <w:p w14:paraId="58D14154" w14:textId="77777777" w:rsidR="006B4344" w:rsidRDefault="006B4344" w:rsidP="006B4344">
      <w:pPr>
        <w:pStyle w:val="BodyTextSMPC"/>
        <w:spacing w:before="240"/>
      </w:pPr>
      <w:r>
        <w:t>*Gentamicin may cause nephrotoxicity when given systemically. However, it is likely that systemic absorption following topical administration does not constitute a comparable risk.</w:t>
      </w:r>
    </w:p>
    <w:p w14:paraId="3DC0B0D1" w14:textId="6CB92A7A" w:rsidR="00EB692F" w:rsidRPr="00EB692F" w:rsidRDefault="006B4344" w:rsidP="006B4344">
      <w:pPr>
        <w:pStyle w:val="BodyTextSMPC"/>
        <w:spacing w:before="240"/>
      </w:pPr>
      <w:r>
        <w:t xml:space="preserve">In the event of irritation, </w:t>
      </w:r>
      <w:proofErr w:type="spellStart"/>
      <w:r>
        <w:t>sensitisation</w:t>
      </w:r>
      <w:proofErr w:type="spellEnd"/>
      <w:r>
        <w:t xml:space="preserve"> or super-infection, treatment should be discontinued and appropriate therapy instituted.</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lastRenderedPageBreak/>
        <w:t xml:space="preserve">Overdose </w:t>
      </w:r>
    </w:p>
    <w:p w14:paraId="049A307B" w14:textId="77777777" w:rsidR="000F6186" w:rsidRPr="000F6186" w:rsidRDefault="000F6186" w:rsidP="000F6186">
      <w:pPr>
        <w:pStyle w:val="BodyTextSMPC"/>
        <w:rPr>
          <w:b/>
          <w:bCs/>
        </w:rPr>
      </w:pPr>
      <w:r w:rsidRPr="000F6186">
        <w:rPr>
          <w:b/>
          <w:bCs/>
        </w:rPr>
        <w:t>Symptoms</w:t>
      </w:r>
    </w:p>
    <w:p w14:paraId="5818F31E" w14:textId="7ECFAE4F" w:rsidR="000F6186" w:rsidRDefault="000F6186" w:rsidP="000F6186">
      <w:pPr>
        <w:pStyle w:val="BodyTextSMPC"/>
      </w:pPr>
      <w:r>
        <w:t xml:space="preserve">The oral ingestion of the contents of one bottle is unlikely to cause any significant adverse effect. </w:t>
      </w:r>
    </w:p>
    <w:p w14:paraId="503398B2" w14:textId="77777777" w:rsidR="000F6186" w:rsidRPr="000F6186" w:rsidRDefault="000F6186" w:rsidP="000F6186">
      <w:pPr>
        <w:pStyle w:val="BodyTextSMPC"/>
        <w:rPr>
          <w:b/>
          <w:bCs/>
        </w:rPr>
      </w:pPr>
      <w:r w:rsidRPr="000F6186">
        <w:rPr>
          <w:b/>
          <w:bCs/>
        </w:rPr>
        <w:t>Management</w:t>
      </w:r>
    </w:p>
    <w:p w14:paraId="5199B15A" w14:textId="70361C23" w:rsidR="001624D3" w:rsidRPr="001624D3" w:rsidRDefault="000F6186" w:rsidP="000F6186">
      <w:pPr>
        <w:pStyle w:val="BodyTextSMPC"/>
      </w:pPr>
      <w:proofErr w:type="spellStart"/>
      <w:r>
        <w:t>Haemodialysis</w:t>
      </w:r>
      <w:proofErr w:type="spellEnd"/>
      <w:r>
        <w:t xml:space="preserve"> and peritoneal dialysis will aid the removal from blood but the former is probably more efficient. Calcium salts given intravenously have been used to counter the neuromuscular blockade cause by gentamicin.</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72941F61" w14:textId="2AC04D06" w:rsidR="001624D3" w:rsidRDefault="000F6186" w:rsidP="001624D3">
      <w:pPr>
        <w:pStyle w:val="BodyTextSMPC"/>
      </w:pPr>
      <w:r w:rsidRPr="000F6186">
        <w:t xml:space="preserve">Pharmacotherapeutic group: </w:t>
      </w:r>
      <w:proofErr w:type="spellStart"/>
      <w:r w:rsidRPr="000F6186">
        <w:t>Antiinfectives</w:t>
      </w:r>
      <w:proofErr w:type="spellEnd"/>
      <w:r w:rsidR="00B13C7A" w:rsidRPr="00B13C7A">
        <w:t>.</w:t>
      </w:r>
      <w:r>
        <w:t xml:space="preserve"> </w:t>
      </w:r>
      <w:r w:rsidRPr="000F6186">
        <w:t>ATC code: S03AA06</w:t>
      </w:r>
    </w:p>
    <w:p w14:paraId="1D78C361" w14:textId="77777777" w:rsidR="000F6186" w:rsidRPr="000F6186" w:rsidRDefault="000F6186" w:rsidP="000F6186">
      <w:pPr>
        <w:pStyle w:val="BodyTextSMPC"/>
        <w:rPr>
          <w:u w:val="single"/>
        </w:rPr>
      </w:pPr>
      <w:r w:rsidRPr="000F6186">
        <w:rPr>
          <w:u w:val="single"/>
        </w:rPr>
        <w:t xml:space="preserve">Mechanism of action. </w:t>
      </w:r>
    </w:p>
    <w:p w14:paraId="59B7B69E" w14:textId="52F2CAC8" w:rsidR="000F6186" w:rsidRDefault="000F6186" w:rsidP="000F6186">
      <w:pPr>
        <w:pStyle w:val="BodyTextSMPC"/>
      </w:pPr>
      <w:r>
        <w:t xml:space="preserve">Gentamicin is mixture of antibiotic substances produced by the growth of </w:t>
      </w:r>
      <w:proofErr w:type="spellStart"/>
      <w:r>
        <w:t>micromonospora</w:t>
      </w:r>
      <w:proofErr w:type="spellEnd"/>
      <w:r>
        <w:t xml:space="preserve"> purpurea. It is a bactericidal antibiotic which acts by inhibiting protein synthesis. It has greater antibacterial activity than streptomycin, neomycin or kanamycin. </w:t>
      </w:r>
    </w:p>
    <w:p w14:paraId="51641238" w14:textId="1A2A8797" w:rsidR="00351B91" w:rsidRDefault="000F6186" w:rsidP="000F6186">
      <w:pPr>
        <w:pStyle w:val="BodyTextSMPC"/>
      </w:pPr>
      <w:r>
        <w:t xml:space="preserve">Gentamicin exerts a number of effects on cells of susceptible bacteria. It affects the integrity of the plasma membrane and the metabolism of RNA, but </w:t>
      </w:r>
      <w:proofErr w:type="gramStart"/>
      <w:r>
        <w:t>it's</w:t>
      </w:r>
      <w:proofErr w:type="gramEnd"/>
      <w:r>
        <w:t xml:space="preserve"> most important effect is inhibition of protein synthesis at the level of the 30s ribosomal subunit</w:t>
      </w:r>
      <w:r w:rsidR="001624D3">
        <w:t>.</w:t>
      </w:r>
    </w:p>
    <w:p w14:paraId="1B2570FC" w14:textId="3CB53918" w:rsidR="00934487" w:rsidRPr="00424399" w:rsidRDefault="00000000" w:rsidP="00424399">
      <w:pPr>
        <w:pStyle w:val="SubHeafingSMPC"/>
      </w:pPr>
      <w:r w:rsidRPr="008F5678">
        <w:t xml:space="preserve">Pharmacokinetic properties </w:t>
      </w:r>
    </w:p>
    <w:p w14:paraId="08A14317" w14:textId="77777777" w:rsidR="000F6186" w:rsidRPr="000F6186" w:rsidRDefault="000F6186" w:rsidP="000F6186">
      <w:pPr>
        <w:pStyle w:val="BodyTextSMPC"/>
        <w:rPr>
          <w:b/>
          <w:bCs/>
        </w:rPr>
      </w:pPr>
      <w:r w:rsidRPr="000F6186">
        <w:rPr>
          <w:b/>
          <w:bCs/>
        </w:rPr>
        <w:t>Absorption</w:t>
      </w:r>
    </w:p>
    <w:p w14:paraId="43312743" w14:textId="7189D315" w:rsidR="000F6186" w:rsidRDefault="000F6186" w:rsidP="000F6186">
      <w:pPr>
        <w:pStyle w:val="BodyTextSMPC"/>
      </w:pPr>
      <w:r>
        <w:t xml:space="preserve">Topical application of gentamicin can result in some systemic absorption. Treatment of large areas can result in plasma concentrations of up to 1µg/ml. </w:t>
      </w:r>
    </w:p>
    <w:p w14:paraId="4FBC121A" w14:textId="4F73CB42" w:rsidR="000F6186" w:rsidRPr="000F6186" w:rsidRDefault="000F6186" w:rsidP="000F6186">
      <w:pPr>
        <w:pStyle w:val="BodyTextSMPC"/>
        <w:rPr>
          <w:b/>
          <w:bCs/>
        </w:rPr>
      </w:pPr>
      <w:r w:rsidRPr="000F6186">
        <w:rPr>
          <w:b/>
          <w:bCs/>
        </w:rPr>
        <w:t>Distribution</w:t>
      </w:r>
    </w:p>
    <w:p w14:paraId="323904A5" w14:textId="0DCF3141" w:rsidR="000F6186" w:rsidRDefault="000F6186" w:rsidP="000F6186">
      <w:pPr>
        <w:pStyle w:val="BodyTextSMPC"/>
      </w:pPr>
      <w:r>
        <w:lastRenderedPageBreak/>
        <w:t>Gentamicin is 70-85% bound to plasma albumin following administration. Effective plasma concentration is 4 - 8ug/ml The volume of distribution (VD) is 0.3 1/kg</w:t>
      </w:r>
    </w:p>
    <w:p w14:paraId="5073FC17" w14:textId="77777777" w:rsidR="000F6186" w:rsidRPr="000F6186" w:rsidRDefault="000F6186" w:rsidP="000F6186">
      <w:pPr>
        <w:pStyle w:val="BodyTextSMPC"/>
        <w:rPr>
          <w:b/>
          <w:bCs/>
        </w:rPr>
      </w:pPr>
      <w:r w:rsidRPr="000F6186">
        <w:rPr>
          <w:b/>
          <w:bCs/>
        </w:rPr>
        <w:t>Elimination</w:t>
      </w:r>
    </w:p>
    <w:p w14:paraId="37BD32AF" w14:textId="54E0D64A" w:rsidR="000F6186" w:rsidRDefault="000F6186" w:rsidP="000F6186">
      <w:pPr>
        <w:pStyle w:val="BodyTextSMPC"/>
      </w:pPr>
      <w:r>
        <w:t xml:space="preserve">&gt; 90% Gentamicin is excreted unchanged in the urine by glomerular filtration. T½ = 2 - 3 hours in individuals with normal kidney function, but can be increased in cases of renal insufficiency. The elimination rate constant is; 0.02 Hr-1 for anuric patients* 0.30 Hr-1 normal </w:t>
      </w:r>
    </w:p>
    <w:p w14:paraId="2B31E401" w14:textId="637F80C0" w:rsidR="00934487" w:rsidRPr="00AC5FEA" w:rsidRDefault="000F6186" w:rsidP="000F6186">
      <w:pPr>
        <w:pStyle w:val="BodyTextSMPC"/>
      </w:pPr>
      <w:r>
        <w:t>*</w:t>
      </w:r>
      <w:r>
        <w:t>Therefore,</w:t>
      </w:r>
      <w:r>
        <w:t xml:space="preserve"> in those with anuria care must be exercised</w:t>
      </w:r>
      <w:r w:rsidR="00567F62" w:rsidRPr="00AC5FEA">
        <w:t>.</w:t>
      </w:r>
    </w:p>
    <w:p w14:paraId="0BBA0F2C" w14:textId="58A139F5" w:rsidR="00227FD4" w:rsidRPr="008F5678" w:rsidRDefault="00000000" w:rsidP="00671E86">
      <w:pPr>
        <w:pStyle w:val="SubHeafingSMPC"/>
      </w:pPr>
      <w:r w:rsidRPr="008F5678">
        <w:t xml:space="preserve">Preclinical safety data </w:t>
      </w:r>
    </w:p>
    <w:p w14:paraId="7BE4B9BC" w14:textId="105CA859" w:rsidR="00227FD4" w:rsidRPr="005574FA" w:rsidRDefault="000F6186" w:rsidP="00AC5FEA">
      <w:pPr>
        <w:pStyle w:val="BodyTextSMPC"/>
      </w:pPr>
      <w:r w:rsidRPr="000F6186">
        <w:t>Not relevant</w:t>
      </w:r>
      <w:r w:rsidR="00155D95">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43B68938" w:rsidR="00E139AC" w:rsidRPr="006E7537" w:rsidRDefault="00C85E0E" w:rsidP="00913543">
      <w:pPr>
        <w:pStyle w:val="BodyTextSMPC"/>
      </w:pPr>
      <w:r w:rsidRPr="00C85E0E">
        <w:t>Not applicable.</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lastRenderedPageBreak/>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FEBE0" w14:textId="77777777" w:rsidR="009E3A88" w:rsidRDefault="009E3A88" w:rsidP="008F5678">
      <w:pPr>
        <w:spacing w:line="240" w:lineRule="auto"/>
      </w:pPr>
      <w:r>
        <w:separator/>
      </w:r>
    </w:p>
  </w:endnote>
  <w:endnote w:type="continuationSeparator" w:id="0">
    <w:p w14:paraId="40768AAC" w14:textId="77777777" w:rsidR="009E3A88" w:rsidRDefault="009E3A88"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5D6F650E"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0F6186" w:rsidRPr="000F6186">
      <w:rPr>
        <w:rFonts w:ascii="Times New Roman" w:hAnsi="Times New Roman" w:cs="Times New Roman"/>
        <w:sz w:val="24"/>
        <w:szCs w:val="24"/>
      </w:rPr>
      <w:t>Gentamicin 0.3% w/v Eye/Ear Drops</w:t>
    </w:r>
    <w:r w:rsidRPr="008F5678">
      <w:rPr>
        <w:rFonts w:ascii="Times New Roman" w:hAnsi="Times New Roman" w:cs="Times New Roman"/>
        <w:sz w:val="24"/>
        <w:szCs w:val="24"/>
      </w:rPr>
      <w:t xml:space="preserve">, </w:t>
    </w:r>
    <w:r w:rsidR="00C85E0E">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0F6186">
      <w:rPr>
        <w:rFonts w:ascii="Times New Roman" w:hAnsi="Times New Roman" w:cs="Times New Roman"/>
        <w:sz w:val="24"/>
        <w:szCs w:val="24"/>
      </w:rPr>
      <w:t>13/03/2024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1FA57" w14:textId="77777777" w:rsidR="009E3A88" w:rsidRDefault="009E3A88" w:rsidP="008F5678">
      <w:pPr>
        <w:spacing w:line="240" w:lineRule="auto"/>
      </w:pPr>
      <w:r>
        <w:separator/>
      </w:r>
    </w:p>
  </w:footnote>
  <w:footnote w:type="continuationSeparator" w:id="0">
    <w:p w14:paraId="299B6F12" w14:textId="77777777" w:rsidR="009E3A88" w:rsidRDefault="009E3A88"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453B9"/>
    <w:rsid w:val="000523FE"/>
    <w:rsid w:val="000630DB"/>
    <w:rsid w:val="00070173"/>
    <w:rsid w:val="00072659"/>
    <w:rsid w:val="000970AF"/>
    <w:rsid w:val="000A7A98"/>
    <w:rsid w:val="000B04CC"/>
    <w:rsid w:val="000B5450"/>
    <w:rsid w:val="000B5EDF"/>
    <w:rsid w:val="000C7ED9"/>
    <w:rsid w:val="000D4C4D"/>
    <w:rsid w:val="000F022A"/>
    <w:rsid w:val="000F3E08"/>
    <w:rsid w:val="000F6186"/>
    <w:rsid w:val="000F68A5"/>
    <w:rsid w:val="000F6998"/>
    <w:rsid w:val="00111833"/>
    <w:rsid w:val="001162E6"/>
    <w:rsid w:val="001249D8"/>
    <w:rsid w:val="00143C89"/>
    <w:rsid w:val="00151237"/>
    <w:rsid w:val="00155D95"/>
    <w:rsid w:val="001624D3"/>
    <w:rsid w:val="001678C4"/>
    <w:rsid w:val="00177864"/>
    <w:rsid w:val="00182860"/>
    <w:rsid w:val="001839CC"/>
    <w:rsid w:val="001A39AF"/>
    <w:rsid w:val="001A4654"/>
    <w:rsid w:val="001A472D"/>
    <w:rsid w:val="001B1CB6"/>
    <w:rsid w:val="001B34A8"/>
    <w:rsid w:val="001B6B5C"/>
    <w:rsid w:val="001D74D3"/>
    <w:rsid w:val="001D7E5E"/>
    <w:rsid w:val="001E1455"/>
    <w:rsid w:val="001E4A8C"/>
    <w:rsid w:val="00200B73"/>
    <w:rsid w:val="00203871"/>
    <w:rsid w:val="00203876"/>
    <w:rsid w:val="00217343"/>
    <w:rsid w:val="00227FD4"/>
    <w:rsid w:val="00232126"/>
    <w:rsid w:val="00233A79"/>
    <w:rsid w:val="00233EB4"/>
    <w:rsid w:val="002357B1"/>
    <w:rsid w:val="00254057"/>
    <w:rsid w:val="00291687"/>
    <w:rsid w:val="002933FE"/>
    <w:rsid w:val="002C0470"/>
    <w:rsid w:val="00302302"/>
    <w:rsid w:val="00303231"/>
    <w:rsid w:val="00307506"/>
    <w:rsid w:val="00316A60"/>
    <w:rsid w:val="00323A34"/>
    <w:rsid w:val="0032475B"/>
    <w:rsid w:val="00342687"/>
    <w:rsid w:val="003450C0"/>
    <w:rsid w:val="003467EF"/>
    <w:rsid w:val="00351B91"/>
    <w:rsid w:val="00353092"/>
    <w:rsid w:val="00362134"/>
    <w:rsid w:val="00364ADF"/>
    <w:rsid w:val="00381125"/>
    <w:rsid w:val="00385779"/>
    <w:rsid w:val="00391F2E"/>
    <w:rsid w:val="00395395"/>
    <w:rsid w:val="00397295"/>
    <w:rsid w:val="003A3F82"/>
    <w:rsid w:val="003B16FC"/>
    <w:rsid w:val="003B2242"/>
    <w:rsid w:val="003B51C2"/>
    <w:rsid w:val="003C4A4C"/>
    <w:rsid w:val="003E756F"/>
    <w:rsid w:val="00400BAB"/>
    <w:rsid w:val="00415AF9"/>
    <w:rsid w:val="00417A75"/>
    <w:rsid w:val="00421378"/>
    <w:rsid w:val="00424399"/>
    <w:rsid w:val="00424C7B"/>
    <w:rsid w:val="00424F84"/>
    <w:rsid w:val="004547B5"/>
    <w:rsid w:val="00462D7E"/>
    <w:rsid w:val="004707A7"/>
    <w:rsid w:val="00473071"/>
    <w:rsid w:val="00475F22"/>
    <w:rsid w:val="00480965"/>
    <w:rsid w:val="0048242B"/>
    <w:rsid w:val="004A007B"/>
    <w:rsid w:val="004A5AB4"/>
    <w:rsid w:val="004B3BC3"/>
    <w:rsid w:val="004B56C3"/>
    <w:rsid w:val="004B5CBB"/>
    <w:rsid w:val="004C064E"/>
    <w:rsid w:val="004D6737"/>
    <w:rsid w:val="004F658C"/>
    <w:rsid w:val="004F6B98"/>
    <w:rsid w:val="0050369A"/>
    <w:rsid w:val="005122F4"/>
    <w:rsid w:val="005200B2"/>
    <w:rsid w:val="00523E4C"/>
    <w:rsid w:val="005248D2"/>
    <w:rsid w:val="0054751A"/>
    <w:rsid w:val="005574FA"/>
    <w:rsid w:val="00567F62"/>
    <w:rsid w:val="00573351"/>
    <w:rsid w:val="00577713"/>
    <w:rsid w:val="005B5962"/>
    <w:rsid w:val="005B78A4"/>
    <w:rsid w:val="00606B16"/>
    <w:rsid w:val="006101D5"/>
    <w:rsid w:val="006147EE"/>
    <w:rsid w:val="006224A3"/>
    <w:rsid w:val="0062302F"/>
    <w:rsid w:val="00641955"/>
    <w:rsid w:val="006448B7"/>
    <w:rsid w:val="00646ECA"/>
    <w:rsid w:val="00652313"/>
    <w:rsid w:val="00671E86"/>
    <w:rsid w:val="006745E3"/>
    <w:rsid w:val="006752B9"/>
    <w:rsid w:val="0069711D"/>
    <w:rsid w:val="006A7BA7"/>
    <w:rsid w:val="006B0EF4"/>
    <w:rsid w:val="006B41AF"/>
    <w:rsid w:val="006B4344"/>
    <w:rsid w:val="006B462B"/>
    <w:rsid w:val="006B7B99"/>
    <w:rsid w:val="006C22F9"/>
    <w:rsid w:val="006D4823"/>
    <w:rsid w:val="006E3D76"/>
    <w:rsid w:val="006E7537"/>
    <w:rsid w:val="00702D8E"/>
    <w:rsid w:val="007257A9"/>
    <w:rsid w:val="007258BA"/>
    <w:rsid w:val="00726D22"/>
    <w:rsid w:val="00732389"/>
    <w:rsid w:val="0073256D"/>
    <w:rsid w:val="00742D9B"/>
    <w:rsid w:val="0075380E"/>
    <w:rsid w:val="00755C3B"/>
    <w:rsid w:val="00757ABD"/>
    <w:rsid w:val="0076728F"/>
    <w:rsid w:val="00774F68"/>
    <w:rsid w:val="00783899"/>
    <w:rsid w:val="007A4C62"/>
    <w:rsid w:val="007A70CC"/>
    <w:rsid w:val="007B01F4"/>
    <w:rsid w:val="007B18D7"/>
    <w:rsid w:val="007C754A"/>
    <w:rsid w:val="007F2B3F"/>
    <w:rsid w:val="00816633"/>
    <w:rsid w:val="00817FAD"/>
    <w:rsid w:val="00834A79"/>
    <w:rsid w:val="008401B5"/>
    <w:rsid w:val="00842E18"/>
    <w:rsid w:val="008561A2"/>
    <w:rsid w:val="00857F59"/>
    <w:rsid w:val="008639E1"/>
    <w:rsid w:val="008825A3"/>
    <w:rsid w:val="00894F3B"/>
    <w:rsid w:val="008A2A73"/>
    <w:rsid w:val="008B5BE5"/>
    <w:rsid w:val="008C0C75"/>
    <w:rsid w:val="008C17A5"/>
    <w:rsid w:val="008C66E8"/>
    <w:rsid w:val="008D7A61"/>
    <w:rsid w:val="008F3900"/>
    <w:rsid w:val="008F5678"/>
    <w:rsid w:val="00907B35"/>
    <w:rsid w:val="00913543"/>
    <w:rsid w:val="009220E1"/>
    <w:rsid w:val="009242EA"/>
    <w:rsid w:val="00927D07"/>
    <w:rsid w:val="00934487"/>
    <w:rsid w:val="0094110D"/>
    <w:rsid w:val="00955F90"/>
    <w:rsid w:val="00962771"/>
    <w:rsid w:val="00962985"/>
    <w:rsid w:val="009719D6"/>
    <w:rsid w:val="00972AD6"/>
    <w:rsid w:val="00977EEA"/>
    <w:rsid w:val="00982CEB"/>
    <w:rsid w:val="00982EC5"/>
    <w:rsid w:val="00997D0B"/>
    <w:rsid w:val="009A1A64"/>
    <w:rsid w:val="009A3143"/>
    <w:rsid w:val="009C4E09"/>
    <w:rsid w:val="009D6FFD"/>
    <w:rsid w:val="009E3A88"/>
    <w:rsid w:val="00A04703"/>
    <w:rsid w:val="00A068D5"/>
    <w:rsid w:val="00A10233"/>
    <w:rsid w:val="00A144D2"/>
    <w:rsid w:val="00A16F7E"/>
    <w:rsid w:val="00A22C1C"/>
    <w:rsid w:val="00A37463"/>
    <w:rsid w:val="00A50140"/>
    <w:rsid w:val="00A560E6"/>
    <w:rsid w:val="00A56A7C"/>
    <w:rsid w:val="00A67F28"/>
    <w:rsid w:val="00A856F1"/>
    <w:rsid w:val="00A85894"/>
    <w:rsid w:val="00A912A3"/>
    <w:rsid w:val="00AB0D31"/>
    <w:rsid w:val="00AB6AD4"/>
    <w:rsid w:val="00AB6FF1"/>
    <w:rsid w:val="00AC277A"/>
    <w:rsid w:val="00AC49D5"/>
    <w:rsid w:val="00AC5267"/>
    <w:rsid w:val="00AC5FEA"/>
    <w:rsid w:val="00AD5242"/>
    <w:rsid w:val="00AD6FB8"/>
    <w:rsid w:val="00AF00DD"/>
    <w:rsid w:val="00AF212D"/>
    <w:rsid w:val="00AF364C"/>
    <w:rsid w:val="00AF5516"/>
    <w:rsid w:val="00AF5BF6"/>
    <w:rsid w:val="00B02779"/>
    <w:rsid w:val="00B13C7A"/>
    <w:rsid w:val="00B14DD9"/>
    <w:rsid w:val="00B23E9F"/>
    <w:rsid w:val="00B24321"/>
    <w:rsid w:val="00B2537D"/>
    <w:rsid w:val="00B36B0E"/>
    <w:rsid w:val="00B43588"/>
    <w:rsid w:val="00B52056"/>
    <w:rsid w:val="00B542CE"/>
    <w:rsid w:val="00B61320"/>
    <w:rsid w:val="00B63770"/>
    <w:rsid w:val="00B65CC5"/>
    <w:rsid w:val="00B755AE"/>
    <w:rsid w:val="00B771AD"/>
    <w:rsid w:val="00B86B7C"/>
    <w:rsid w:val="00B927D6"/>
    <w:rsid w:val="00BA0700"/>
    <w:rsid w:val="00BB0627"/>
    <w:rsid w:val="00BB2B03"/>
    <w:rsid w:val="00BB33DA"/>
    <w:rsid w:val="00BD1BD1"/>
    <w:rsid w:val="00BD279B"/>
    <w:rsid w:val="00BE0013"/>
    <w:rsid w:val="00BE0983"/>
    <w:rsid w:val="00BE10A8"/>
    <w:rsid w:val="00BF4D9F"/>
    <w:rsid w:val="00C03E69"/>
    <w:rsid w:val="00C04DF2"/>
    <w:rsid w:val="00C069FE"/>
    <w:rsid w:val="00C07D84"/>
    <w:rsid w:val="00C1320D"/>
    <w:rsid w:val="00C15438"/>
    <w:rsid w:val="00C21A1C"/>
    <w:rsid w:val="00C34CD3"/>
    <w:rsid w:val="00C36E7B"/>
    <w:rsid w:val="00C5591F"/>
    <w:rsid w:val="00C64664"/>
    <w:rsid w:val="00C77195"/>
    <w:rsid w:val="00C85E0E"/>
    <w:rsid w:val="00C864CB"/>
    <w:rsid w:val="00C91AE2"/>
    <w:rsid w:val="00CA053A"/>
    <w:rsid w:val="00CA4A4A"/>
    <w:rsid w:val="00CB12DC"/>
    <w:rsid w:val="00CB19BE"/>
    <w:rsid w:val="00CC4741"/>
    <w:rsid w:val="00CD5ED5"/>
    <w:rsid w:val="00CE7887"/>
    <w:rsid w:val="00D1697D"/>
    <w:rsid w:val="00D32C40"/>
    <w:rsid w:val="00D3643A"/>
    <w:rsid w:val="00D47475"/>
    <w:rsid w:val="00D511A4"/>
    <w:rsid w:val="00D5236F"/>
    <w:rsid w:val="00D80544"/>
    <w:rsid w:val="00D90A3C"/>
    <w:rsid w:val="00DB5F3B"/>
    <w:rsid w:val="00DB6202"/>
    <w:rsid w:val="00DC23BB"/>
    <w:rsid w:val="00DF0DD2"/>
    <w:rsid w:val="00DF79C1"/>
    <w:rsid w:val="00E01FDA"/>
    <w:rsid w:val="00E139AC"/>
    <w:rsid w:val="00E21167"/>
    <w:rsid w:val="00E222B8"/>
    <w:rsid w:val="00E26333"/>
    <w:rsid w:val="00E32C2B"/>
    <w:rsid w:val="00E47326"/>
    <w:rsid w:val="00E641A1"/>
    <w:rsid w:val="00E647E4"/>
    <w:rsid w:val="00E67C24"/>
    <w:rsid w:val="00E712A3"/>
    <w:rsid w:val="00E72F63"/>
    <w:rsid w:val="00E867D8"/>
    <w:rsid w:val="00E86F32"/>
    <w:rsid w:val="00E94451"/>
    <w:rsid w:val="00E9584A"/>
    <w:rsid w:val="00EA0B4A"/>
    <w:rsid w:val="00EB2C71"/>
    <w:rsid w:val="00EB692F"/>
    <w:rsid w:val="00EC77CC"/>
    <w:rsid w:val="00EE5855"/>
    <w:rsid w:val="00EE66E7"/>
    <w:rsid w:val="00EF48E4"/>
    <w:rsid w:val="00F04BB0"/>
    <w:rsid w:val="00F17745"/>
    <w:rsid w:val="00F373F9"/>
    <w:rsid w:val="00F42790"/>
    <w:rsid w:val="00F45471"/>
    <w:rsid w:val="00F512AD"/>
    <w:rsid w:val="00F54198"/>
    <w:rsid w:val="00F62E5E"/>
    <w:rsid w:val="00F62FFF"/>
    <w:rsid w:val="00F70F86"/>
    <w:rsid w:val="00F728A2"/>
    <w:rsid w:val="00F7564F"/>
    <w:rsid w:val="00F83417"/>
    <w:rsid w:val="00FA7867"/>
    <w:rsid w:val="00FC40E9"/>
    <w:rsid w:val="00FD2603"/>
    <w:rsid w:val="00FE4C45"/>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28174497">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1201</Words>
  <Characters>6846</Characters>
  <Application>Microsoft Office Word</Application>
  <DocSecurity>0</DocSecurity>
  <Lines>57</Lines>
  <Paragraphs>16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4</cp:revision>
  <dcterms:created xsi:type="dcterms:W3CDTF">2024-08-12T04:37:00Z</dcterms:created>
  <dcterms:modified xsi:type="dcterms:W3CDTF">2024-08-12T04:53:00Z</dcterms:modified>
</cp:coreProperties>
</file>