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575452F1" w:rsidR="00227FD4" w:rsidRPr="008F5678" w:rsidRDefault="00000000" w:rsidP="00AF212D">
      <w:pPr>
        <w:pStyle w:val="BodyTextSMPC"/>
      </w:pPr>
      <w:r w:rsidRPr="008F5678">
        <w:t xml:space="preserve">&lt;TRADE NAME&gt; &lt;STRENGTH&gt; </w:t>
      </w:r>
      <w:r w:rsidR="00CF08FD">
        <w:t>O</w:t>
      </w:r>
      <w:r w:rsidR="00540917">
        <w:t xml:space="preserve">ral </w:t>
      </w:r>
      <w:r w:rsidR="00CF08FD">
        <w:t>S</w:t>
      </w:r>
      <w:r w:rsidR="00540917">
        <w:t>uspension</w:t>
      </w:r>
      <w:r w:rsidRPr="008F5678">
        <w:t xml:space="preserve"> </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741F2572" w:rsidR="00AF212D" w:rsidRDefault="00092CBD" w:rsidP="00AF212D">
      <w:pPr>
        <w:pStyle w:val="BodyTextSMPC"/>
      </w:pPr>
      <w:r>
        <w:t>Each 5 ml dose contains</w:t>
      </w:r>
      <w:r w:rsidRPr="008F5678">
        <w:t xml:space="preserve"> &lt;STRENGTH&gt; </w:t>
      </w:r>
      <w:r>
        <w:t>of sucralfate.</w:t>
      </w:r>
    </w:p>
    <w:p w14:paraId="3284E6AE" w14:textId="00684A20" w:rsidR="00092CBD" w:rsidRDefault="00092CBD" w:rsidP="00AF212D">
      <w:pPr>
        <w:pStyle w:val="BodyTextSMPC"/>
      </w:pPr>
      <w:r>
        <w:t>Exipient with known effect</w:t>
      </w:r>
    </w:p>
    <w:p w14:paraId="0E7FCD0E" w14:textId="52980A2E" w:rsidR="00092CBD" w:rsidRPr="00092CBD" w:rsidRDefault="00092CBD" w:rsidP="00092CBD">
      <w:pPr>
        <w:pStyle w:val="BodyTextSMPC"/>
        <w:rPr>
          <w:color w:val="FF0000"/>
        </w:rPr>
      </w:pPr>
      <w:r w:rsidRPr="008F5678">
        <w:rPr>
          <w:color w:val="FF0000"/>
        </w:rPr>
        <w:t>&lt;REGARDING THE APPROVAL&gt;</w:t>
      </w:r>
    </w:p>
    <w:p w14:paraId="5C373BE4" w14:textId="42A391AC" w:rsidR="00A144D2" w:rsidRPr="008F5678" w:rsidRDefault="00000000" w:rsidP="00AF212D">
      <w:pPr>
        <w:pStyle w:val="BodyTextSMPC"/>
      </w:pPr>
      <w:r w:rsidRPr="008F5678">
        <w:t xml:space="preserve">For the full list of excipients, see section 6.1. </w:t>
      </w:r>
    </w:p>
    <w:p w14:paraId="7E05B8A9" w14:textId="77777777" w:rsidR="00A144D2" w:rsidRPr="008F5678" w:rsidRDefault="00000000" w:rsidP="00834A79">
      <w:pPr>
        <w:pStyle w:val="HEADING1SMPC"/>
      </w:pPr>
      <w:r w:rsidRPr="008F5678">
        <w:t xml:space="preserve">PHARMACEUTICAL FORM </w:t>
      </w:r>
    </w:p>
    <w:p w14:paraId="74CE521D" w14:textId="097007A1" w:rsidR="00227FD4" w:rsidRDefault="00FB5BE9" w:rsidP="00AF212D">
      <w:pPr>
        <w:pStyle w:val="BodyTextSMPC"/>
        <w:rPr>
          <w:color w:val="000000" w:themeColor="text1"/>
        </w:rPr>
      </w:pPr>
      <w:r w:rsidRPr="00FB5BE9">
        <w:rPr>
          <w:color w:val="000000" w:themeColor="text1"/>
        </w:rPr>
        <w:t xml:space="preserve">Oral </w:t>
      </w:r>
      <w:r w:rsidR="006B53E4">
        <w:rPr>
          <w:color w:val="000000" w:themeColor="text1"/>
        </w:rPr>
        <w:t>S</w:t>
      </w:r>
      <w:r w:rsidRPr="00FB5BE9">
        <w:rPr>
          <w:color w:val="000000" w:themeColor="text1"/>
        </w:rPr>
        <w:t>uspension</w:t>
      </w:r>
    </w:p>
    <w:p w14:paraId="2BB4868C" w14:textId="15FB40FE" w:rsidR="006B53E4" w:rsidRPr="006B53E4" w:rsidRDefault="006B53E4" w:rsidP="006B53E4">
      <w:pPr>
        <w:pStyle w:val="BodyTextSMPC"/>
        <w:rPr>
          <w:color w:val="FF0000"/>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13EF1B36" w14:textId="00CEE906" w:rsidR="00177864" w:rsidRPr="008F5678" w:rsidRDefault="00B109F3" w:rsidP="00AF212D">
      <w:pPr>
        <w:pStyle w:val="BodyTextSMPC"/>
      </w:pPr>
      <w:r>
        <w:t xml:space="preserve">Sucralfate </w:t>
      </w:r>
      <w:r w:rsidRPr="00B109F3">
        <w:t>is indicated in adults and adolescents over 14 years old for the treatment of duodenal ulcer, gastric ulcer, chronic gastritis, and the prophylaxis of gastrointestinal haemorrhage from stress ulceration in seriously ill patients.</w:t>
      </w:r>
    </w:p>
    <w:p w14:paraId="1953512A" w14:textId="77777777" w:rsidR="00233A79" w:rsidRPr="008F5678" w:rsidRDefault="00000000" w:rsidP="00C21A1C">
      <w:pPr>
        <w:pStyle w:val="SubHeafingSMPC"/>
      </w:pPr>
      <w:r w:rsidRPr="008F5678">
        <w:t>Posology and method of administration</w:t>
      </w:r>
    </w:p>
    <w:p w14:paraId="29A4ACE7" w14:textId="77777777" w:rsidR="00C757AD" w:rsidRDefault="00C757AD" w:rsidP="00C757AD">
      <w:pPr>
        <w:pStyle w:val="BodyTextSMPC"/>
      </w:pPr>
      <w:r>
        <w:t>For oral administration.</w:t>
      </w:r>
    </w:p>
    <w:p w14:paraId="2D89EE10" w14:textId="031E5F32" w:rsidR="00C757AD" w:rsidRDefault="006C4505" w:rsidP="00C757AD">
      <w:pPr>
        <w:pStyle w:val="BodyTextSMPC"/>
      </w:pPr>
      <w:r>
        <w:t>Sucralfate</w:t>
      </w:r>
      <w:r w:rsidR="00C757AD">
        <w:t xml:space="preserve"> must not be administered intravenously.</w:t>
      </w:r>
    </w:p>
    <w:p w14:paraId="1F7EB4FB" w14:textId="77777777" w:rsidR="00C757AD" w:rsidRPr="00AD178C" w:rsidRDefault="00C757AD" w:rsidP="00C757AD">
      <w:pPr>
        <w:pStyle w:val="BodyTextSMPC"/>
        <w:rPr>
          <w:i/>
          <w:iCs/>
        </w:rPr>
      </w:pPr>
      <w:r w:rsidRPr="00AD178C">
        <w:rPr>
          <w:i/>
          <w:iCs/>
        </w:rPr>
        <w:t>Duodenal ulcer, gastric ulcer, chronic gastritis:</w:t>
      </w:r>
    </w:p>
    <w:p w14:paraId="5AF1BA81" w14:textId="77777777" w:rsidR="00C757AD" w:rsidRDefault="00C757AD" w:rsidP="00C757AD">
      <w:pPr>
        <w:pStyle w:val="BodyTextSMPC"/>
      </w:pPr>
      <w:r w:rsidRPr="00AD178C">
        <w:rPr>
          <w:u w:val="single"/>
        </w:rPr>
        <w:lastRenderedPageBreak/>
        <w:t>Adults</w:t>
      </w:r>
      <w:r w:rsidRPr="00AD178C">
        <w:t>:</w:t>
      </w:r>
      <w:r>
        <w:t xml:space="preserve"> The usual dose is 2 grams twice daily to be taken on rising and at bedtime, or 1 gram 4 times a day to be taken 1 hour before meals and at bedtime. Maximum daily dose: 8 grams.</w:t>
      </w:r>
    </w:p>
    <w:p w14:paraId="068CBEFC" w14:textId="737C3DCB" w:rsidR="00C757AD" w:rsidRDefault="00C757AD" w:rsidP="00C757AD">
      <w:pPr>
        <w:pStyle w:val="BodyTextSMPC"/>
      </w:pPr>
      <w:r>
        <w:t xml:space="preserve">Four to six weeks treatment is usually needed for ulcer healing, but up to twelve weeks may be necessary in resistant cases. Antacids may be used as required for relief of pain, but should not be taken half an hour before or after </w:t>
      </w:r>
      <w:r w:rsidR="006C4505">
        <w:t>sucralfate</w:t>
      </w:r>
      <w:r>
        <w:t>.</w:t>
      </w:r>
    </w:p>
    <w:p w14:paraId="60876E09" w14:textId="76F165BA" w:rsidR="00C757AD" w:rsidRDefault="00C757AD" w:rsidP="00C757AD">
      <w:pPr>
        <w:pStyle w:val="BodyTextSMPC"/>
      </w:pPr>
      <w:r w:rsidRPr="00AD178C">
        <w:rPr>
          <w:u w:val="single"/>
        </w:rPr>
        <w:t>Paediatric population</w:t>
      </w:r>
      <w:r w:rsidRPr="00AD178C">
        <w:t>:</w:t>
      </w:r>
      <w:r>
        <w:t xml:space="preserve"> The safety and efficacy of </w:t>
      </w:r>
      <w:r w:rsidR="006C4505">
        <w:t>sucralfate</w:t>
      </w:r>
      <w:r>
        <w:t xml:space="preserve"> in children under 14 years of age has not been established. Currently available data are described in section 5.1 but no recommendation on posology can be made.</w:t>
      </w:r>
    </w:p>
    <w:p w14:paraId="46953AB7" w14:textId="77777777" w:rsidR="00C757AD" w:rsidRDefault="00C757AD" w:rsidP="00C757AD">
      <w:pPr>
        <w:pStyle w:val="BodyTextSMPC"/>
      </w:pPr>
      <w:r w:rsidRPr="00AD178C">
        <w:rPr>
          <w:u w:val="single"/>
        </w:rPr>
        <w:t>Elderly</w:t>
      </w:r>
      <w:r w:rsidRPr="00AD178C">
        <w:t>:</w:t>
      </w:r>
      <w:r>
        <w:t xml:space="preserve"> see below</w:t>
      </w:r>
    </w:p>
    <w:p w14:paraId="65FA6A73" w14:textId="77777777" w:rsidR="00C757AD" w:rsidRPr="00F64700" w:rsidRDefault="00C757AD" w:rsidP="00C757AD">
      <w:pPr>
        <w:pStyle w:val="BodyTextSMPC"/>
        <w:rPr>
          <w:i/>
          <w:iCs/>
        </w:rPr>
      </w:pPr>
      <w:r w:rsidRPr="00F64700">
        <w:rPr>
          <w:i/>
          <w:iCs/>
        </w:rPr>
        <w:t>Prophylaxis of gastrointestinal haemorrhage from stress ulceration:</w:t>
      </w:r>
    </w:p>
    <w:p w14:paraId="52D2B42A" w14:textId="5BE945DE" w:rsidR="00C757AD" w:rsidRDefault="00C757AD" w:rsidP="00C757AD">
      <w:pPr>
        <w:pStyle w:val="BodyTextSMPC"/>
      </w:pPr>
      <w:r w:rsidRPr="00BE2FCB">
        <w:rPr>
          <w:u w:val="single"/>
        </w:rPr>
        <w:t>Adults</w:t>
      </w:r>
      <w:r>
        <w:t xml:space="preserve">: The usual dose is 1 gram six times a day.A maximum dose of 8 grams daily should not be exceeded.Antacids may be used as required for relief of pain, but should not be taken half an hour before or after </w:t>
      </w:r>
      <w:r w:rsidR="006C4505">
        <w:t>sucralfate</w:t>
      </w:r>
      <w:r>
        <w:t>.</w:t>
      </w:r>
    </w:p>
    <w:p w14:paraId="785688CB" w14:textId="77777777" w:rsidR="00C757AD" w:rsidRPr="00BE2FCB" w:rsidRDefault="00C757AD" w:rsidP="00C757AD">
      <w:pPr>
        <w:pStyle w:val="BodyTextSMPC"/>
        <w:rPr>
          <w:u w:val="single"/>
        </w:rPr>
      </w:pPr>
      <w:r w:rsidRPr="00BE2FCB">
        <w:rPr>
          <w:u w:val="single"/>
        </w:rPr>
        <w:t>Paediatric population</w:t>
      </w:r>
    </w:p>
    <w:p w14:paraId="2ACAD646" w14:textId="0F980AA9" w:rsidR="00C757AD" w:rsidRDefault="00C757AD" w:rsidP="00C757AD">
      <w:pPr>
        <w:pStyle w:val="BodyTextSMPC"/>
      </w:pPr>
      <w:r>
        <w:t xml:space="preserve">The safety and efficacy of </w:t>
      </w:r>
      <w:r w:rsidR="006C4505">
        <w:t>sucralfate</w:t>
      </w:r>
      <w:r>
        <w:t xml:space="preserve"> in children under 14 years of age has not been established. Currently available data are described in section 5.1</w:t>
      </w:r>
    </w:p>
    <w:p w14:paraId="62F7DF5F" w14:textId="3CD9A6ED" w:rsidR="00227FD4" w:rsidRPr="008F5678" w:rsidRDefault="00C757AD" w:rsidP="00C757AD">
      <w:pPr>
        <w:pStyle w:val="BodyTextSMPC"/>
      </w:pPr>
      <w:r w:rsidRPr="00BE2FCB">
        <w:rPr>
          <w:u w:val="single"/>
        </w:rPr>
        <w:t>Elderly</w:t>
      </w:r>
      <w:r>
        <w:t>:</w:t>
      </w:r>
      <w:r w:rsidR="00BE2FCB">
        <w:t xml:space="preserve"> </w:t>
      </w:r>
      <w:r>
        <w:t>There are no special dosage requirements for elderly patients but as with all medicines, the lowest effective dose should be used</w:t>
      </w:r>
      <w:r w:rsidRPr="008F5678">
        <w:t xml:space="preserve">. </w:t>
      </w:r>
    </w:p>
    <w:p w14:paraId="5B05A77F" w14:textId="77777777" w:rsidR="00671E86" w:rsidRPr="008F5678" w:rsidRDefault="00000000" w:rsidP="00233A79">
      <w:pPr>
        <w:pStyle w:val="SubHeafingSMPC"/>
      </w:pPr>
      <w:r w:rsidRPr="008F5678">
        <w:t>Contraindications</w:t>
      </w:r>
    </w:p>
    <w:p w14:paraId="66CD8858" w14:textId="77B29BDC" w:rsidR="00A144D2" w:rsidRPr="008F5678" w:rsidRDefault="00000000" w:rsidP="00671E86">
      <w:pPr>
        <w:pStyle w:val="BodyTextSMPC"/>
        <w:jc w:val="thaiDistribute"/>
        <w:rPr>
          <w:cs/>
        </w:rPr>
      </w:pPr>
      <w:r w:rsidRPr="008F5678">
        <w:t xml:space="preserve">Hypersensitivity to </w:t>
      </w:r>
      <w:r w:rsidR="0050764B" w:rsidRPr="0050764B">
        <w:t>to the active substance or to any of the excipients listed in section 6.1</w:t>
      </w:r>
    </w:p>
    <w:p w14:paraId="6955ACE4" w14:textId="77777777" w:rsidR="00A144D2" w:rsidRPr="008F5678" w:rsidRDefault="00000000" w:rsidP="00671E86">
      <w:pPr>
        <w:pStyle w:val="SubHeafingSMPC"/>
      </w:pPr>
      <w:r w:rsidRPr="008F5678">
        <w:t xml:space="preserve">Special warnings and precautions for use </w:t>
      </w:r>
    </w:p>
    <w:p w14:paraId="5AD95511" w14:textId="4F700E0C" w:rsidR="00900909" w:rsidRDefault="00900909" w:rsidP="00900909">
      <w:pPr>
        <w:pStyle w:val="BodyTextSMPC"/>
        <w:jc w:val="thaiDistribute"/>
      </w:pPr>
      <w:r>
        <w:t xml:space="preserve">Sucralfate must not be administered intravenously. Inadvertent intravenous administration of insoluble sucralfate and its insoluble excipients may induce fatal complications, including pulmonary and </w:t>
      </w:r>
      <w:r>
        <w:lastRenderedPageBreak/>
        <w:t>cerebral emboli. Other severe complications including aluminium intoxication are reported after intravenous administration.</w:t>
      </w:r>
    </w:p>
    <w:p w14:paraId="5EA153D3" w14:textId="77777777" w:rsidR="00900909" w:rsidRDefault="00900909" w:rsidP="00900909">
      <w:pPr>
        <w:pStyle w:val="BodyTextSMPC"/>
        <w:jc w:val="thaiDistribute"/>
      </w:pPr>
      <w:r>
        <w:t>The product should only be used with caution in patients with renal dysfunction, due to the possibility of increased aluminium absorption.</w:t>
      </w:r>
    </w:p>
    <w:p w14:paraId="6E19C002" w14:textId="77777777" w:rsidR="00900909" w:rsidRDefault="00900909" w:rsidP="00900909">
      <w:pPr>
        <w:pStyle w:val="BodyTextSMPC"/>
        <w:jc w:val="thaiDistribute"/>
      </w:pPr>
      <w:r>
        <w:t>Sucralfate is not recommended for use in individuals on dialysis.</w:t>
      </w:r>
    </w:p>
    <w:p w14:paraId="6CE7FE51" w14:textId="7B5E63DA" w:rsidR="00900909" w:rsidRDefault="00900909" w:rsidP="00900909">
      <w:pPr>
        <w:pStyle w:val="BodyTextSMPC"/>
        <w:jc w:val="thaiDistribute"/>
      </w:pPr>
      <w:r>
        <w:t>In patients with severe or chronic renal impairment, sucralfate should be used with extreme caution and only for short-term treatment.Small amounts of aluminium are absorbed through the gastrointestinal tract and aluminium may accumulate. Aluminium osteodystrophy, osteomalacia, encephalopathy, and anaemia have been reported in patients with chronic renal impairment. For patients with impairment of renal function, laboratory testing such as aluminium, phosphate, calcium, and alkaline phosphatase is recommended to be periodically performed due to excretion impairment.</w:t>
      </w:r>
    </w:p>
    <w:p w14:paraId="1B14515B" w14:textId="77777777" w:rsidR="00900909" w:rsidRDefault="00900909" w:rsidP="00900909">
      <w:pPr>
        <w:pStyle w:val="BodyTextSMPC"/>
        <w:jc w:val="thaiDistribute"/>
      </w:pPr>
      <w:r>
        <w:t>The concomitant use of other aluminium containing medications is not recommended in view of the enhanced potential for aluminium absorption and toxicity.</w:t>
      </w:r>
    </w:p>
    <w:p w14:paraId="2BFFEC87" w14:textId="754EB753" w:rsidR="00900909" w:rsidRDefault="00900909" w:rsidP="00900909">
      <w:pPr>
        <w:pStyle w:val="BodyTextSMPC"/>
        <w:jc w:val="thaiDistribute"/>
      </w:pPr>
      <w:r>
        <w:t>Contains sodium methyl parahydroxybenzoate (E219) and sodium propyl parahydroxybenzoate (E217) which may cause allergic reactions (possibly delayed).</w:t>
      </w:r>
    </w:p>
    <w:p w14:paraId="7581C122" w14:textId="77777777" w:rsidR="00900909" w:rsidRDefault="00900909" w:rsidP="00900909">
      <w:pPr>
        <w:pStyle w:val="BodyTextSMPC"/>
        <w:jc w:val="thaiDistribute"/>
      </w:pPr>
      <w:r>
        <w:t>Bezoars have been reportedafter administration of sucralfate mainly to severely ill patients in intensive care units.The majority of these patients (including neonates in whom sucralfate is not recommended) had underlying conditions that may predispose to bezoar formation (such as delayed gastric emptying due to surgery, drug therapy or diseases that reduce motility), or were receiving concomitant enteral tube feeding.</w:t>
      </w:r>
    </w:p>
    <w:p w14:paraId="0DDB3495" w14:textId="77777777" w:rsidR="00900909" w:rsidRPr="006C4505" w:rsidRDefault="00900909" w:rsidP="00900909">
      <w:pPr>
        <w:pStyle w:val="BodyTextSMPC"/>
        <w:jc w:val="thaiDistribute"/>
        <w:rPr>
          <w:u w:val="single"/>
        </w:rPr>
      </w:pPr>
      <w:r w:rsidRPr="006C4505">
        <w:rPr>
          <w:u w:val="single"/>
        </w:rPr>
        <w:t>Paediatric Population</w:t>
      </w:r>
    </w:p>
    <w:p w14:paraId="14F2DC79" w14:textId="58C7BB13" w:rsidR="00A144D2" w:rsidRPr="008F5678" w:rsidRDefault="00BF00B1" w:rsidP="00900909">
      <w:pPr>
        <w:pStyle w:val="BodyTextSMPC"/>
        <w:jc w:val="thaiDistribute"/>
      </w:pPr>
      <w:r>
        <w:t>Sucralfate</w:t>
      </w:r>
      <w:r w:rsidR="00900909">
        <w:t xml:space="preserve"> is not recommended for use in children under 14 years of age due to insufficient data on safety and efficacy</w:t>
      </w:r>
      <w:r w:rsidRPr="008F5678">
        <w:t xml:space="preserve">. </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6875069F" w14:textId="7926579A" w:rsidR="009E023D" w:rsidRDefault="009E023D" w:rsidP="009E023D">
      <w:pPr>
        <w:pStyle w:val="BodyTextSMPC"/>
      </w:pPr>
      <w:r>
        <w:lastRenderedPageBreak/>
        <w:t xml:space="preserve">Concomitant administration of sucralfate may reduce the bioavailability of certain drugs including fluoroquinolones such as ciprofloxacin and norfloxacin, tetracycline, ketoconazole, sulpiride, digoxin, warfarin, phenytoin, theophylline, levothyroxine, quinidine and H2 antagonists.The bioavailability of these agents may be restored by separating the administration of these agents from </w:t>
      </w:r>
      <w:r w:rsidR="006D0EDE">
        <w:t>sucralfate</w:t>
      </w:r>
      <w:r>
        <w:t xml:space="preserve"> by two hours.This interaction appears to be non systemic in origin presumably resulting from these agents being bound by </w:t>
      </w:r>
      <w:r w:rsidR="006D0EDE">
        <w:t>sucralfate</w:t>
      </w:r>
      <w:r>
        <w:t xml:space="preserve"> in the gastrointestinal tract. Because of the potential of </w:t>
      </w:r>
      <w:r w:rsidR="006D0EDE">
        <w:t>sucralfate</w:t>
      </w:r>
      <w:r>
        <w:t xml:space="preserve"> to alter the absorption of some drugs from the gastrointestinal tract, the separate administration of </w:t>
      </w:r>
      <w:r w:rsidR="006059D2">
        <w:t>sucralfate</w:t>
      </w:r>
      <w:r>
        <w:t xml:space="preserve"> from that of other agents should be considered when alterations in bioavailability are felt to be critical for concomitantly administered drugs.</w:t>
      </w:r>
    </w:p>
    <w:p w14:paraId="6C8BE0BB" w14:textId="77777777" w:rsidR="009E023D" w:rsidRDefault="009E023D" w:rsidP="009E023D">
      <w:pPr>
        <w:pStyle w:val="BodyTextSMPC"/>
      </w:pPr>
      <w:r>
        <w:t>Sucralfate should not be co-administered with citrate preparations. Co-administration of citrate preparations with sucralfate may increase the blood concentrations of aluminium. The mechanism may be due to chelation of aluminium, which is assumed to increase its absorption.</w:t>
      </w:r>
    </w:p>
    <w:p w14:paraId="75F12885" w14:textId="7BC179CC" w:rsidR="00227FD4" w:rsidRPr="008F5678" w:rsidRDefault="009E023D" w:rsidP="009E023D">
      <w:pPr>
        <w:pStyle w:val="BodyTextSMPC"/>
      </w:pPr>
      <w:r>
        <w:t xml:space="preserve">The administration of </w:t>
      </w:r>
      <w:r w:rsidR="006059D2">
        <w:t>sucralfate</w:t>
      </w:r>
      <w:r>
        <w:t xml:space="preserve"> </w:t>
      </w:r>
      <w:r w:rsidR="006059D2">
        <w:t>s</w:t>
      </w:r>
      <w:r>
        <w:t xml:space="preserve">uspension and enteral feeds by nasogastric tube should be separated by one hour in patients receiving </w:t>
      </w:r>
      <w:r w:rsidR="006059D2">
        <w:t>sucralfate</w:t>
      </w:r>
      <w:r>
        <w:t xml:space="preserve"> Suspension for the prophylaxis of stress ulceration.In rare cases bezoar formation has been reported when </w:t>
      </w:r>
      <w:r w:rsidR="006059D2">
        <w:t>sucralfate</w:t>
      </w:r>
      <w:r>
        <w:t xml:space="preserve"> and enteral feeds have been given too closely together</w:t>
      </w:r>
      <w:r w:rsidRPr="008F5678">
        <w:t xml:space="preserve">. </w:t>
      </w:r>
    </w:p>
    <w:p w14:paraId="3FAC668F" w14:textId="51F80623" w:rsidR="00227FD4" w:rsidRPr="008F5678" w:rsidRDefault="00000000" w:rsidP="00671E86">
      <w:pPr>
        <w:pStyle w:val="SubHeafingSMPC"/>
      </w:pPr>
      <w:r w:rsidRPr="008F5678">
        <w:t xml:space="preserve">Fertility, pregnancy and lactation </w:t>
      </w:r>
    </w:p>
    <w:p w14:paraId="12C9088B" w14:textId="30564344" w:rsidR="005C4A0A" w:rsidRDefault="00B21A39" w:rsidP="00671E86">
      <w:pPr>
        <w:pStyle w:val="BodyTextSMPC"/>
      </w:pPr>
      <w:r w:rsidRPr="00B21A39">
        <w:t>Preganacy: Teratogenicity studies in mice, rats and rabits at dose up to 50 times the human dose have revealed no evidence of harm to the foetus</w:t>
      </w:r>
      <w:r w:rsidR="005C4A0A">
        <w:t>.</w:t>
      </w:r>
    </w:p>
    <w:p w14:paraId="2656F62F" w14:textId="1655D65F" w:rsidR="005C4A0A" w:rsidRDefault="005C4A0A" w:rsidP="005C4A0A">
      <w:pPr>
        <w:pStyle w:val="BodyTextSMPC"/>
      </w:pPr>
      <w:r>
        <w:t xml:space="preserve">Safety in pregnant women has not been established and </w:t>
      </w:r>
      <w:r w:rsidR="00B155A0">
        <w:t>sucralfate</w:t>
      </w:r>
      <w:r>
        <w:t xml:space="preserve"> should be used during pregnancy only if clearly needed.</w:t>
      </w:r>
    </w:p>
    <w:p w14:paraId="53E75989" w14:textId="129CEEA9" w:rsidR="00227FD4" w:rsidRPr="008F5678" w:rsidRDefault="005C4A0A" w:rsidP="00823B60">
      <w:pPr>
        <w:pStyle w:val="BodyTextSMPC"/>
      </w:pPr>
      <w:r>
        <w:t>Lactation:</w:t>
      </w:r>
      <w:r w:rsidR="00823B60">
        <w:t xml:space="preserve"> </w:t>
      </w:r>
      <w:r>
        <w:t xml:space="preserve">It is not known whether this drug is excreted in human milk. Caution should be exercised when </w:t>
      </w:r>
      <w:r w:rsidR="00B155A0">
        <w:t>sucralfate</w:t>
      </w:r>
      <w:r>
        <w:t xml:space="preserve"> is administered to breast-feeding women.</w:t>
      </w:r>
      <w:r w:rsidRPr="008F5678">
        <w:t>.</w:t>
      </w:r>
    </w:p>
    <w:p w14:paraId="6D62B196" w14:textId="223FFB6A" w:rsidR="00227FD4" w:rsidRPr="008F5678" w:rsidRDefault="00000000" w:rsidP="00671E86">
      <w:pPr>
        <w:pStyle w:val="SubHeafingSMPC"/>
      </w:pPr>
      <w:r w:rsidRPr="008F5678">
        <w:t xml:space="preserve">Effects on ability to drive and use machines </w:t>
      </w:r>
    </w:p>
    <w:p w14:paraId="7E43B901" w14:textId="2B8113EA" w:rsidR="00227FD4" w:rsidRPr="008F5678" w:rsidRDefault="00E26518" w:rsidP="00671E86">
      <w:pPr>
        <w:pStyle w:val="BodyTextSMPC"/>
      </w:pPr>
      <w:r w:rsidRPr="00E26518">
        <w:t>Do not drive if you feel dizzy or drowsy</w:t>
      </w:r>
      <w:r w:rsidRPr="008F5678">
        <w:t xml:space="preserve">. </w:t>
      </w:r>
    </w:p>
    <w:p w14:paraId="071D62C3" w14:textId="1176E362" w:rsidR="00227FD4" w:rsidRPr="008F5678" w:rsidRDefault="00000000" w:rsidP="00671E86">
      <w:pPr>
        <w:pStyle w:val="SubHeafingSMPC"/>
      </w:pPr>
      <w:r w:rsidRPr="008F5678">
        <w:lastRenderedPageBreak/>
        <w:t xml:space="preserve">Undesirable effects </w:t>
      </w:r>
    </w:p>
    <w:p w14:paraId="39CF9E7F" w14:textId="13F80B45" w:rsidR="00227FD4" w:rsidRDefault="002C4670" w:rsidP="00553033">
      <w:pPr>
        <w:pStyle w:val="BodyTextSMPC"/>
        <w:rPr>
          <w:u w:val="single"/>
        </w:rPr>
      </w:pPr>
      <w:r w:rsidRPr="007D4CCD">
        <w:rPr>
          <w:u w:val="single"/>
        </w:rPr>
        <w:t>Tabulated list of adverse reactions</w:t>
      </w:r>
    </w:p>
    <w:p w14:paraId="174E2780" w14:textId="77777777" w:rsidR="00273631" w:rsidRPr="00553033" w:rsidRDefault="00273631" w:rsidP="00553033">
      <w:pPr>
        <w:pStyle w:val="BodyTextSMPC"/>
        <w:rPr>
          <w:u w:val="single"/>
        </w:rPr>
      </w:pPr>
    </w:p>
    <w:tbl>
      <w:tblPr>
        <w:tblStyle w:val="TableGrid"/>
        <w:tblW w:w="0" w:type="auto"/>
        <w:tblInd w:w="794" w:type="dxa"/>
        <w:tblLook w:val="04A0" w:firstRow="1" w:lastRow="0" w:firstColumn="1" w:lastColumn="0" w:noHBand="0" w:noVBand="1"/>
      </w:tblPr>
      <w:tblGrid>
        <w:gridCol w:w="2105"/>
        <w:gridCol w:w="2756"/>
        <w:gridCol w:w="3136"/>
      </w:tblGrid>
      <w:tr w:rsidR="00553033" w:rsidRPr="008451CA" w14:paraId="530F3ADE" w14:textId="77777777" w:rsidTr="00553033">
        <w:tc>
          <w:tcPr>
            <w:tcW w:w="2105" w:type="dxa"/>
          </w:tcPr>
          <w:p w14:paraId="6A952E61" w14:textId="66162DED" w:rsidR="00553033" w:rsidRPr="00553033" w:rsidRDefault="00553033" w:rsidP="00273631">
            <w:pPr>
              <w:pStyle w:val="BodyTextSMPC"/>
              <w:spacing w:after="0"/>
              <w:ind w:left="0"/>
              <w:jc w:val="left"/>
            </w:pPr>
            <w:r w:rsidRPr="00553033">
              <w:t xml:space="preserve">Immune system disorders </w:t>
            </w:r>
          </w:p>
        </w:tc>
        <w:tc>
          <w:tcPr>
            <w:tcW w:w="2756" w:type="dxa"/>
          </w:tcPr>
          <w:p w14:paraId="7D423699" w14:textId="73F3C9E4" w:rsidR="00553033" w:rsidRPr="00553033" w:rsidRDefault="00553033" w:rsidP="00273631">
            <w:pPr>
              <w:pStyle w:val="NormalWeb"/>
              <w:shd w:val="clear" w:color="auto" w:fill="FFFFFF"/>
              <w:spacing w:before="0" w:beforeAutospacing="0" w:after="0" w:afterAutospacing="0"/>
              <w:rPr>
                <w:sz w:val="28"/>
                <w:szCs w:val="28"/>
              </w:rPr>
            </w:pPr>
            <w:r w:rsidRPr="00553033">
              <w:rPr>
                <w:sz w:val="28"/>
                <w:szCs w:val="28"/>
              </w:rPr>
              <w:t xml:space="preserve">Not known (cannot be estimated from the available data) </w:t>
            </w:r>
          </w:p>
        </w:tc>
        <w:tc>
          <w:tcPr>
            <w:tcW w:w="3136" w:type="dxa"/>
          </w:tcPr>
          <w:p w14:paraId="703597D8" w14:textId="0B63037F" w:rsidR="00553033" w:rsidRPr="00553033" w:rsidRDefault="00553033" w:rsidP="00273631">
            <w:pPr>
              <w:pStyle w:val="NormalWeb"/>
              <w:shd w:val="clear" w:color="auto" w:fill="FFFFFF"/>
              <w:spacing w:before="0" w:beforeAutospacing="0" w:after="0" w:afterAutospacing="0"/>
              <w:rPr>
                <w:sz w:val="28"/>
                <w:szCs w:val="28"/>
              </w:rPr>
            </w:pPr>
            <w:r w:rsidRPr="00553033">
              <w:rPr>
                <w:sz w:val="28"/>
                <w:szCs w:val="28"/>
              </w:rPr>
              <w:t xml:space="preserve">Anaphylactic reaction including pruritus, urticaria, oedema, dyspnoea </w:t>
            </w:r>
          </w:p>
        </w:tc>
      </w:tr>
      <w:tr w:rsidR="00553033" w:rsidRPr="008451CA" w14:paraId="16572919" w14:textId="77777777" w:rsidTr="00553033">
        <w:tc>
          <w:tcPr>
            <w:tcW w:w="2105" w:type="dxa"/>
          </w:tcPr>
          <w:p w14:paraId="2D5AF16F" w14:textId="2D6FD835" w:rsidR="00553033" w:rsidRPr="00553033" w:rsidRDefault="00553033" w:rsidP="00273631">
            <w:pPr>
              <w:pStyle w:val="BodyTextSMPC"/>
              <w:spacing w:after="0"/>
              <w:ind w:left="0"/>
              <w:jc w:val="left"/>
            </w:pPr>
            <w:r w:rsidRPr="00553033">
              <w:t xml:space="preserve">Nervous system disorders </w:t>
            </w:r>
          </w:p>
        </w:tc>
        <w:tc>
          <w:tcPr>
            <w:tcW w:w="2756" w:type="dxa"/>
          </w:tcPr>
          <w:p w14:paraId="0A524B2A" w14:textId="7821377F" w:rsidR="00553033" w:rsidRPr="00553033" w:rsidRDefault="00553033" w:rsidP="00273631">
            <w:pPr>
              <w:pStyle w:val="NormalWeb"/>
              <w:spacing w:before="0" w:beforeAutospacing="0" w:after="0" w:afterAutospacing="0"/>
              <w:rPr>
                <w:sz w:val="28"/>
                <w:szCs w:val="28"/>
              </w:rPr>
            </w:pPr>
            <w:r w:rsidRPr="00553033">
              <w:rPr>
                <w:sz w:val="28"/>
                <w:szCs w:val="28"/>
              </w:rPr>
              <w:t xml:space="preserve">Not known (cannot be estimated from the available data) </w:t>
            </w:r>
          </w:p>
        </w:tc>
        <w:tc>
          <w:tcPr>
            <w:tcW w:w="3136" w:type="dxa"/>
          </w:tcPr>
          <w:p w14:paraId="121A4F0C" w14:textId="7AEE3DFA" w:rsidR="00553033" w:rsidRPr="00553033" w:rsidRDefault="00553033" w:rsidP="00273631">
            <w:pPr>
              <w:pStyle w:val="NormalWeb"/>
              <w:spacing w:before="0" w:beforeAutospacing="0" w:after="0" w:afterAutospacing="0"/>
              <w:rPr>
                <w:sz w:val="28"/>
                <w:szCs w:val="28"/>
              </w:rPr>
            </w:pPr>
            <w:r w:rsidRPr="00553033">
              <w:rPr>
                <w:sz w:val="28"/>
                <w:szCs w:val="28"/>
              </w:rPr>
              <w:t xml:space="preserve">Dizziness, headache, drowsiness </w:t>
            </w:r>
          </w:p>
        </w:tc>
      </w:tr>
      <w:tr w:rsidR="00553033" w:rsidRPr="008451CA" w14:paraId="2739AF6C" w14:textId="77777777" w:rsidTr="00553033">
        <w:tc>
          <w:tcPr>
            <w:tcW w:w="2105" w:type="dxa"/>
          </w:tcPr>
          <w:p w14:paraId="60ED8B50" w14:textId="3FABB056" w:rsidR="00553033" w:rsidRPr="00553033" w:rsidRDefault="00553033" w:rsidP="00273631">
            <w:pPr>
              <w:pStyle w:val="BodyTextSMPC"/>
              <w:spacing w:after="0"/>
              <w:ind w:left="0"/>
              <w:jc w:val="left"/>
            </w:pPr>
            <w:r w:rsidRPr="00553033">
              <w:t xml:space="preserve">Ear and labyrinth disorders </w:t>
            </w:r>
          </w:p>
        </w:tc>
        <w:tc>
          <w:tcPr>
            <w:tcW w:w="2756" w:type="dxa"/>
          </w:tcPr>
          <w:p w14:paraId="28D05E3A" w14:textId="14ECF130" w:rsidR="00553033" w:rsidRPr="00553033" w:rsidRDefault="00553033" w:rsidP="00273631">
            <w:pPr>
              <w:pStyle w:val="NormalWeb"/>
              <w:spacing w:before="0" w:beforeAutospacing="0" w:after="0" w:afterAutospacing="0"/>
              <w:rPr>
                <w:sz w:val="28"/>
                <w:szCs w:val="28"/>
              </w:rPr>
            </w:pPr>
            <w:r w:rsidRPr="00553033">
              <w:rPr>
                <w:sz w:val="28"/>
                <w:szCs w:val="28"/>
              </w:rPr>
              <w:t xml:space="preserve">Not known (cannot be estimated from the available data) </w:t>
            </w:r>
          </w:p>
        </w:tc>
        <w:tc>
          <w:tcPr>
            <w:tcW w:w="3136" w:type="dxa"/>
          </w:tcPr>
          <w:p w14:paraId="5CBBAF1C" w14:textId="2F3D9ED2" w:rsidR="00553033" w:rsidRPr="00553033" w:rsidRDefault="00553033" w:rsidP="00273631">
            <w:pPr>
              <w:pStyle w:val="NormalWeb"/>
              <w:spacing w:before="0" w:beforeAutospacing="0" w:after="0" w:afterAutospacing="0"/>
              <w:rPr>
                <w:sz w:val="28"/>
                <w:szCs w:val="28"/>
              </w:rPr>
            </w:pPr>
            <w:r w:rsidRPr="00553033">
              <w:rPr>
                <w:sz w:val="28"/>
                <w:szCs w:val="28"/>
              </w:rPr>
              <w:t>Vertigo</w:t>
            </w:r>
          </w:p>
        </w:tc>
      </w:tr>
      <w:tr w:rsidR="00553033" w:rsidRPr="008451CA" w14:paraId="24494B11" w14:textId="77777777" w:rsidTr="00553033">
        <w:tc>
          <w:tcPr>
            <w:tcW w:w="2105" w:type="dxa"/>
            <w:vMerge w:val="restart"/>
          </w:tcPr>
          <w:p w14:paraId="5430F889" w14:textId="3026CCC8" w:rsidR="00553033" w:rsidRPr="00553033" w:rsidRDefault="00553033" w:rsidP="00273631">
            <w:pPr>
              <w:pStyle w:val="BodyTextSMPC"/>
              <w:spacing w:after="0"/>
              <w:ind w:left="0"/>
              <w:jc w:val="left"/>
            </w:pPr>
            <w:r w:rsidRPr="00553033">
              <w:t>Gastrointestinal disorders</w:t>
            </w:r>
          </w:p>
        </w:tc>
        <w:tc>
          <w:tcPr>
            <w:tcW w:w="2756" w:type="dxa"/>
          </w:tcPr>
          <w:p w14:paraId="6B0B8B70" w14:textId="140663D7" w:rsidR="00553033" w:rsidRPr="00553033" w:rsidRDefault="00553033" w:rsidP="00273631">
            <w:pPr>
              <w:pStyle w:val="NormalWeb"/>
              <w:spacing w:before="0" w:beforeAutospacing="0" w:after="0" w:afterAutospacing="0"/>
              <w:rPr>
                <w:sz w:val="28"/>
                <w:szCs w:val="28"/>
              </w:rPr>
            </w:pPr>
            <w:r w:rsidRPr="00553033">
              <w:rPr>
                <w:sz w:val="28"/>
                <w:szCs w:val="28"/>
              </w:rPr>
              <w:t>Common (≥ 1% and &lt;10%);</w:t>
            </w:r>
          </w:p>
        </w:tc>
        <w:tc>
          <w:tcPr>
            <w:tcW w:w="3136" w:type="dxa"/>
          </w:tcPr>
          <w:p w14:paraId="34F13349" w14:textId="7F81AA21" w:rsidR="00553033" w:rsidRPr="00553033" w:rsidRDefault="00553033" w:rsidP="00273631">
            <w:pPr>
              <w:pStyle w:val="NormalWeb"/>
              <w:spacing w:before="0" w:beforeAutospacing="0" w:after="0" w:afterAutospacing="0"/>
              <w:rPr>
                <w:sz w:val="28"/>
                <w:szCs w:val="28"/>
              </w:rPr>
            </w:pPr>
            <w:r w:rsidRPr="00553033">
              <w:rPr>
                <w:sz w:val="28"/>
                <w:szCs w:val="28"/>
              </w:rPr>
              <w:t>Constipation</w:t>
            </w:r>
          </w:p>
        </w:tc>
      </w:tr>
      <w:tr w:rsidR="00553033" w:rsidRPr="008451CA" w14:paraId="1CF5615E" w14:textId="77777777" w:rsidTr="00553033">
        <w:tc>
          <w:tcPr>
            <w:tcW w:w="2105" w:type="dxa"/>
            <w:vMerge/>
          </w:tcPr>
          <w:p w14:paraId="3440A6D4" w14:textId="77777777" w:rsidR="00553033" w:rsidRPr="00553033" w:rsidRDefault="00553033" w:rsidP="00273631">
            <w:pPr>
              <w:pStyle w:val="NormalWeb"/>
              <w:spacing w:before="0" w:beforeAutospacing="0" w:after="0" w:afterAutospacing="0"/>
              <w:rPr>
                <w:sz w:val="28"/>
                <w:szCs w:val="28"/>
              </w:rPr>
            </w:pPr>
          </w:p>
        </w:tc>
        <w:tc>
          <w:tcPr>
            <w:tcW w:w="2756" w:type="dxa"/>
          </w:tcPr>
          <w:p w14:paraId="2AD192F5" w14:textId="75BB79E8" w:rsidR="00553033" w:rsidRPr="00553033" w:rsidRDefault="00553033" w:rsidP="00273631">
            <w:pPr>
              <w:pStyle w:val="NormalWeb"/>
              <w:spacing w:before="0" w:beforeAutospacing="0" w:after="0" w:afterAutospacing="0"/>
              <w:rPr>
                <w:sz w:val="28"/>
                <w:szCs w:val="28"/>
              </w:rPr>
            </w:pPr>
            <w:r w:rsidRPr="00553033">
              <w:rPr>
                <w:sz w:val="28"/>
                <w:szCs w:val="28"/>
              </w:rPr>
              <w:t xml:space="preserve">Uncommon (≥ 0.1% and &lt;1%) </w:t>
            </w:r>
          </w:p>
        </w:tc>
        <w:tc>
          <w:tcPr>
            <w:tcW w:w="3136" w:type="dxa"/>
          </w:tcPr>
          <w:p w14:paraId="44FF9B4B" w14:textId="4E8ED768" w:rsidR="00553033" w:rsidRPr="00553033" w:rsidRDefault="00553033" w:rsidP="00273631">
            <w:pPr>
              <w:pStyle w:val="NormalWeb"/>
              <w:spacing w:before="0" w:beforeAutospacing="0" w:after="0" w:afterAutospacing="0"/>
              <w:rPr>
                <w:sz w:val="28"/>
                <w:szCs w:val="28"/>
              </w:rPr>
            </w:pPr>
            <w:r w:rsidRPr="00553033">
              <w:rPr>
                <w:sz w:val="28"/>
                <w:szCs w:val="28"/>
              </w:rPr>
              <w:t xml:space="preserve">Dry mouth, nausea, </w:t>
            </w:r>
          </w:p>
        </w:tc>
      </w:tr>
      <w:tr w:rsidR="00553033" w:rsidRPr="008451CA" w14:paraId="7B13AD41" w14:textId="77777777" w:rsidTr="00553033">
        <w:tc>
          <w:tcPr>
            <w:tcW w:w="2105" w:type="dxa"/>
            <w:vMerge/>
          </w:tcPr>
          <w:p w14:paraId="329DBC76" w14:textId="77777777" w:rsidR="00553033" w:rsidRPr="00553033" w:rsidRDefault="00553033" w:rsidP="00273631">
            <w:pPr>
              <w:pStyle w:val="NormalWeb"/>
              <w:spacing w:before="0" w:beforeAutospacing="0" w:after="0" w:afterAutospacing="0"/>
              <w:rPr>
                <w:sz w:val="28"/>
                <w:szCs w:val="28"/>
              </w:rPr>
            </w:pPr>
          </w:p>
        </w:tc>
        <w:tc>
          <w:tcPr>
            <w:tcW w:w="2756" w:type="dxa"/>
          </w:tcPr>
          <w:p w14:paraId="0CA513D1" w14:textId="2F4CDBEC" w:rsidR="00553033" w:rsidRPr="00553033" w:rsidRDefault="00553033" w:rsidP="00273631">
            <w:pPr>
              <w:pStyle w:val="NormalWeb"/>
              <w:spacing w:before="0" w:beforeAutospacing="0" w:after="0" w:afterAutospacing="0"/>
              <w:rPr>
                <w:sz w:val="28"/>
                <w:szCs w:val="28"/>
              </w:rPr>
            </w:pPr>
            <w:r w:rsidRPr="00553033">
              <w:rPr>
                <w:sz w:val="28"/>
                <w:szCs w:val="28"/>
              </w:rPr>
              <w:t>Rare (≥ 0.01% and &lt;0.1%)</w:t>
            </w:r>
          </w:p>
        </w:tc>
        <w:tc>
          <w:tcPr>
            <w:tcW w:w="3136" w:type="dxa"/>
          </w:tcPr>
          <w:p w14:paraId="33F5E309" w14:textId="575CFCC2" w:rsidR="00553033" w:rsidRPr="00553033" w:rsidRDefault="00553033" w:rsidP="00273631">
            <w:pPr>
              <w:pStyle w:val="NormalWeb"/>
              <w:spacing w:before="0" w:beforeAutospacing="0" w:after="0" w:afterAutospacing="0"/>
              <w:rPr>
                <w:sz w:val="28"/>
                <w:szCs w:val="28"/>
              </w:rPr>
            </w:pPr>
            <w:r w:rsidRPr="00553033">
              <w:rPr>
                <w:sz w:val="28"/>
                <w:szCs w:val="28"/>
              </w:rPr>
              <w:t>Bezoar formation</w:t>
            </w:r>
            <w:r w:rsidR="00C03040" w:rsidRPr="00C03040">
              <w:rPr>
                <w:sz w:val="28"/>
                <w:szCs w:val="28"/>
                <w:vertAlign w:val="superscript"/>
              </w:rPr>
              <w:t>1</w:t>
            </w:r>
          </w:p>
        </w:tc>
      </w:tr>
      <w:tr w:rsidR="00553033" w:rsidRPr="008451CA" w14:paraId="2A0E96AA" w14:textId="77777777" w:rsidTr="00553033">
        <w:tc>
          <w:tcPr>
            <w:tcW w:w="2105" w:type="dxa"/>
            <w:vMerge/>
          </w:tcPr>
          <w:p w14:paraId="6EDB260D" w14:textId="77777777" w:rsidR="00553033" w:rsidRPr="00553033" w:rsidRDefault="00553033" w:rsidP="00273631">
            <w:pPr>
              <w:pStyle w:val="NormalWeb"/>
              <w:spacing w:before="0" w:beforeAutospacing="0" w:after="0" w:afterAutospacing="0"/>
              <w:rPr>
                <w:sz w:val="28"/>
                <w:szCs w:val="28"/>
              </w:rPr>
            </w:pPr>
          </w:p>
        </w:tc>
        <w:tc>
          <w:tcPr>
            <w:tcW w:w="2756" w:type="dxa"/>
          </w:tcPr>
          <w:p w14:paraId="3CEA806A" w14:textId="6853B888" w:rsidR="00553033" w:rsidRPr="00553033" w:rsidRDefault="00553033" w:rsidP="00273631">
            <w:pPr>
              <w:pStyle w:val="NormalWeb"/>
              <w:spacing w:before="0" w:beforeAutospacing="0" w:after="0" w:afterAutospacing="0"/>
              <w:rPr>
                <w:sz w:val="28"/>
                <w:szCs w:val="28"/>
              </w:rPr>
            </w:pPr>
            <w:r w:rsidRPr="00553033">
              <w:rPr>
                <w:sz w:val="28"/>
                <w:szCs w:val="28"/>
              </w:rPr>
              <w:t xml:space="preserve">Not known (cannot be estimated from the available data) </w:t>
            </w:r>
          </w:p>
        </w:tc>
        <w:tc>
          <w:tcPr>
            <w:tcW w:w="3136" w:type="dxa"/>
          </w:tcPr>
          <w:p w14:paraId="0B4D2845" w14:textId="3BBD0031" w:rsidR="00553033" w:rsidRPr="00553033" w:rsidRDefault="00553033" w:rsidP="00273631">
            <w:pPr>
              <w:pStyle w:val="NormalWeb"/>
              <w:spacing w:before="0" w:beforeAutospacing="0" w:after="0" w:afterAutospacing="0"/>
              <w:rPr>
                <w:sz w:val="28"/>
                <w:szCs w:val="28"/>
              </w:rPr>
            </w:pPr>
            <w:r w:rsidRPr="00553033">
              <w:rPr>
                <w:sz w:val="28"/>
                <w:szCs w:val="28"/>
              </w:rPr>
              <w:t xml:space="preserve">Diarrhoea, vomiting, gastric discomfort, indigestion, flatulence </w:t>
            </w:r>
          </w:p>
        </w:tc>
      </w:tr>
      <w:tr w:rsidR="00553033" w:rsidRPr="008451CA" w14:paraId="0CE8EB78" w14:textId="77777777" w:rsidTr="00553033">
        <w:tc>
          <w:tcPr>
            <w:tcW w:w="2105" w:type="dxa"/>
          </w:tcPr>
          <w:p w14:paraId="5316FEF8" w14:textId="639CB448" w:rsidR="00553033" w:rsidRPr="00553033" w:rsidRDefault="00553033" w:rsidP="00273631">
            <w:pPr>
              <w:pStyle w:val="BodyTextSMPC"/>
              <w:spacing w:after="0"/>
              <w:ind w:left="0"/>
              <w:jc w:val="left"/>
            </w:pPr>
            <w:r w:rsidRPr="00553033">
              <w:t xml:space="preserve">Skin and subcutaneous tissue disorders </w:t>
            </w:r>
          </w:p>
        </w:tc>
        <w:tc>
          <w:tcPr>
            <w:tcW w:w="2756" w:type="dxa"/>
          </w:tcPr>
          <w:p w14:paraId="0CB6C90F" w14:textId="684FA918" w:rsidR="00553033" w:rsidRPr="00553033" w:rsidRDefault="00553033" w:rsidP="00273631">
            <w:pPr>
              <w:pStyle w:val="NormalWeb"/>
              <w:spacing w:before="0" w:beforeAutospacing="0" w:after="0" w:afterAutospacing="0"/>
              <w:rPr>
                <w:sz w:val="28"/>
                <w:szCs w:val="28"/>
              </w:rPr>
            </w:pPr>
            <w:r w:rsidRPr="00553033">
              <w:rPr>
                <w:sz w:val="28"/>
                <w:szCs w:val="28"/>
              </w:rPr>
              <w:t>Rare (≥ 0.01% and &lt;0.1%)</w:t>
            </w:r>
          </w:p>
        </w:tc>
        <w:tc>
          <w:tcPr>
            <w:tcW w:w="3136" w:type="dxa"/>
          </w:tcPr>
          <w:p w14:paraId="5B4BFAFF" w14:textId="05E88A4A" w:rsidR="00553033" w:rsidRPr="00553033" w:rsidRDefault="00553033" w:rsidP="00273631">
            <w:pPr>
              <w:pStyle w:val="NormalWeb"/>
              <w:spacing w:before="0" w:beforeAutospacing="0" w:after="0" w:afterAutospacing="0"/>
              <w:rPr>
                <w:sz w:val="28"/>
                <w:szCs w:val="28"/>
              </w:rPr>
            </w:pPr>
            <w:r w:rsidRPr="00553033">
              <w:rPr>
                <w:sz w:val="28"/>
                <w:szCs w:val="28"/>
              </w:rPr>
              <w:t>Rash</w:t>
            </w:r>
          </w:p>
        </w:tc>
      </w:tr>
      <w:tr w:rsidR="00553033" w:rsidRPr="008451CA" w14:paraId="77F61E1D" w14:textId="77777777" w:rsidTr="00553033">
        <w:tc>
          <w:tcPr>
            <w:tcW w:w="2105" w:type="dxa"/>
          </w:tcPr>
          <w:p w14:paraId="2346F1A4" w14:textId="3D6BE87A" w:rsidR="00553033" w:rsidRPr="00553033" w:rsidRDefault="00553033" w:rsidP="00273631">
            <w:pPr>
              <w:pStyle w:val="BodyTextSMPC"/>
              <w:spacing w:after="0"/>
              <w:ind w:left="0"/>
              <w:jc w:val="left"/>
            </w:pPr>
            <w:r w:rsidRPr="00553033">
              <w:t xml:space="preserve">Musculoskeletal and connective tissue disorders </w:t>
            </w:r>
          </w:p>
        </w:tc>
        <w:tc>
          <w:tcPr>
            <w:tcW w:w="2756" w:type="dxa"/>
          </w:tcPr>
          <w:p w14:paraId="5C005ADE" w14:textId="34405699" w:rsidR="00553033" w:rsidRPr="00553033" w:rsidRDefault="00553033" w:rsidP="00273631">
            <w:pPr>
              <w:pStyle w:val="NormalWeb"/>
              <w:spacing w:before="0" w:beforeAutospacing="0" w:after="0" w:afterAutospacing="0"/>
              <w:rPr>
                <w:sz w:val="28"/>
                <w:szCs w:val="28"/>
              </w:rPr>
            </w:pPr>
            <w:r w:rsidRPr="00553033">
              <w:rPr>
                <w:sz w:val="28"/>
                <w:szCs w:val="28"/>
              </w:rPr>
              <w:t xml:space="preserve">Not known (cannot be estimated from the available data) </w:t>
            </w:r>
          </w:p>
        </w:tc>
        <w:tc>
          <w:tcPr>
            <w:tcW w:w="3136" w:type="dxa"/>
          </w:tcPr>
          <w:p w14:paraId="14AACFE4" w14:textId="1C646E8A" w:rsidR="00553033" w:rsidRPr="00553033" w:rsidRDefault="00553033" w:rsidP="00273631">
            <w:pPr>
              <w:pStyle w:val="NormalWeb"/>
              <w:spacing w:before="0" w:beforeAutospacing="0" w:after="0" w:afterAutospacing="0"/>
              <w:rPr>
                <w:sz w:val="28"/>
                <w:szCs w:val="28"/>
              </w:rPr>
            </w:pPr>
            <w:r w:rsidRPr="00553033">
              <w:rPr>
                <w:sz w:val="28"/>
                <w:szCs w:val="28"/>
              </w:rPr>
              <w:t>Back pain</w:t>
            </w:r>
          </w:p>
        </w:tc>
      </w:tr>
      <w:tr w:rsidR="00553033" w:rsidRPr="008451CA" w14:paraId="00571B5B" w14:textId="77777777" w:rsidTr="00553033">
        <w:tc>
          <w:tcPr>
            <w:tcW w:w="2105" w:type="dxa"/>
          </w:tcPr>
          <w:p w14:paraId="668F5789" w14:textId="4566CDF5" w:rsidR="00553033" w:rsidRPr="00553033" w:rsidRDefault="00553033" w:rsidP="00273631">
            <w:pPr>
              <w:pStyle w:val="NormalWeb"/>
              <w:spacing w:before="0" w:beforeAutospacing="0" w:after="0" w:afterAutospacing="0"/>
              <w:rPr>
                <w:sz w:val="28"/>
                <w:szCs w:val="28"/>
              </w:rPr>
            </w:pPr>
            <w:r w:rsidRPr="00553033">
              <w:rPr>
                <w:sz w:val="28"/>
                <w:szCs w:val="28"/>
              </w:rPr>
              <w:t>Injury, poisoning and procedural complications.</w:t>
            </w:r>
          </w:p>
        </w:tc>
        <w:tc>
          <w:tcPr>
            <w:tcW w:w="2756" w:type="dxa"/>
          </w:tcPr>
          <w:p w14:paraId="314659FB" w14:textId="73B0F40C" w:rsidR="00553033" w:rsidRPr="00553033" w:rsidRDefault="00553033" w:rsidP="00273631">
            <w:pPr>
              <w:pStyle w:val="NormalWeb"/>
              <w:spacing w:before="0" w:beforeAutospacing="0" w:after="0" w:afterAutospacing="0"/>
              <w:rPr>
                <w:sz w:val="28"/>
                <w:szCs w:val="28"/>
              </w:rPr>
            </w:pPr>
            <w:r w:rsidRPr="00553033">
              <w:rPr>
                <w:sz w:val="28"/>
                <w:szCs w:val="28"/>
              </w:rPr>
              <w:t xml:space="preserve">Not known (cannot be estimated from the available data) </w:t>
            </w:r>
          </w:p>
        </w:tc>
        <w:tc>
          <w:tcPr>
            <w:tcW w:w="3136" w:type="dxa"/>
          </w:tcPr>
          <w:p w14:paraId="72F6C7AD" w14:textId="6206967A" w:rsidR="00553033" w:rsidRPr="00553033" w:rsidRDefault="00553033" w:rsidP="00273631">
            <w:pPr>
              <w:pStyle w:val="NormalWeb"/>
              <w:spacing w:before="0" w:beforeAutospacing="0" w:after="0" w:afterAutospacing="0"/>
              <w:rPr>
                <w:sz w:val="28"/>
                <w:szCs w:val="28"/>
              </w:rPr>
            </w:pPr>
            <w:r w:rsidRPr="00553033">
              <w:rPr>
                <w:sz w:val="28"/>
                <w:szCs w:val="28"/>
              </w:rPr>
              <w:t>Osteodystrophy</w:t>
            </w:r>
            <w:r w:rsidR="00C03040" w:rsidRPr="00C03040">
              <w:rPr>
                <w:sz w:val="28"/>
                <w:szCs w:val="28"/>
                <w:vertAlign w:val="superscript"/>
              </w:rPr>
              <w:t>2</w:t>
            </w:r>
            <w:r w:rsidRPr="00553033">
              <w:rPr>
                <w:sz w:val="28"/>
                <w:szCs w:val="28"/>
              </w:rPr>
              <w:t>, osteomalacia</w:t>
            </w:r>
            <w:r w:rsidR="00C03040" w:rsidRPr="00C03040">
              <w:rPr>
                <w:sz w:val="28"/>
                <w:szCs w:val="28"/>
                <w:vertAlign w:val="superscript"/>
              </w:rPr>
              <w:t>2</w:t>
            </w:r>
            <w:r w:rsidRPr="00553033">
              <w:rPr>
                <w:sz w:val="28"/>
                <w:szCs w:val="28"/>
              </w:rPr>
              <w:t>, encephalopathy</w:t>
            </w:r>
            <w:r w:rsidR="00C03040" w:rsidRPr="00C03040">
              <w:rPr>
                <w:sz w:val="28"/>
                <w:szCs w:val="28"/>
                <w:vertAlign w:val="superscript"/>
              </w:rPr>
              <w:t>2</w:t>
            </w:r>
            <w:r w:rsidRPr="00553033">
              <w:rPr>
                <w:sz w:val="28"/>
                <w:szCs w:val="28"/>
              </w:rPr>
              <w:t>, anaemia</w:t>
            </w:r>
            <w:r w:rsidR="00C03040" w:rsidRPr="00C03040">
              <w:rPr>
                <w:sz w:val="28"/>
                <w:szCs w:val="28"/>
                <w:vertAlign w:val="superscript"/>
              </w:rPr>
              <w:t>2</w:t>
            </w:r>
            <w:r w:rsidRPr="00553033">
              <w:rPr>
                <w:position w:val="8"/>
                <w:sz w:val="28"/>
                <w:szCs w:val="28"/>
              </w:rPr>
              <w:t xml:space="preserve"> </w:t>
            </w:r>
          </w:p>
        </w:tc>
      </w:tr>
    </w:tbl>
    <w:p w14:paraId="13149631" w14:textId="77777777" w:rsidR="008451CA" w:rsidRDefault="008451CA" w:rsidP="00E86DA2">
      <w:pPr>
        <w:pStyle w:val="BodyTextSMPC"/>
        <w:spacing w:after="0"/>
      </w:pPr>
      <w:r w:rsidRPr="008451CA">
        <w:rPr>
          <w:vertAlign w:val="superscript"/>
        </w:rPr>
        <w:t>1</w:t>
      </w:r>
      <w:r w:rsidRPr="008451CA">
        <w:t xml:space="preserve">Reported in patients with impaired gastric emptying, patients with enteral tube feeding or low birth weight infants </w:t>
      </w:r>
    </w:p>
    <w:p w14:paraId="20A15C0E" w14:textId="7239162C" w:rsidR="008451CA" w:rsidRPr="008F5678" w:rsidRDefault="008451CA" w:rsidP="002C4670">
      <w:pPr>
        <w:pStyle w:val="BodyTextSMPC"/>
      </w:pPr>
      <w:r w:rsidRPr="008451CA">
        <w:rPr>
          <w:vertAlign w:val="superscript"/>
        </w:rPr>
        <w:t>2</w:t>
      </w:r>
      <w:r w:rsidRPr="008451CA">
        <w:t>Reported in patients with chronic renal impairment</w:t>
      </w:r>
    </w:p>
    <w:p w14:paraId="6D003B03" w14:textId="77777777" w:rsidR="00227FD4" w:rsidRPr="008F5678" w:rsidRDefault="00000000" w:rsidP="00671E86">
      <w:pPr>
        <w:pStyle w:val="BodyTextSMPC"/>
        <w:rPr>
          <w:u w:val="single"/>
        </w:rPr>
      </w:pPr>
      <w:r w:rsidRPr="008F5678">
        <w:rPr>
          <w:u w:val="single"/>
        </w:rPr>
        <w:t xml:space="preserve">Reporting of suspected adverse reactions </w:t>
      </w:r>
    </w:p>
    <w:p w14:paraId="3CE4C9DE" w14:textId="77777777" w:rsidR="00227FD4" w:rsidRDefault="00000000" w:rsidP="00671E86">
      <w:pPr>
        <w:pStyle w:val="BodyTextSMPC"/>
        <w:rPr>
          <w:rFonts w:eastAsia="Times"/>
        </w:rPr>
      </w:pPr>
      <w:r w:rsidRPr="008F5678">
        <w:lastRenderedPageBreak/>
        <w:t xml:space="preserve">Reporting suspected adverse reactions after authorisation of the medicinal product is important. It allows continued monitoring of the benefit/risk balance of the medicinal product. Healthcare professionals are asked to report any suspected </w:t>
      </w:r>
      <w:r w:rsidRPr="008F5678">
        <w:rPr>
          <w:rFonts w:eastAsia="Times"/>
        </w:rPr>
        <w:t xml:space="preserve">adverse reactions via Health Product Vigilance Center; HPVC </w:t>
      </w:r>
    </w:p>
    <w:p w14:paraId="11081C9E" w14:textId="77777777" w:rsidR="000920D7" w:rsidRDefault="000920D7" w:rsidP="00671E86">
      <w:pPr>
        <w:pStyle w:val="BodyTextSMPC"/>
        <w:rPr>
          <w:rFonts w:eastAsia="Times"/>
        </w:rPr>
      </w:pPr>
    </w:p>
    <w:p w14:paraId="1BDAB421" w14:textId="77777777" w:rsidR="000920D7" w:rsidRPr="008F5678" w:rsidRDefault="000920D7" w:rsidP="00671E86">
      <w:pPr>
        <w:pStyle w:val="BodyTextSMPC"/>
        <w:rPr>
          <w:rFonts w:eastAsia="Times"/>
        </w:rPr>
      </w:pPr>
    </w:p>
    <w:p w14:paraId="30211328" w14:textId="69F1473A" w:rsidR="00227FD4" w:rsidRPr="008F5678" w:rsidRDefault="00000000" w:rsidP="00671E86">
      <w:pPr>
        <w:pStyle w:val="SubHeafingSMPC"/>
      </w:pPr>
      <w:r w:rsidRPr="008F5678">
        <w:t xml:space="preserve">Overdose </w:t>
      </w:r>
    </w:p>
    <w:p w14:paraId="15F13B61" w14:textId="2C771C4F" w:rsidR="000920D7" w:rsidRDefault="000920D7" w:rsidP="000920D7">
      <w:pPr>
        <w:pStyle w:val="BodyTextSMPC"/>
      </w:pPr>
      <w:r>
        <w:t>In a clinical trial on healthy men of overdose with sucralfate, most cases remained asymptomatic, but symptoms of abdominal pain, nausea, and vomiting were reported in a few cases.</w:t>
      </w:r>
    </w:p>
    <w:p w14:paraId="779748E9" w14:textId="627FA2A5" w:rsidR="00227FD4" w:rsidRPr="008F5678" w:rsidRDefault="000920D7" w:rsidP="000920D7">
      <w:pPr>
        <w:pStyle w:val="BodyTextSMPC"/>
      </w:pPr>
      <w:r>
        <w:t>Acute oral toxicity studies in animals, using doses up to 12 g/kg body weight, could not find a lethal dose.Risks associated with overdose, should, therefore, be minimal</w:t>
      </w:r>
      <w:r w:rsidRPr="008F5678">
        <w:t xml:space="preserve">. </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656356CB" w14:textId="38D461CD" w:rsidR="00227FD4" w:rsidRPr="008F5678" w:rsidRDefault="00000000" w:rsidP="00671E86">
      <w:pPr>
        <w:pStyle w:val="BodyTextSMPC"/>
      </w:pPr>
      <w:r w:rsidRPr="008F5678">
        <w:t xml:space="preserve">Pharmacotherapeutic group: </w:t>
      </w:r>
      <w:r w:rsidR="00A52EF6" w:rsidRPr="00A52EF6">
        <w:t>Alimentary tract and metabolism, ATC code: A02B X02</w:t>
      </w:r>
      <w:r w:rsidRPr="008F5678">
        <w:t xml:space="preserve"> </w:t>
      </w:r>
    </w:p>
    <w:p w14:paraId="0E1B094A" w14:textId="77777777" w:rsidR="00911AF5" w:rsidRPr="00911AF5" w:rsidRDefault="00911AF5" w:rsidP="00911AF5">
      <w:pPr>
        <w:pStyle w:val="BodyTextSMPC"/>
        <w:rPr>
          <w:color w:val="000000" w:themeColor="text1"/>
          <w:u w:val="single"/>
        </w:rPr>
      </w:pPr>
      <w:r w:rsidRPr="00911AF5">
        <w:rPr>
          <w:color w:val="000000" w:themeColor="text1"/>
          <w:u w:val="single"/>
        </w:rPr>
        <w:t>Mechanism of action</w:t>
      </w:r>
    </w:p>
    <w:p w14:paraId="3E400458" w14:textId="5A570C2A" w:rsidR="00911AF5" w:rsidRPr="00911AF5" w:rsidRDefault="00911AF5" w:rsidP="00911AF5">
      <w:pPr>
        <w:pStyle w:val="BodyTextSMPC"/>
        <w:rPr>
          <w:color w:val="000000" w:themeColor="text1"/>
        </w:rPr>
      </w:pPr>
      <w:r w:rsidRPr="00911AF5">
        <w:rPr>
          <w:color w:val="000000" w:themeColor="text1"/>
        </w:rPr>
        <w:t xml:space="preserve">The action of </w:t>
      </w:r>
      <w:r w:rsidR="00B155A0">
        <w:rPr>
          <w:color w:val="000000" w:themeColor="text1"/>
        </w:rPr>
        <w:t>sucralfate</w:t>
      </w:r>
      <w:r w:rsidRPr="00911AF5">
        <w:rPr>
          <w:color w:val="000000" w:themeColor="text1"/>
        </w:rPr>
        <w:t xml:space="preserve"> is non-systemic as the drug is only minimally absorbed from the gastro-intestinal tract.The small amounts that are absorbed are excreted primarily in the urine.</w:t>
      </w:r>
      <w:r w:rsidR="00B155A0">
        <w:rPr>
          <w:color w:val="000000" w:themeColor="text1"/>
        </w:rPr>
        <w:t xml:space="preserve"> Sucralfate</w:t>
      </w:r>
      <w:r w:rsidRPr="00911AF5">
        <w:rPr>
          <w:color w:val="000000" w:themeColor="text1"/>
        </w:rPr>
        <w:t xml:space="preserve"> exerts a generalised cytoprotective effect by preventing gastro-intestinal mucosal injury.</w:t>
      </w:r>
    </w:p>
    <w:p w14:paraId="38F3811B" w14:textId="5BD46DF3" w:rsidR="00911AF5" w:rsidRPr="00911AF5" w:rsidRDefault="00911AF5" w:rsidP="00911AF5">
      <w:pPr>
        <w:pStyle w:val="BodyTextSMPC"/>
        <w:rPr>
          <w:color w:val="000000" w:themeColor="text1"/>
        </w:rPr>
      </w:pPr>
      <w:r w:rsidRPr="00911AF5">
        <w:rPr>
          <w:color w:val="000000" w:themeColor="text1"/>
        </w:rPr>
        <w:t xml:space="preserve">Studies in humans and animal models show that </w:t>
      </w:r>
      <w:r w:rsidR="00B155A0">
        <w:rPr>
          <w:color w:val="000000" w:themeColor="text1"/>
        </w:rPr>
        <w:t>sucralfate</w:t>
      </w:r>
      <w:r w:rsidRPr="00911AF5">
        <w:rPr>
          <w:color w:val="000000" w:themeColor="text1"/>
        </w:rPr>
        <w:t xml:space="preserve"> forms an ulcer adherent complex with the proteinaceous exudate of the ulcer site.This property enables </w:t>
      </w:r>
      <w:r w:rsidR="00B155A0">
        <w:rPr>
          <w:color w:val="000000" w:themeColor="text1"/>
        </w:rPr>
        <w:t>sucralfate</w:t>
      </w:r>
      <w:r w:rsidRPr="00911AF5">
        <w:rPr>
          <w:color w:val="000000" w:themeColor="text1"/>
        </w:rPr>
        <w:t xml:space="preserve"> to form a protective barrier over the ulcer lesion giving sustained protection against the penetration and action of gastric acid, pepsin and bile.Studies both in humans and animals demonstrate that </w:t>
      </w:r>
      <w:r w:rsidR="00B155A0">
        <w:rPr>
          <w:color w:val="000000" w:themeColor="text1"/>
        </w:rPr>
        <w:t>sucralfate</w:t>
      </w:r>
      <w:r w:rsidRPr="00911AF5">
        <w:rPr>
          <w:color w:val="000000" w:themeColor="text1"/>
        </w:rPr>
        <w:t xml:space="preserve"> protects the gastric mucosa against various irritants such as alcohol, acetylsalicyclic acid and sodium </w:t>
      </w:r>
      <w:r w:rsidRPr="00911AF5">
        <w:rPr>
          <w:color w:val="000000" w:themeColor="text1"/>
        </w:rPr>
        <w:lastRenderedPageBreak/>
        <w:t xml:space="preserve">taurocholate. </w:t>
      </w:r>
      <w:r w:rsidR="00B155A0">
        <w:rPr>
          <w:color w:val="000000" w:themeColor="text1"/>
        </w:rPr>
        <w:t>Sucralfate</w:t>
      </w:r>
      <w:r w:rsidRPr="00911AF5">
        <w:rPr>
          <w:color w:val="000000" w:themeColor="text1"/>
        </w:rPr>
        <w:t xml:space="preserve"> also directly inhibits pepsin activity and absorbs bile salts.It has only weak antacid activity.It does not alter gastric emptying time, nor normal digestive function.</w:t>
      </w:r>
      <w:r w:rsidR="00B155A0">
        <w:rPr>
          <w:color w:val="000000" w:themeColor="text1"/>
        </w:rPr>
        <w:t xml:space="preserve"> Sucralfate</w:t>
      </w:r>
      <w:r w:rsidRPr="00911AF5">
        <w:rPr>
          <w:color w:val="000000" w:themeColor="text1"/>
        </w:rPr>
        <w:t xml:space="preserve"> has no demonstrated pharmacological effect on the cardiovascular or central nervous systems.</w:t>
      </w:r>
    </w:p>
    <w:p w14:paraId="70ACBA2E" w14:textId="77777777" w:rsidR="00911AF5" w:rsidRPr="00911AF5" w:rsidRDefault="00911AF5" w:rsidP="00911AF5">
      <w:pPr>
        <w:pStyle w:val="BodyTextSMPC"/>
        <w:rPr>
          <w:color w:val="000000" w:themeColor="text1"/>
          <w:u w:val="single"/>
        </w:rPr>
      </w:pPr>
      <w:r w:rsidRPr="00911AF5">
        <w:rPr>
          <w:color w:val="000000" w:themeColor="text1"/>
          <w:u w:val="single"/>
        </w:rPr>
        <w:t>Paediatric population</w:t>
      </w:r>
    </w:p>
    <w:p w14:paraId="2F059951" w14:textId="2D6F5A98" w:rsidR="00227FD4" w:rsidRPr="00911AF5" w:rsidRDefault="00911AF5" w:rsidP="00911AF5">
      <w:pPr>
        <w:pStyle w:val="BodyTextSMPC"/>
        <w:rPr>
          <w:color w:val="000000" w:themeColor="text1"/>
        </w:rPr>
      </w:pPr>
      <w:r w:rsidRPr="00911AF5">
        <w:rPr>
          <w:color w:val="000000" w:themeColor="text1"/>
        </w:rPr>
        <w:t xml:space="preserve">In the literature, there are limited clinical data on the use of sulcralfate in children, mainly for stress ulcer prophylaxis, reflux oesophagitis and mucositis. The dose used in these studies was 0.5-1g four times a day, depending on the children’s age and the severity of the underlying disease, and was applied without major safety concerns. In view of the limited data, use of sucralfate in children under 14 years of age is currently not recommended. </w:t>
      </w:r>
    </w:p>
    <w:p w14:paraId="04D77DAA" w14:textId="7BED606D" w:rsidR="00227FD4" w:rsidRPr="008F5678" w:rsidRDefault="00000000" w:rsidP="00671E86">
      <w:pPr>
        <w:pStyle w:val="SubHeafingSMPC"/>
      </w:pPr>
      <w:r w:rsidRPr="008F5678">
        <w:t xml:space="preserve">Pharmacokinetic properties </w:t>
      </w:r>
    </w:p>
    <w:p w14:paraId="492AD855" w14:textId="53B28411" w:rsidR="00227FD4" w:rsidRPr="008F5678" w:rsidRDefault="00B155A0" w:rsidP="00B155A0">
      <w:pPr>
        <w:pStyle w:val="BodyTextSMPC"/>
      </w:pPr>
      <w:r>
        <w:t>Sucralfate is only minimally absorbed from the gastro-intestinal tract. The small amounts that are absorbed are excreted primarily in the urine. Absorption of aluminium from sucralfate may be increased in patients on dialysis or with renal dysfunction (see also "other special warnings and precautions")</w:t>
      </w:r>
      <w:r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7BE4B9BC" w14:textId="7EB8DA93" w:rsidR="00227FD4" w:rsidRPr="008F5678" w:rsidRDefault="005154B8" w:rsidP="00671E86">
      <w:pPr>
        <w:pStyle w:val="BodyTextSMPC"/>
      </w:pPr>
      <w:r w:rsidRPr="005154B8">
        <w:t>There was no evidence of carcinogenesis in mice and rats receiving oral sucralfate in dosages of up to 1g/kg daily (12 times the usual human dosage) for 2 years. In animal studies there was no effect evidence of impaired fertility. The effect of sucralfate on human fertility is not known</w:t>
      </w:r>
      <w:r w:rsidRPr="008F5678">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40F47E76" w:rsidR="00227FD4" w:rsidRPr="008F5678" w:rsidRDefault="00000000" w:rsidP="00671E86">
      <w:pPr>
        <w:pStyle w:val="BodyTextSMPC"/>
      </w:pPr>
      <w:r w:rsidRPr="008F5678">
        <w:t>No</w:t>
      </w:r>
      <w:r w:rsidR="003E10E3">
        <w:t>t applicable</w:t>
      </w:r>
      <w:r w:rsidRPr="008F5678">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lastRenderedPageBreak/>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FC3FF" w14:textId="77777777" w:rsidR="00764B75" w:rsidRDefault="00764B75" w:rsidP="008F5678">
      <w:pPr>
        <w:spacing w:line="240" w:lineRule="auto"/>
      </w:pPr>
      <w:r>
        <w:separator/>
      </w:r>
    </w:p>
  </w:endnote>
  <w:endnote w:type="continuationSeparator" w:id="0">
    <w:p w14:paraId="6EAE9507" w14:textId="77777777" w:rsidR="00764B75" w:rsidRDefault="00764B75"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Time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55236C43" w:rsidR="008F5678" w:rsidRPr="0066403F" w:rsidRDefault="008F5678" w:rsidP="008F5678">
    <w:pPr>
      <w:rPr>
        <w:rFonts w:ascii="Times New Roman" w:hAnsi="Times New Roman" w:cs="Times New Roman"/>
        <w:color w:val="FF0000"/>
        <w:sz w:val="20"/>
        <w:szCs w:val="20"/>
        <w:cs/>
      </w:rPr>
    </w:pPr>
    <w:r w:rsidRPr="0066403F">
      <w:rPr>
        <w:rFonts w:ascii="Times New Roman" w:eastAsia="Times New Roman" w:hAnsi="Times New Roman" w:cs="Times New Roman"/>
        <w:sz w:val="20"/>
        <w:szCs w:val="20"/>
        <w:vertAlign w:val="superscript"/>
      </w:rPr>
      <w:t xml:space="preserve">1 </w:t>
    </w:r>
    <w:r w:rsidRPr="0066403F">
      <w:rPr>
        <w:rFonts w:ascii="Times New Roman" w:hAnsi="Times New Roman" w:cs="Times New Roman"/>
        <w:sz w:val="20"/>
        <w:szCs w:val="20"/>
      </w:rPr>
      <w:t>Ref:</w:t>
    </w:r>
    <w:r w:rsidR="00540917" w:rsidRPr="0066403F">
      <w:rPr>
        <w:rFonts w:ascii="Times New Roman" w:hAnsi="Times New Roman" w:cs="Times New Roman"/>
        <w:sz w:val="20"/>
        <w:szCs w:val="20"/>
      </w:rPr>
      <w:t>Antepsin</w:t>
    </w:r>
    <w:r w:rsidRPr="0066403F">
      <w:rPr>
        <w:rFonts w:ascii="Times New Roman" w:hAnsi="Times New Roman" w:cs="Times New Roman"/>
        <w:sz w:val="20"/>
        <w:szCs w:val="20"/>
      </w:rPr>
      <w:t xml:space="preserve">, </w:t>
    </w:r>
    <w:r w:rsidR="00540917" w:rsidRPr="0066403F">
      <w:rPr>
        <w:rFonts w:ascii="Times New Roman" w:hAnsi="Times New Roman" w:cs="Times New Roman"/>
        <w:sz w:val="20"/>
        <w:szCs w:val="20"/>
      </w:rPr>
      <w:t>HPRA</w:t>
    </w:r>
    <w:r w:rsidRPr="0066403F">
      <w:rPr>
        <w:rFonts w:ascii="Times New Roman" w:hAnsi="Times New Roman" w:cs="Times New Roman"/>
        <w:sz w:val="20"/>
        <w:szCs w:val="20"/>
      </w:rPr>
      <w:t xml:space="preserve">, </w:t>
    </w:r>
    <w:r w:rsidR="00540917" w:rsidRPr="0066403F">
      <w:rPr>
        <w:rFonts w:ascii="Times New Roman" w:eastAsia="Times New Roman" w:hAnsi="Times New Roman" w:cs="Times New Roman"/>
        <w:sz w:val="20"/>
        <w:szCs w:val="20"/>
      </w:rPr>
      <w:t>03</w:t>
    </w:r>
    <w:r w:rsidRPr="0066403F">
      <w:rPr>
        <w:rFonts w:ascii="Times New Roman" w:eastAsia="Times New Roman" w:hAnsi="Times New Roman" w:cs="Times New Roman"/>
        <w:sz w:val="20"/>
        <w:szCs w:val="20"/>
      </w:rPr>
      <w:t>/20</w:t>
    </w:r>
    <w:r w:rsidR="00540917" w:rsidRPr="0066403F">
      <w:rPr>
        <w:rFonts w:ascii="Times New Roman" w:eastAsia="Times New Roman" w:hAnsi="Times New Roman" w:cs="Times New Roman"/>
        <w:sz w:val="20"/>
        <w:szCs w:val="20"/>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164B9" w14:textId="77777777" w:rsidR="00764B75" w:rsidRDefault="00764B75" w:rsidP="008F5678">
      <w:pPr>
        <w:spacing w:line="240" w:lineRule="auto"/>
      </w:pPr>
      <w:r>
        <w:separator/>
      </w:r>
    </w:p>
  </w:footnote>
  <w:footnote w:type="continuationSeparator" w:id="0">
    <w:p w14:paraId="16B1C2F9" w14:textId="77777777" w:rsidR="00764B75" w:rsidRDefault="00764B75"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1532202">
    <w:abstractNumId w:val="1"/>
  </w:num>
  <w:num w:numId="2" w16cid:durableId="658729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56891"/>
    <w:rsid w:val="000920D7"/>
    <w:rsid w:val="00092CBD"/>
    <w:rsid w:val="000C16D1"/>
    <w:rsid w:val="00177864"/>
    <w:rsid w:val="00227FD4"/>
    <w:rsid w:val="0023263A"/>
    <w:rsid w:val="00233A79"/>
    <w:rsid w:val="00273631"/>
    <w:rsid w:val="002C4670"/>
    <w:rsid w:val="003E10E3"/>
    <w:rsid w:val="00420716"/>
    <w:rsid w:val="004E73FF"/>
    <w:rsid w:val="0050764B"/>
    <w:rsid w:val="005154B8"/>
    <w:rsid w:val="00540917"/>
    <w:rsid w:val="00553033"/>
    <w:rsid w:val="005545AF"/>
    <w:rsid w:val="0059768A"/>
    <w:rsid w:val="005C4A0A"/>
    <w:rsid w:val="005C4C73"/>
    <w:rsid w:val="006059D2"/>
    <w:rsid w:val="0066403F"/>
    <w:rsid w:val="00671E86"/>
    <w:rsid w:val="006B53E4"/>
    <w:rsid w:val="006C4505"/>
    <w:rsid w:val="006D0EDE"/>
    <w:rsid w:val="007258BA"/>
    <w:rsid w:val="00764B75"/>
    <w:rsid w:val="007D4CCD"/>
    <w:rsid w:val="00823B60"/>
    <w:rsid w:val="00834A79"/>
    <w:rsid w:val="008451CA"/>
    <w:rsid w:val="008B6197"/>
    <w:rsid w:val="008C53D6"/>
    <w:rsid w:val="008F5678"/>
    <w:rsid w:val="00900909"/>
    <w:rsid w:val="00911AF5"/>
    <w:rsid w:val="0093153F"/>
    <w:rsid w:val="00962045"/>
    <w:rsid w:val="009E023D"/>
    <w:rsid w:val="00A144D2"/>
    <w:rsid w:val="00A46E4E"/>
    <w:rsid w:val="00A52EF6"/>
    <w:rsid w:val="00A560E6"/>
    <w:rsid w:val="00A75424"/>
    <w:rsid w:val="00A85894"/>
    <w:rsid w:val="00AC11C1"/>
    <w:rsid w:val="00AD178C"/>
    <w:rsid w:val="00AF212D"/>
    <w:rsid w:val="00B109F3"/>
    <w:rsid w:val="00B155A0"/>
    <w:rsid w:val="00B21A39"/>
    <w:rsid w:val="00B24321"/>
    <w:rsid w:val="00B36B0E"/>
    <w:rsid w:val="00B6077C"/>
    <w:rsid w:val="00BE2FCB"/>
    <w:rsid w:val="00BE7516"/>
    <w:rsid w:val="00BF00B1"/>
    <w:rsid w:val="00C03040"/>
    <w:rsid w:val="00C21A1C"/>
    <w:rsid w:val="00C5591F"/>
    <w:rsid w:val="00C64ED0"/>
    <w:rsid w:val="00C757AD"/>
    <w:rsid w:val="00CF08FD"/>
    <w:rsid w:val="00DA574C"/>
    <w:rsid w:val="00E26518"/>
    <w:rsid w:val="00E4508F"/>
    <w:rsid w:val="00E86DA2"/>
    <w:rsid w:val="00EA19F0"/>
    <w:rsid w:val="00F64700"/>
    <w:rsid w:val="00FB5BE9"/>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 w:type="table" w:styleId="TableGrid">
    <w:name w:val="Table Grid"/>
    <w:basedOn w:val="TableNormal"/>
    <w:uiPriority w:val="39"/>
    <w:rsid w:val="008451C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451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18482">
      <w:bodyDiv w:val="1"/>
      <w:marLeft w:val="0"/>
      <w:marRight w:val="0"/>
      <w:marTop w:val="0"/>
      <w:marBottom w:val="0"/>
      <w:divBdr>
        <w:top w:val="none" w:sz="0" w:space="0" w:color="auto"/>
        <w:left w:val="none" w:sz="0" w:space="0" w:color="auto"/>
        <w:bottom w:val="none" w:sz="0" w:space="0" w:color="auto"/>
        <w:right w:val="none" w:sz="0" w:space="0" w:color="auto"/>
      </w:divBdr>
      <w:divsChild>
        <w:div w:id="1716733663">
          <w:marLeft w:val="0"/>
          <w:marRight w:val="0"/>
          <w:marTop w:val="0"/>
          <w:marBottom w:val="0"/>
          <w:divBdr>
            <w:top w:val="none" w:sz="0" w:space="0" w:color="auto"/>
            <w:left w:val="none" w:sz="0" w:space="0" w:color="auto"/>
            <w:bottom w:val="none" w:sz="0" w:space="0" w:color="auto"/>
            <w:right w:val="none" w:sz="0" w:space="0" w:color="auto"/>
          </w:divBdr>
          <w:divsChild>
            <w:div w:id="1989431661">
              <w:marLeft w:val="0"/>
              <w:marRight w:val="0"/>
              <w:marTop w:val="0"/>
              <w:marBottom w:val="0"/>
              <w:divBdr>
                <w:top w:val="none" w:sz="0" w:space="0" w:color="auto"/>
                <w:left w:val="none" w:sz="0" w:space="0" w:color="auto"/>
                <w:bottom w:val="none" w:sz="0" w:space="0" w:color="auto"/>
                <w:right w:val="none" w:sz="0" w:space="0" w:color="auto"/>
              </w:divBdr>
              <w:divsChild>
                <w:div w:id="15287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0348">
      <w:bodyDiv w:val="1"/>
      <w:marLeft w:val="0"/>
      <w:marRight w:val="0"/>
      <w:marTop w:val="0"/>
      <w:marBottom w:val="0"/>
      <w:divBdr>
        <w:top w:val="none" w:sz="0" w:space="0" w:color="auto"/>
        <w:left w:val="none" w:sz="0" w:space="0" w:color="auto"/>
        <w:bottom w:val="none" w:sz="0" w:space="0" w:color="auto"/>
        <w:right w:val="none" w:sz="0" w:space="0" w:color="auto"/>
      </w:divBdr>
      <w:divsChild>
        <w:div w:id="1393386403">
          <w:marLeft w:val="0"/>
          <w:marRight w:val="0"/>
          <w:marTop w:val="0"/>
          <w:marBottom w:val="0"/>
          <w:divBdr>
            <w:top w:val="none" w:sz="0" w:space="0" w:color="auto"/>
            <w:left w:val="none" w:sz="0" w:space="0" w:color="auto"/>
            <w:bottom w:val="none" w:sz="0" w:space="0" w:color="auto"/>
            <w:right w:val="none" w:sz="0" w:space="0" w:color="auto"/>
          </w:divBdr>
          <w:divsChild>
            <w:div w:id="2087530391">
              <w:marLeft w:val="0"/>
              <w:marRight w:val="0"/>
              <w:marTop w:val="0"/>
              <w:marBottom w:val="0"/>
              <w:divBdr>
                <w:top w:val="none" w:sz="0" w:space="0" w:color="auto"/>
                <w:left w:val="none" w:sz="0" w:space="0" w:color="auto"/>
                <w:bottom w:val="none" w:sz="0" w:space="0" w:color="auto"/>
                <w:right w:val="none" w:sz="0" w:space="0" w:color="auto"/>
              </w:divBdr>
              <w:divsChild>
                <w:div w:id="119446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1450">
      <w:bodyDiv w:val="1"/>
      <w:marLeft w:val="0"/>
      <w:marRight w:val="0"/>
      <w:marTop w:val="0"/>
      <w:marBottom w:val="0"/>
      <w:divBdr>
        <w:top w:val="none" w:sz="0" w:space="0" w:color="auto"/>
        <w:left w:val="none" w:sz="0" w:space="0" w:color="auto"/>
        <w:bottom w:val="none" w:sz="0" w:space="0" w:color="auto"/>
        <w:right w:val="none" w:sz="0" w:space="0" w:color="auto"/>
      </w:divBdr>
      <w:divsChild>
        <w:div w:id="1793204817">
          <w:marLeft w:val="0"/>
          <w:marRight w:val="0"/>
          <w:marTop w:val="0"/>
          <w:marBottom w:val="0"/>
          <w:divBdr>
            <w:top w:val="none" w:sz="0" w:space="0" w:color="auto"/>
            <w:left w:val="none" w:sz="0" w:space="0" w:color="auto"/>
            <w:bottom w:val="none" w:sz="0" w:space="0" w:color="auto"/>
            <w:right w:val="none" w:sz="0" w:space="0" w:color="auto"/>
          </w:divBdr>
          <w:divsChild>
            <w:div w:id="1570112568">
              <w:marLeft w:val="0"/>
              <w:marRight w:val="0"/>
              <w:marTop w:val="0"/>
              <w:marBottom w:val="0"/>
              <w:divBdr>
                <w:top w:val="none" w:sz="0" w:space="0" w:color="auto"/>
                <w:left w:val="none" w:sz="0" w:space="0" w:color="auto"/>
                <w:bottom w:val="none" w:sz="0" w:space="0" w:color="auto"/>
                <w:right w:val="none" w:sz="0" w:space="0" w:color="auto"/>
              </w:divBdr>
              <w:divsChild>
                <w:div w:id="3808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048588">
      <w:bodyDiv w:val="1"/>
      <w:marLeft w:val="0"/>
      <w:marRight w:val="0"/>
      <w:marTop w:val="0"/>
      <w:marBottom w:val="0"/>
      <w:divBdr>
        <w:top w:val="none" w:sz="0" w:space="0" w:color="auto"/>
        <w:left w:val="none" w:sz="0" w:space="0" w:color="auto"/>
        <w:bottom w:val="none" w:sz="0" w:space="0" w:color="auto"/>
        <w:right w:val="none" w:sz="0" w:space="0" w:color="auto"/>
      </w:divBdr>
      <w:divsChild>
        <w:div w:id="645472362">
          <w:marLeft w:val="0"/>
          <w:marRight w:val="0"/>
          <w:marTop w:val="0"/>
          <w:marBottom w:val="0"/>
          <w:divBdr>
            <w:top w:val="none" w:sz="0" w:space="0" w:color="auto"/>
            <w:left w:val="none" w:sz="0" w:space="0" w:color="auto"/>
            <w:bottom w:val="none" w:sz="0" w:space="0" w:color="auto"/>
            <w:right w:val="none" w:sz="0" w:space="0" w:color="auto"/>
          </w:divBdr>
          <w:divsChild>
            <w:div w:id="1047607978">
              <w:marLeft w:val="0"/>
              <w:marRight w:val="0"/>
              <w:marTop w:val="0"/>
              <w:marBottom w:val="0"/>
              <w:divBdr>
                <w:top w:val="none" w:sz="0" w:space="0" w:color="auto"/>
                <w:left w:val="none" w:sz="0" w:space="0" w:color="auto"/>
                <w:bottom w:val="none" w:sz="0" w:space="0" w:color="auto"/>
                <w:right w:val="none" w:sz="0" w:space="0" w:color="auto"/>
              </w:divBdr>
              <w:divsChild>
                <w:div w:id="20731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051203">
      <w:bodyDiv w:val="1"/>
      <w:marLeft w:val="0"/>
      <w:marRight w:val="0"/>
      <w:marTop w:val="0"/>
      <w:marBottom w:val="0"/>
      <w:divBdr>
        <w:top w:val="none" w:sz="0" w:space="0" w:color="auto"/>
        <w:left w:val="none" w:sz="0" w:space="0" w:color="auto"/>
        <w:bottom w:val="none" w:sz="0" w:space="0" w:color="auto"/>
        <w:right w:val="none" w:sz="0" w:space="0" w:color="auto"/>
      </w:divBdr>
      <w:divsChild>
        <w:div w:id="1772510872">
          <w:marLeft w:val="0"/>
          <w:marRight w:val="0"/>
          <w:marTop w:val="0"/>
          <w:marBottom w:val="0"/>
          <w:divBdr>
            <w:top w:val="none" w:sz="0" w:space="0" w:color="auto"/>
            <w:left w:val="none" w:sz="0" w:space="0" w:color="auto"/>
            <w:bottom w:val="none" w:sz="0" w:space="0" w:color="auto"/>
            <w:right w:val="none" w:sz="0" w:space="0" w:color="auto"/>
          </w:divBdr>
          <w:divsChild>
            <w:div w:id="1292634082">
              <w:marLeft w:val="0"/>
              <w:marRight w:val="0"/>
              <w:marTop w:val="0"/>
              <w:marBottom w:val="0"/>
              <w:divBdr>
                <w:top w:val="none" w:sz="0" w:space="0" w:color="auto"/>
                <w:left w:val="none" w:sz="0" w:space="0" w:color="auto"/>
                <w:bottom w:val="none" w:sz="0" w:space="0" w:color="auto"/>
                <w:right w:val="none" w:sz="0" w:space="0" w:color="auto"/>
              </w:divBdr>
              <w:divsChild>
                <w:div w:id="159359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134302">
      <w:bodyDiv w:val="1"/>
      <w:marLeft w:val="0"/>
      <w:marRight w:val="0"/>
      <w:marTop w:val="0"/>
      <w:marBottom w:val="0"/>
      <w:divBdr>
        <w:top w:val="none" w:sz="0" w:space="0" w:color="auto"/>
        <w:left w:val="none" w:sz="0" w:space="0" w:color="auto"/>
        <w:bottom w:val="none" w:sz="0" w:space="0" w:color="auto"/>
        <w:right w:val="none" w:sz="0" w:space="0" w:color="auto"/>
      </w:divBdr>
      <w:divsChild>
        <w:div w:id="2052606371">
          <w:marLeft w:val="0"/>
          <w:marRight w:val="0"/>
          <w:marTop w:val="0"/>
          <w:marBottom w:val="0"/>
          <w:divBdr>
            <w:top w:val="none" w:sz="0" w:space="0" w:color="auto"/>
            <w:left w:val="none" w:sz="0" w:space="0" w:color="auto"/>
            <w:bottom w:val="none" w:sz="0" w:space="0" w:color="auto"/>
            <w:right w:val="none" w:sz="0" w:space="0" w:color="auto"/>
          </w:divBdr>
          <w:divsChild>
            <w:div w:id="30885175">
              <w:marLeft w:val="0"/>
              <w:marRight w:val="0"/>
              <w:marTop w:val="0"/>
              <w:marBottom w:val="0"/>
              <w:divBdr>
                <w:top w:val="none" w:sz="0" w:space="0" w:color="auto"/>
                <w:left w:val="none" w:sz="0" w:space="0" w:color="auto"/>
                <w:bottom w:val="none" w:sz="0" w:space="0" w:color="auto"/>
                <w:right w:val="none" w:sz="0" w:space="0" w:color="auto"/>
              </w:divBdr>
              <w:divsChild>
                <w:div w:id="122344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811259">
      <w:bodyDiv w:val="1"/>
      <w:marLeft w:val="0"/>
      <w:marRight w:val="0"/>
      <w:marTop w:val="0"/>
      <w:marBottom w:val="0"/>
      <w:divBdr>
        <w:top w:val="none" w:sz="0" w:space="0" w:color="auto"/>
        <w:left w:val="none" w:sz="0" w:space="0" w:color="auto"/>
        <w:bottom w:val="none" w:sz="0" w:space="0" w:color="auto"/>
        <w:right w:val="none" w:sz="0" w:space="0" w:color="auto"/>
      </w:divBdr>
      <w:divsChild>
        <w:div w:id="568660513">
          <w:marLeft w:val="0"/>
          <w:marRight w:val="0"/>
          <w:marTop w:val="0"/>
          <w:marBottom w:val="0"/>
          <w:divBdr>
            <w:top w:val="none" w:sz="0" w:space="0" w:color="auto"/>
            <w:left w:val="none" w:sz="0" w:space="0" w:color="auto"/>
            <w:bottom w:val="none" w:sz="0" w:space="0" w:color="auto"/>
            <w:right w:val="none" w:sz="0" w:space="0" w:color="auto"/>
          </w:divBdr>
          <w:divsChild>
            <w:div w:id="2039508263">
              <w:marLeft w:val="0"/>
              <w:marRight w:val="0"/>
              <w:marTop w:val="0"/>
              <w:marBottom w:val="0"/>
              <w:divBdr>
                <w:top w:val="none" w:sz="0" w:space="0" w:color="auto"/>
                <w:left w:val="none" w:sz="0" w:space="0" w:color="auto"/>
                <w:bottom w:val="none" w:sz="0" w:space="0" w:color="auto"/>
                <w:right w:val="none" w:sz="0" w:space="0" w:color="auto"/>
              </w:divBdr>
              <w:divsChild>
                <w:div w:id="4318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920064">
      <w:bodyDiv w:val="1"/>
      <w:marLeft w:val="0"/>
      <w:marRight w:val="0"/>
      <w:marTop w:val="0"/>
      <w:marBottom w:val="0"/>
      <w:divBdr>
        <w:top w:val="none" w:sz="0" w:space="0" w:color="auto"/>
        <w:left w:val="none" w:sz="0" w:space="0" w:color="auto"/>
        <w:bottom w:val="none" w:sz="0" w:space="0" w:color="auto"/>
        <w:right w:val="none" w:sz="0" w:space="0" w:color="auto"/>
      </w:divBdr>
      <w:divsChild>
        <w:div w:id="245654996">
          <w:marLeft w:val="0"/>
          <w:marRight w:val="0"/>
          <w:marTop w:val="0"/>
          <w:marBottom w:val="0"/>
          <w:divBdr>
            <w:top w:val="none" w:sz="0" w:space="0" w:color="auto"/>
            <w:left w:val="none" w:sz="0" w:space="0" w:color="auto"/>
            <w:bottom w:val="none" w:sz="0" w:space="0" w:color="auto"/>
            <w:right w:val="none" w:sz="0" w:space="0" w:color="auto"/>
          </w:divBdr>
          <w:divsChild>
            <w:div w:id="2142963172">
              <w:marLeft w:val="0"/>
              <w:marRight w:val="0"/>
              <w:marTop w:val="0"/>
              <w:marBottom w:val="0"/>
              <w:divBdr>
                <w:top w:val="none" w:sz="0" w:space="0" w:color="auto"/>
                <w:left w:val="none" w:sz="0" w:space="0" w:color="auto"/>
                <w:bottom w:val="none" w:sz="0" w:space="0" w:color="auto"/>
                <w:right w:val="none" w:sz="0" w:space="0" w:color="auto"/>
              </w:divBdr>
              <w:divsChild>
                <w:div w:id="173449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580353">
      <w:bodyDiv w:val="1"/>
      <w:marLeft w:val="0"/>
      <w:marRight w:val="0"/>
      <w:marTop w:val="0"/>
      <w:marBottom w:val="0"/>
      <w:divBdr>
        <w:top w:val="none" w:sz="0" w:space="0" w:color="auto"/>
        <w:left w:val="none" w:sz="0" w:space="0" w:color="auto"/>
        <w:bottom w:val="none" w:sz="0" w:space="0" w:color="auto"/>
        <w:right w:val="none" w:sz="0" w:space="0" w:color="auto"/>
      </w:divBdr>
      <w:divsChild>
        <w:div w:id="5207349">
          <w:marLeft w:val="0"/>
          <w:marRight w:val="0"/>
          <w:marTop w:val="0"/>
          <w:marBottom w:val="0"/>
          <w:divBdr>
            <w:top w:val="none" w:sz="0" w:space="0" w:color="auto"/>
            <w:left w:val="none" w:sz="0" w:space="0" w:color="auto"/>
            <w:bottom w:val="none" w:sz="0" w:space="0" w:color="auto"/>
            <w:right w:val="none" w:sz="0" w:space="0" w:color="auto"/>
          </w:divBdr>
          <w:divsChild>
            <w:div w:id="832991800">
              <w:marLeft w:val="0"/>
              <w:marRight w:val="0"/>
              <w:marTop w:val="0"/>
              <w:marBottom w:val="0"/>
              <w:divBdr>
                <w:top w:val="none" w:sz="0" w:space="0" w:color="auto"/>
                <w:left w:val="none" w:sz="0" w:space="0" w:color="auto"/>
                <w:bottom w:val="none" w:sz="0" w:space="0" w:color="auto"/>
                <w:right w:val="none" w:sz="0" w:space="0" w:color="auto"/>
              </w:divBdr>
              <w:divsChild>
                <w:div w:id="1504736415">
                  <w:marLeft w:val="0"/>
                  <w:marRight w:val="0"/>
                  <w:marTop w:val="0"/>
                  <w:marBottom w:val="0"/>
                  <w:divBdr>
                    <w:top w:val="none" w:sz="0" w:space="0" w:color="auto"/>
                    <w:left w:val="none" w:sz="0" w:space="0" w:color="auto"/>
                    <w:bottom w:val="none" w:sz="0" w:space="0" w:color="auto"/>
                    <w:right w:val="none" w:sz="0" w:space="0" w:color="auto"/>
                  </w:divBdr>
                  <w:divsChild>
                    <w:div w:id="2510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857458">
      <w:bodyDiv w:val="1"/>
      <w:marLeft w:val="0"/>
      <w:marRight w:val="0"/>
      <w:marTop w:val="0"/>
      <w:marBottom w:val="0"/>
      <w:divBdr>
        <w:top w:val="none" w:sz="0" w:space="0" w:color="auto"/>
        <w:left w:val="none" w:sz="0" w:space="0" w:color="auto"/>
        <w:bottom w:val="none" w:sz="0" w:space="0" w:color="auto"/>
        <w:right w:val="none" w:sz="0" w:space="0" w:color="auto"/>
      </w:divBdr>
      <w:divsChild>
        <w:div w:id="1015956642">
          <w:marLeft w:val="0"/>
          <w:marRight w:val="0"/>
          <w:marTop w:val="0"/>
          <w:marBottom w:val="0"/>
          <w:divBdr>
            <w:top w:val="none" w:sz="0" w:space="0" w:color="auto"/>
            <w:left w:val="none" w:sz="0" w:space="0" w:color="auto"/>
            <w:bottom w:val="none" w:sz="0" w:space="0" w:color="auto"/>
            <w:right w:val="none" w:sz="0" w:space="0" w:color="auto"/>
          </w:divBdr>
          <w:divsChild>
            <w:div w:id="1659461967">
              <w:marLeft w:val="0"/>
              <w:marRight w:val="0"/>
              <w:marTop w:val="0"/>
              <w:marBottom w:val="0"/>
              <w:divBdr>
                <w:top w:val="none" w:sz="0" w:space="0" w:color="auto"/>
                <w:left w:val="none" w:sz="0" w:space="0" w:color="auto"/>
                <w:bottom w:val="none" w:sz="0" w:space="0" w:color="auto"/>
                <w:right w:val="none" w:sz="0" w:space="0" w:color="auto"/>
              </w:divBdr>
              <w:divsChild>
                <w:div w:id="20741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73795">
      <w:bodyDiv w:val="1"/>
      <w:marLeft w:val="0"/>
      <w:marRight w:val="0"/>
      <w:marTop w:val="0"/>
      <w:marBottom w:val="0"/>
      <w:divBdr>
        <w:top w:val="none" w:sz="0" w:space="0" w:color="auto"/>
        <w:left w:val="none" w:sz="0" w:space="0" w:color="auto"/>
        <w:bottom w:val="none" w:sz="0" w:space="0" w:color="auto"/>
        <w:right w:val="none" w:sz="0" w:space="0" w:color="auto"/>
      </w:divBdr>
      <w:divsChild>
        <w:div w:id="4792056">
          <w:marLeft w:val="0"/>
          <w:marRight w:val="0"/>
          <w:marTop w:val="0"/>
          <w:marBottom w:val="0"/>
          <w:divBdr>
            <w:top w:val="none" w:sz="0" w:space="0" w:color="auto"/>
            <w:left w:val="none" w:sz="0" w:space="0" w:color="auto"/>
            <w:bottom w:val="none" w:sz="0" w:space="0" w:color="auto"/>
            <w:right w:val="none" w:sz="0" w:space="0" w:color="auto"/>
          </w:divBdr>
          <w:divsChild>
            <w:div w:id="379668091">
              <w:marLeft w:val="0"/>
              <w:marRight w:val="0"/>
              <w:marTop w:val="0"/>
              <w:marBottom w:val="0"/>
              <w:divBdr>
                <w:top w:val="none" w:sz="0" w:space="0" w:color="auto"/>
                <w:left w:val="none" w:sz="0" w:space="0" w:color="auto"/>
                <w:bottom w:val="none" w:sz="0" w:space="0" w:color="auto"/>
                <w:right w:val="none" w:sz="0" w:space="0" w:color="auto"/>
              </w:divBdr>
              <w:divsChild>
                <w:div w:id="82493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36442">
      <w:bodyDiv w:val="1"/>
      <w:marLeft w:val="0"/>
      <w:marRight w:val="0"/>
      <w:marTop w:val="0"/>
      <w:marBottom w:val="0"/>
      <w:divBdr>
        <w:top w:val="none" w:sz="0" w:space="0" w:color="auto"/>
        <w:left w:val="none" w:sz="0" w:space="0" w:color="auto"/>
        <w:bottom w:val="none" w:sz="0" w:space="0" w:color="auto"/>
        <w:right w:val="none" w:sz="0" w:space="0" w:color="auto"/>
      </w:divBdr>
      <w:divsChild>
        <w:div w:id="456334976">
          <w:marLeft w:val="0"/>
          <w:marRight w:val="0"/>
          <w:marTop w:val="0"/>
          <w:marBottom w:val="0"/>
          <w:divBdr>
            <w:top w:val="none" w:sz="0" w:space="0" w:color="auto"/>
            <w:left w:val="none" w:sz="0" w:space="0" w:color="auto"/>
            <w:bottom w:val="none" w:sz="0" w:space="0" w:color="auto"/>
            <w:right w:val="none" w:sz="0" w:space="0" w:color="auto"/>
          </w:divBdr>
          <w:divsChild>
            <w:div w:id="1771117574">
              <w:marLeft w:val="0"/>
              <w:marRight w:val="0"/>
              <w:marTop w:val="0"/>
              <w:marBottom w:val="0"/>
              <w:divBdr>
                <w:top w:val="none" w:sz="0" w:space="0" w:color="auto"/>
                <w:left w:val="none" w:sz="0" w:space="0" w:color="auto"/>
                <w:bottom w:val="none" w:sz="0" w:space="0" w:color="auto"/>
                <w:right w:val="none" w:sz="0" w:space="0" w:color="auto"/>
              </w:divBdr>
              <w:divsChild>
                <w:div w:id="83908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589167">
      <w:bodyDiv w:val="1"/>
      <w:marLeft w:val="0"/>
      <w:marRight w:val="0"/>
      <w:marTop w:val="0"/>
      <w:marBottom w:val="0"/>
      <w:divBdr>
        <w:top w:val="none" w:sz="0" w:space="0" w:color="auto"/>
        <w:left w:val="none" w:sz="0" w:space="0" w:color="auto"/>
        <w:bottom w:val="none" w:sz="0" w:space="0" w:color="auto"/>
        <w:right w:val="none" w:sz="0" w:space="0" w:color="auto"/>
      </w:divBdr>
      <w:divsChild>
        <w:div w:id="1658218250">
          <w:marLeft w:val="0"/>
          <w:marRight w:val="0"/>
          <w:marTop w:val="0"/>
          <w:marBottom w:val="0"/>
          <w:divBdr>
            <w:top w:val="none" w:sz="0" w:space="0" w:color="auto"/>
            <w:left w:val="none" w:sz="0" w:space="0" w:color="auto"/>
            <w:bottom w:val="none" w:sz="0" w:space="0" w:color="auto"/>
            <w:right w:val="none" w:sz="0" w:space="0" w:color="auto"/>
          </w:divBdr>
          <w:divsChild>
            <w:div w:id="1583879165">
              <w:marLeft w:val="0"/>
              <w:marRight w:val="0"/>
              <w:marTop w:val="0"/>
              <w:marBottom w:val="0"/>
              <w:divBdr>
                <w:top w:val="none" w:sz="0" w:space="0" w:color="auto"/>
                <w:left w:val="none" w:sz="0" w:space="0" w:color="auto"/>
                <w:bottom w:val="none" w:sz="0" w:space="0" w:color="auto"/>
                <w:right w:val="none" w:sz="0" w:space="0" w:color="auto"/>
              </w:divBdr>
              <w:divsChild>
                <w:div w:id="60904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071851">
      <w:bodyDiv w:val="1"/>
      <w:marLeft w:val="0"/>
      <w:marRight w:val="0"/>
      <w:marTop w:val="0"/>
      <w:marBottom w:val="0"/>
      <w:divBdr>
        <w:top w:val="none" w:sz="0" w:space="0" w:color="auto"/>
        <w:left w:val="none" w:sz="0" w:space="0" w:color="auto"/>
        <w:bottom w:val="none" w:sz="0" w:space="0" w:color="auto"/>
        <w:right w:val="none" w:sz="0" w:space="0" w:color="auto"/>
      </w:divBdr>
      <w:divsChild>
        <w:div w:id="552666193">
          <w:marLeft w:val="0"/>
          <w:marRight w:val="0"/>
          <w:marTop w:val="0"/>
          <w:marBottom w:val="0"/>
          <w:divBdr>
            <w:top w:val="none" w:sz="0" w:space="0" w:color="auto"/>
            <w:left w:val="none" w:sz="0" w:space="0" w:color="auto"/>
            <w:bottom w:val="none" w:sz="0" w:space="0" w:color="auto"/>
            <w:right w:val="none" w:sz="0" w:space="0" w:color="auto"/>
          </w:divBdr>
          <w:divsChild>
            <w:div w:id="1836146926">
              <w:marLeft w:val="0"/>
              <w:marRight w:val="0"/>
              <w:marTop w:val="0"/>
              <w:marBottom w:val="0"/>
              <w:divBdr>
                <w:top w:val="none" w:sz="0" w:space="0" w:color="auto"/>
                <w:left w:val="none" w:sz="0" w:space="0" w:color="auto"/>
                <w:bottom w:val="none" w:sz="0" w:space="0" w:color="auto"/>
                <w:right w:val="none" w:sz="0" w:space="0" w:color="auto"/>
              </w:divBdr>
              <w:divsChild>
                <w:div w:id="181117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81648">
      <w:bodyDiv w:val="1"/>
      <w:marLeft w:val="0"/>
      <w:marRight w:val="0"/>
      <w:marTop w:val="0"/>
      <w:marBottom w:val="0"/>
      <w:divBdr>
        <w:top w:val="none" w:sz="0" w:space="0" w:color="auto"/>
        <w:left w:val="none" w:sz="0" w:space="0" w:color="auto"/>
        <w:bottom w:val="none" w:sz="0" w:space="0" w:color="auto"/>
        <w:right w:val="none" w:sz="0" w:space="0" w:color="auto"/>
      </w:divBdr>
      <w:divsChild>
        <w:div w:id="879821498">
          <w:marLeft w:val="0"/>
          <w:marRight w:val="0"/>
          <w:marTop w:val="0"/>
          <w:marBottom w:val="0"/>
          <w:divBdr>
            <w:top w:val="none" w:sz="0" w:space="0" w:color="auto"/>
            <w:left w:val="none" w:sz="0" w:space="0" w:color="auto"/>
            <w:bottom w:val="none" w:sz="0" w:space="0" w:color="auto"/>
            <w:right w:val="none" w:sz="0" w:space="0" w:color="auto"/>
          </w:divBdr>
          <w:divsChild>
            <w:div w:id="1967200215">
              <w:marLeft w:val="0"/>
              <w:marRight w:val="0"/>
              <w:marTop w:val="0"/>
              <w:marBottom w:val="0"/>
              <w:divBdr>
                <w:top w:val="none" w:sz="0" w:space="0" w:color="auto"/>
                <w:left w:val="none" w:sz="0" w:space="0" w:color="auto"/>
                <w:bottom w:val="none" w:sz="0" w:space="0" w:color="auto"/>
                <w:right w:val="none" w:sz="0" w:space="0" w:color="auto"/>
              </w:divBdr>
              <w:divsChild>
                <w:div w:id="2904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1138">
      <w:bodyDiv w:val="1"/>
      <w:marLeft w:val="0"/>
      <w:marRight w:val="0"/>
      <w:marTop w:val="0"/>
      <w:marBottom w:val="0"/>
      <w:divBdr>
        <w:top w:val="none" w:sz="0" w:space="0" w:color="auto"/>
        <w:left w:val="none" w:sz="0" w:space="0" w:color="auto"/>
        <w:bottom w:val="none" w:sz="0" w:space="0" w:color="auto"/>
        <w:right w:val="none" w:sz="0" w:space="0" w:color="auto"/>
      </w:divBdr>
      <w:divsChild>
        <w:div w:id="1339691964">
          <w:marLeft w:val="0"/>
          <w:marRight w:val="0"/>
          <w:marTop w:val="0"/>
          <w:marBottom w:val="0"/>
          <w:divBdr>
            <w:top w:val="none" w:sz="0" w:space="0" w:color="auto"/>
            <w:left w:val="none" w:sz="0" w:space="0" w:color="auto"/>
            <w:bottom w:val="none" w:sz="0" w:space="0" w:color="auto"/>
            <w:right w:val="none" w:sz="0" w:space="0" w:color="auto"/>
          </w:divBdr>
          <w:divsChild>
            <w:div w:id="1496653451">
              <w:marLeft w:val="0"/>
              <w:marRight w:val="0"/>
              <w:marTop w:val="0"/>
              <w:marBottom w:val="0"/>
              <w:divBdr>
                <w:top w:val="none" w:sz="0" w:space="0" w:color="auto"/>
                <w:left w:val="none" w:sz="0" w:space="0" w:color="auto"/>
                <w:bottom w:val="none" w:sz="0" w:space="0" w:color="auto"/>
                <w:right w:val="none" w:sz="0" w:space="0" w:color="auto"/>
              </w:divBdr>
              <w:divsChild>
                <w:div w:id="79456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37214">
      <w:bodyDiv w:val="1"/>
      <w:marLeft w:val="0"/>
      <w:marRight w:val="0"/>
      <w:marTop w:val="0"/>
      <w:marBottom w:val="0"/>
      <w:divBdr>
        <w:top w:val="none" w:sz="0" w:space="0" w:color="auto"/>
        <w:left w:val="none" w:sz="0" w:space="0" w:color="auto"/>
        <w:bottom w:val="none" w:sz="0" w:space="0" w:color="auto"/>
        <w:right w:val="none" w:sz="0" w:space="0" w:color="auto"/>
      </w:divBdr>
      <w:divsChild>
        <w:div w:id="932207416">
          <w:marLeft w:val="0"/>
          <w:marRight w:val="0"/>
          <w:marTop w:val="0"/>
          <w:marBottom w:val="0"/>
          <w:divBdr>
            <w:top w:val="none" w:sz="0" w:space="0" w:color="auto"/>
            <w:left w:val="none" w:sz="0" w:space="0" w:color="auto"/>
            <w:bottom w:val="none" w:sz="0" w:space="0" w:color="auto"/>
            <w:right w:val="none" w:sz="0" w:space="0" w:color="auto"/>
          </w:divBdr>
          <w:divsChild>
            <w:div w:id="127670318">
              <w:marLeft w:val="0"/>
              <w:marRight w:val="0"/>
              <w:marTop w:val="0"/>
              <w:marBottom w:val="0"/>
              <w:divBdr>
                <w:top w:val="none" w:sz="0" w:space="0" w:color="auto"/>
                <w:left w:val="none" w:sz="0" w:space="0" w:color="auto"/>
                <w:bottom w:val="none" w:sz="0" w:space="0" w:color="auto"/>
                <w:right w:val="none" w:sz="0" w:space="0" w:color="auto"/>
              </w:divBdr>
              <w:divsChild>
                <w:div w:id="199166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10525">
      <w:bodyDiv w:val="1"/>
      <w:marLeft w:val="0"/>
      <w:marRight w:val="0"/>
      <w:marTop w:val="0"/>
      <w:marBottom w:val="0"/>
      <w:divBdr>
        <w:top w:val="none" w:sz="0" w:space="0" w:color="auto"/>
        <w:left w:val="none" w:sz="0" w:space="0" w:color="auto"/>
        <w:bottom w:val="none" w:sz="0" w:space="0" w:color="auto"/>
        <w:right w:val="none" w:sz="0" w:space="0" w:color="auto"/>
      </w:divBdr>
      <w:divsChild>
        <w:div w:id="1576282947">
          <w:marLeft w:val="0"/>
          <w:marRight w:val="0"/>
          <w:marTop w:val="0"/>
          <w:marBottom w:val="0"/>
          <w:divBdr>
            <w:top w:val="none" w:sz="0" w:space="0" w:color="auto"/>
            <w:left w:val="none" w:sz="0" w:space="0" w:color="auto"/>
            <w:bottom w:val="none" w:sz="0" w:space="0" w:color="auto"/>
            <w:right w:val="none" w:sz="0" w:space="0" w:color="auto"/>
          </w:divBdr>
          <w:divsChild>
            <w:div w:id="446243715">
              <w:marLeft w:val="0"/>
              <w:marRight w:val="0"/>
              <w:marTop w:val="0"/>
              <w:marBottom w:val="0"/>
              <w:divBdr>
                <w:top w:val="none" w:sz="0" w:space="0" w:color="auto"/>
                <w:left w:val="none" w:sz="0" w:space="0" w:color="auto"/>
                <w:bottom w:val="none" w:sz="0" w:space="0" w:color="auto"/>
                <w:right w:val="none" w:sz="0" w:space="0" w:color="auto"/>
              </w:divBdr>
              <w:divsChild>
                <w:div w:id="12065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92444">
      <w:bodyDiv w:val="1"/>
      <w:marLeft w:val="0"/>
      <w:marRight w:val="0"/>
      <w:marTop w:val="0"/>
      <w:marBottom w:val="0"/>
      <w:divBdr>
        <w:top w:val="none" w:sz="0" w:space="0" w:color="auto"/>
        <w:left w:val="none" w:sz="0" w:space="0" w:color="auto"/>
        <w:bottom w:val="none" w:sz="0" w:space="0" w:color="auto"/>
        <w:right w:val="none" w:sz="0" w:space="0" w:color="auto"/>
      </w:divBdr>
      <w:divsChild>
        <w:div w:id="1660814311">
          <w:marLeft w:val="0"/>
          <w:marRight w:val="0"/>
          <w:marTop w:val="0"/>
          <w:marBottom w:val="0"/>
          <w:divBdr>
            <w:top w:val="none" w:sz="0" w:space="0" w:color="auto"/>
            <w:left w:val="none" w:sz="0" w:space="0" w:color="auto"/>
            <w:bottom w:val="none" w:sz="0" w:space="0" w:color="auto"/>
            <w:right w:val="none" w:sz="0" w:space="0" w:color="auto"/>
          </w:divBdr>
          <w:divsChild>
            <w:div w:id="1770199868">
              <w:marLeft w:val="0"/>
              <w:marRight w:val="0"/>
              <w:marTop w:val="0"/>
              <w:marBottom w:val="0"/>
              <w:divBdr>
                <w:top w:val="none" w:sz="0" w:space="0" w:color="auto"/>
                <w:left w:val="none" w:sz="0" w:space="0" w:color="auto"/>
                <w:bottom w:val="none" w:sz="0" w:space="0" w:color="auto"/>
                <w:right w:val="none" w:sz="0" w:space="0" w:color="auto"/>
              </w:divBdr>
              <w:divsChild>
                <w:div w:id="184431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33633">
      <w:bodyDiv w:val="1"/>
      <w:marLeft w:val="0"/>
      <w:marRight w:val="0"/>
      <w:marTop w:val="0"/>
      <w:marBottom w:val="0"/>
      <w:divBdr>
        <w:top w:val="none" w:sz="0" w:space="0" w:color="auto"/>
        <w:left w:val="none" w:sz="0" w:space="0" w:color="auto"/>
        <w:bottom w:val="none" w:sz="0" w:space="0" w:color="auto"/>
        <w:right w:val="none" w:sz="0" w:space="0" w:color="auto"/>
      </w:divBdr>
      <w:divsChild>
        <w:div w:id="313413105">
          <w:marLeft w:val="0"/>
          <w:marRight w:val="0"/>
          <w:marTop w:val="0"/>
          <w:marBottom w:val="0"/>
          <w:divBdr>
            <w:top w:val="none" w:sz="0" w:space="0" w:color="auto"/>
            <w:left w:val="none" w:sz="0" w:space="0" w:color="auto"/>
            <w:bottom w:val="none" w:sz="0" w:space="0" w:color="auto"/>
            <w:right w:val="none" w:sz="0" w:space="0" w:color="auto"/>
          </w:divBdr>
          <w:divsChild>
            <w:div w:id="353846067">
              <w:marLeft w:val="0"/>
              <w:marRight w:val="0"/>
              <w:marTop w:val="0"/>
              <w:marBottom w:val="0"/>
              <w:divBdr>
                <w:top w:val="none" w:sz="0" w:space="0" w:color="auto"/>
                <w:left w:val="none" w:sz="0" w:space="0" w:color="auto"/>
                <w:bottom w:val="none" w:sz="0" w:space="0" w:color="auto"/>
                <w:right w:val="none" w:sz="0" w:space="0" w:color="auto"/>
              </w:divBdr>
              <w:divsChild>
                <w:div w:id="5825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980397">
      <w:bodyDiv w:val="1"/>
      <w:marLeft w:val="0"/>
      <w:marRight w:val="0"/>
      <w:marTop w:val="0"/>
      <w:marBottom w:val="0"/>
      <w:divBdr>
        <w:top w:val="none" w:sz="0" w:space="0" w:color="auto"/>
        <w:left w:val="none" w:sz="0" w:space="0" w:color="auto"/>
        <w:bottom w:val="none" w:sz="0" w:space="0" w:color="auto"/>
        <w:right w:val="none" w:sz="0" w:space="0" w:color="auto"/>
      </w:divBdr>
      <w:divsChild>
        <w:div w:id="1256325398">
          <w:marLeft w:val="0"/>
          <w:marRight w:val="0"/>
          <w:marTop w:val="0"/>
          <w:marBottom w:val="0"/>
          <w:divBdr>
            <w:top w:val="none" w:sz="0" w:space="0" w:color="auto"/>
            <w:left w:val="none" w:sz="0" w:space="0" w:color="auto"/>
            <w:bottom w:val="none" w:sz="0" w:space="0" w:color="auto"/>
            <w:right w:val="none" w:sz="0" w:space="0" w:color="auto"/>
          </w:divBdr>
          <w:divsChild>
            <w:div w:id="255753343">
              <w:marLeft w:val="0"/>
              <w:marRight w:val="0"/>
              <w:marTop w:val="0"/>
              <w:marBottom w:val="0"/>
              <w:divBdr>
                <w:top w:val="none" w:sz="0" w:space="0" w:color="auto"/>
                <w:left w:val="none" w:sz="0" w:space="0" w:color="auto"/>
                <w:bottom w:val="none" w:sz="0" w:space="0" w:color="auto"/>
                <w:right w:val="none" w:sz="0" w:space="0" w:color="auto"/>
              </w:divBdr>
              <w:divsChild>
                <w:div w:id="20372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71275">
      <w:bodyDiv w:val="1"/>
      <w:marLeft w:val="0"/>
      <w:marRight w:val="0"/>
      <w:marTop w:val="0"/>
      <w:marBottom w:val="0"/>
      <w:divBdr>
        <w:top w:val="none" w:sz="0" w:space="0" w:color="auto"/>
        <w:left w:val="none" w:sz="0" w:space="0" w:color="auto"/>
        <w:bottom w:val="none" w:sz="0" w:space="0" w:color="auto"/>
        <w:right w:val="none" w:sz="0" w:space="0" w:color="auto"/>
      </w:divBdr>
      <w:divsChild>
        <w:div w:id="1127627845">
          <w:marLeft w:val="0"/>
          <w:marRight w:val="0"/>
          <w:marTop w:val="0"/>
          <w:marBottom w:val="0"/>
          <w:divBdr>
            <w:top w:val="none" w:sz="0" w:space="0" w:color="auto"/>
            <w:left w:val="none" w:sz="0" w:space="0" w:color="auto"/>
            <w:bottom w:val="none" w:sz="0" w:space="0" w:color="auto"/>
            <w:right w:val="none" w:sz="0" w:space="0" w:color="auto"/>
          </w:divBdr>
          <w:divsChild>
            <w:div w:id="1393382187">
              <w:marLeft w:val="0"/>
              <w:marRight w:val="0"/>
              <w:marTop w:val="0"/>
              <w:marBottom w:val="0"/>
              <w:divBdr>
                <w:top w:val="none" w:sz="0" w:space="0" w:color="auto"/>
                <w:left w:val="none" w:sz="0" w:space="0" w:color="auto"/>
                <w:bottom w:val="none" w:sz="0" w:space="0" w:color="auto"/>
                <w:right w:val="none" w:sz="0" w:space="0" w:color="auto"/>
              </w:divBdr>
              <w:divsChild>
                <w:div w:id="211643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550183">
      <w:bodyDiv w:val="1"/>
      <w:marLeft w:val="0"/>
      <w:marRight w:val="0"/>
      <w:marTop w:val="0"/>
      <w:marBottom w:val="0"/>
      <w:divBdr>
        <w:top w:val="none" w:sz="0" w:space="0" w:color="auto"/>
        <w:left w:val="none" w:sz="0" w:space="0" w:color="auto"/>
        <w:bottom w:val="none" w:sz="0" w:space="0" w:color="auto"/>
        <w:right w:val="none" w:sz="0" w:space="0" w:color="auto"/>
      </w:divBdr>
      <w:divsChild>
        <w:div w:id="127749684">
          <w:marLeft w:val="0"/>
          <w:marRight w:val="0"/>
          <w:marTop w:val="0"/>
          <w:marBottom w:val="0"/>
          <w:divBdr>
            <w:top w:val="none" w:sz="0" w:space="0" w:color="auto"/>
            <w:left w:val="none" w:sz="0" w:space="0" w:color="auto"/>
            <w:bottom w:val="none" w:sz="0" w:space="0" w:color="auto"/>
            <w:right w:val="none" w:sz="0" w:space="0" w:color="auto"/>
          </w:divBdr>
          <w:divsChild>
            <w:div w:id="669140693">
              <w:marLeft w:val="0"/>
              <w:marRight w:val="0"/>
              <w:marTop w:val="0"/>
              <w:marBottom w:val="0"/>
              <w:divBdr>
                <w:top w:val="none" w:sz="0" w:space="0" w:color="auto"/>
                <w:left w:val="none" w:sz="0" w:space="0" w:color="auto"/>
                <w:bottom w:val="none" w:sz="0" w:space="0" w:color="auto"/>
                <w:right w:val="none" w:sz="0" w:space="0" w:color="auto"/>
              </w:divBdr>
              <w:divsChild>
                <w:div w:id="116053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595066">
      <w:bodyDiv w:val="1"/>
      <w:marLeft w:val="0"/>
      <w:marRight w:val="0"/>
      <w:marTop w:val="0"/>
      <w:marBottom w:val="0"/>
      <w:divBdr>
        <w:top w:val="none" w:sz="0" w:space="0" w:color="auto"/>
        <w:left w:val="none" w:sz="0" w:space="0" w:color="auto"/>
        <w:bottom w:val="none" w:sz="0" w:space="0" w:color="auto"/>
        <w:right w:val="none" w:sz="0" w:space="0" w:color="auto"/>
      </w:divBdr>
      <w:divsChild>
        <w:div w:id="1831478973">
          <w:marLeft w:val="0"/>
          <w:marRight w:val="0"/>
          <w:marTop w:val="0"/>
          <w:marBottom w:val="0"/>
          <w:divBdr>
            <w:top w:val="none" w:sz="0" w:space="0" w:color="auto"/>
            <w:left w:val="none" w:sz="0" w:space="0" w:color="auto"/>
            <w:bottom w:val="none" w:sz="0" w:space="0" w:color="auto"/>
            <w:right w:val="none" w:sz="0" w:space="0" w:color="auto"/>
          </w:divBdr>
          <w:divsChild>
            <w:div w:id="1822505187">
              <w:marLeft w:val="0"/>
              <w:marRight w:val="0"/>
              <w:marTop w:val="0"/>
              <w:marBottom w:val="0"/>
              <w:divBdr>
                <w:top w:val="none" w:sz="0" w:space="0" w:color="auto"/>
                <w:left w:val="none" w:sz="0" w:space="0" w:color="auto"/>
                <w:bottom w:val="none" w:sz="0" w:space="0" w:color="auto"/>
                <w:right w:val="none" w:sz="0" w:space="0" w:color="auto"/>
              </w:divBdr>
              <w:divsChild>
                <w:div w:id="6136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89827">
      <w:bodyDiv w:val="1"/>
      <w:marLeft w:val="0"/>
      <w:marRight w:val="0"/>
      <w:marTop w:val="0"/>
      <w:marBottom w:val="0"/>
      <w:divBdr>
        <w:top w:val="none" w:sz="0" w:space="0" w:color="auto"/>
        <w:left w:val="none" w:sz="0" w:space="0" w:color="auto"/>
        <w:bottom w:val="none" w:sz="0" w:space="0" w:color="auto"/>
        <w:right w:val="none" w:sz="0" w:space="0" w:color="auto"/>
      </w:divBdr>
      <w:divsChild>
        <w:div w:id="1809594303">
          <w:marLeft w:val="0"/>
          <w:marRight w:val="0"/>
          <w:marTop w:val="0"/>
          <w:marBottom w:val="0"/>
          <w:divBdr>
            <w:top w:val="none" w:sz="0" w:space="0" w:color="auto"/>
            <w:left w:val="none" w:sz="0" w:space="0" w:color="auto"/>
            <w:bottom w:val="none" w:sz="0" w:space="0" w:color="auto"/>
            <w:right w:val="none" w:sz="0" w:space="0" w:color="auto"/>
          </w:divBdr>
          <w:divsChild>
            <w:div w:id="565650364">
              <w:marLeft w:val="0"/>
              <w:marRight w:val="0"/>
              <w:marTop w:val="0"/>
              <w:marBottom w:val="0"/>
              <w:divBdr>
                <w:top w:val="none" w:sz="0" w:space="0" w:color="auto"/>
                <w:left w:val="none" w:sz="0" w:space="0" w:color="auto"/>
                <w:bottom w:val="none" w:sz="0" w:space="0" w:color="auto"/>
                <w:right w:val="none" w:sz="0" w:space="0" w:color="auto"/>
              </w:divBdr>
              <w:divsChild>
                <w:div w:id="18491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173197">
      <w:bodyDiv w:val="1"/>
      <w:marLeft w:val="0"/>
      <w:marRight w:val="0"/>
      <w:marTop w:val="0"/>
      <w:marBottom w:val="0"/>
      <w:divBdr>
        <w:top w:val="none" w:sz="0" w:space="0" w:color="auto"/>
        <w:left w:val="none" w:sz="0" w:space="0" w:color="auto"/>
        <w:bottom w:val="none" w:sz="0" w:space="0" w:color="auto"/>
        <w:right w:val="none" w:sz="0" w:space="0" w:color="auto"/>
      </w:divBdr>
      <w:divsChild>
        <w:div w:id="181434765">
          <w:marLeft w:val="0"/>
          <w:marRight w:val="0"/>
          <w:marTop w:val="0"/>
          <w:marBottom w:val="0"/>
          <w:divBdr>
            <w:top w:val="none" w:sz="0" w:space="0" w:color="auto"/>
            <w:left w:val="none" w:sz="0" w:space="0" w:color="auto"/>
            <w:bottom w:val="none" w:sz="0" w:space="0" w:color="auto"/>
            <w:right w:val="none" w:sz="0" w:space="0" w:color="auto"/>
          </w:divBdr>
          <w:divsChild>
            <w:div w:id="806045885">
              <w:marLeft w:val="0"/>
              <w:marRight w:val="0"/>
              <w:marTop w:val="0"/>
              <w:marBottom w:val="0"/>
              <w:divBdr>
                <w:top w:val="none" w:sz="0" w:space="0" w:color="auto"/>
                <w:left w:val="none" w:sz="0" w:space="0" w:color="auto"/>
                <w:bottom w:val="none" w:sz="0" w:space="0" w:color="auto"/>
                <w:right w:val="none" w:sz="0" w:space="0" w:color="auto"/>
              </w:divBdr>
              <w:divsChild>
                <w:div w:id="65765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87319">
      <w:bodyDiv w:val="1"/>
      <w:marLeft w:val="0"/>
      <w:marRight w:val="0"/>
      <w:marTop w:val="0"/>
      <w:marBottom w:val="0"/>
      <w:divBdr>
        <w:top w:val="none" w:sz="0" w:space="0" w:color="auto"/>
        <w:left w:val="none" w:sz="0" w:space="0" w:color="auto"/>
        <w:bottom w:val="none" w:sz="0" w:space="0" w:color="auto"/>
        <w:right w:val="none" w:sz="0" w:space="0" w:color="auto"/>
      </w:divBdr>
      <w:divsChild>
        <w:div w:id="625157888">
          <w:marLeft w:val="0"/>
          <w:marRight w:val="0"/>
          <w:marTop w:val="0"/>
          <w:marBottom w:val="0"/>
          <w:divBdr>
            <w:top w:val="none" w:sz="0" w:space="0" w:color="auto"/>
            <w:left w:val="none" w:sz="0" w:space="0" w:color="auto"/>
            <w:bottom w:val="none" w:sz="0" w:space="0" w:color="auto"/>
            <w:right w:val="none" w:sz="0" w:space="0" w:color="auto"/>
          </w:divBdr>
          <w:divsChild>
            <w:div w:id="1743406309">
              <w:marLeft w:val="0"/>
              <w:marRight w:val="0"/>
              <w:marTop w:val="0"/>
              <w:marBottom w:val="0"/>
              <w:divBdr>
                <w:top w:val="none" w:sz="0" w:space="0" w:color="auto"/>
                <w:left w:val="none" w:sz="0" w:space="0" w:color="auto"/>
                <w:bottom w:val="none" w:sz="0" w:space="0" w:color="auto"/>
                <w:right w:val="none" w:sz="0" w:space="0" w:color="auto"/>
              </w:divBdr>
              <w:divsChild>
                <w:div w:id="35665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086410">
      <w:bodyDiv w:val="1"/>
      <w:marLeft w:val="0"/>
      <w:marRight w:val="0"/>
      <w:marTop w:val="0"/>
      <w:marBottom w:val="0"/>
      <w:divBdr>
        <w:top w:val="none" w:sz="0" w:space="0" w:color="auto"/>
        <w:left w:val="none" w:sz="0" w:space="0" w:color="auto"/>
        <w:bottom w:val="none" w:sz="0" w:space="0" w:color="auto"/>
        <w:right w:val="none" w:sz="0" w:space="0" w:color="auto"/>
      </w:divBdr>
      <w:divsChild>
        <w:div w:id="1907300636">
          <w:marLeft w:val="0"/>
          <w:marRight w:val="0"/>
          <w:marTop w:val="0"/>
          <w:marBottom w:val="0"/>
          <w:divBdr>
            <w:top w:val="none" w:sz="0" w:space="0" w:color="auto"/>
            <w:left w:val="none" w:sz="0" w:space="0" w:color="auto"/>
            <w:bottom w:val="none" w:sz="0" w:space="0" w:color="auto"/>
            <w:right w:val="none" w:sz="0" w:space="0" w:color="auto"/>
          </w:divBdr>
          <w:divsChild>
            <w:div w:id="1821115505">
              <w:marLeft w:val="0"/>
              <w:marRight w:val="0"/>
              <w:marTop w:val="0"/>
              <w:marBottom w:val="0"/>
              <w:divBdr>
                <w:top w:val="none" w:sz="0" w:space="0" w:color="auto"/>
                <w:left w:val="none" w:sz="0" w:space="0" w:color="auto"/>
                <w:bottom w:val="none" w:sz="0" w:space="0" w:color="auto"/>
                <w:right w:val="none" w:sz="0" w:space="0" w:color="auto"/>
              </w:divBdr>
              <w:divsChild>
                <w:div w:id="9605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003856">
      <w:bodyDiv w:val="1"/>
      <w:marLeft w:val="0"/>
      <w:marRight w:val="0"/>
      <w:marTop w:val="0"/>
      <w:marBottom w:val="0"/>
      <w:divBdr>
        <w:top w:val="none" w:sz="0" w:space="0" w:color="auto"/>
        <w:left w:val="none" w:sz="0" w:space="0" w:color="auto"/>
        <w:bottom w:val="none" w:sz="0" w:space="0" w:color="auto"/>
        <w:right w:val="none" w:sz="0" w:space="0" w:color="auto"/>
      </w:divBdr>
      <w:divsChild>
        <w:div w:id="392237656">
          <w:marLeft w:val="0"/>
          <w:marRight w:val="0"/>
          <w:marTop w:val="0"/>
          <w:marBottom w:val="0"/>
          <w:divBdr>
            <w:top w:val="none" w:sz="0" w:space="0" w:color="auto"/>
            <w:left w:val="none" w:sz="0" w:space="0" w:color="auto"/>
            <w:bottom w:val="none" w:sz="0" w:space="0" w:color="auto"/>
            <w:right w:val="none" w:sz="0" w:space="0" w:color="auto"/>
          </w:divBdr>
          <w:divsChild>
            <w:div w:id="1180270108">
              <w:marLeft w:val="0"/>
              <w:marRight w:val="0"/>
              <w:marTop w:val="0"/>
              <w:marBottom w:val="0"/>
              <w:divBdr>
                <w:top w:val="none" w:sz="0" w:space="0" w:color="auto"/>
                <w:left w:val="none" w:sz="0" w:space="0" w:color="auto"/>
                <w:bottom w:val="none" w:sz="0" w:space="0" w:color="auto"/>
                <w:right w:val="none" w:sz="0" w:space="0" w:color="auto"/>
              </w:divBdr>
              <w:divsChild>
                <w:div w:id="5535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13779">
      <w:bodyDiv w:val="1"/>
      <w:marLeft w:val="0"/>
      <w:marRight w:val="0"/>
      <w:marTop w:val="0"/>
      <w:marBottom w:val="0"/>
      <w:divBdr>
        <w:top w:val="none" w:sz="0" w:space="0" w:color="auto"/>
        <w:left w:val="none" w:sz="0" w:space="0" w:color="auto"/>
        <w:bottom w:val="none" w:sz="0" w:space="0" w:color="auto"/>
        <w:right w:val="none" w:sz="0" w:space="0" w:color="auto"/>
      </w:divBdr>
      <w:divsChild>
        <w:div w:id="700713530">
          <w:marLeft w:val="0"/>
          <w:marRight w:val="0"/>
          <w:marTop w:val="0"/>
          <w:marBottom w:val="0"/>
          <w:divBdr>
            <w:top w:val="none" w:sz="0" w:space="0" w:color="auto"/>
            <w:left w:val="none" w:sz="0" w:space="0" w:color="auto"/>
            <w:bottom w:val="none" w:sz="0" w:space="0" w:color="auto"/>
            <w:right w:val="none" w:sz="0" w:space="0" w:color="auto"/>
          </w:divBdr>
          <w:divsChild>
            <w:div w:id="935788622">
              <w:marLeft w:val="0"/>
              <w:marRight w:val="0"/>
              <w:marTop w:val="0"/>
              <w:marBottom w:val="0"/>
              <w:divBdr>
                <w:top w:val="none" w:sz="0" w:space="0" w:color="auto"/>
                <w:left w:val="none" w:sz="0" w:space="0" w:color="auto"/>
                <w:bottom w:val="none" w:sz="0" w:space="0" w:color="auto"/>
                <w:right w:val="none" w:sz="0" w:space="0" w:color="auto"/>
              </w:divBdr>
              <w:divsChild>
                <w:div w:id="406652850">
                  <w:marLeft w:val="0"/>
                  <w:marRight w:val="0"/>
                  <w:marTop w:val="0"/>
                  <w:marBottom w:val="0"/>
                  <w:divBdr>
                    <w:top w:val="none" w:sz="0" w:space="0" w:color="auto"/>
                    <w:left w:val="none" w:sz="0" w:space="0" w:color="auto"/>
                    <w:bottom w:val="none" w:sz="0" w:space="0" w:color="auto"/>
                    <w:right w:val="none" w:sz="0" w:space="0" w:color="auto"/>
                  </w:divBdr>
                  <w:divsChild>
                    <w:div w:id="123751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009238">
      <w:bodyDiv w:val="1"/>
      <w:marLeft w:val="0"/>
      <w:marRight w:val="0"/>
      <w:marTop w:val="0"/>
      <w:marBottom w:val="0"/>
      <w:divBdr>
        <w:top w:val="none" w:sz="0" w:space="0" w:color="auto"/>
        <w:left w:val="none" w:sz="0" w:space="0" w:color="auto"/>
        <w:bottom w:val="none" w:sz="0" w:space="0" w:color="auto"/>
        <w:right w:val="none" w:sz="0" w:space="0" w:color="auto"/>
      </w:divBdr>
      <w:divsChild>
        <w:div w:id="1396472396">
          <w:marLeft w:val="0"/>
          <w:marRight w:val="0"/>
          <w:marTop w:val="0"/>
          <w:marBottom w:val="0"/>
          <w:divBdr>
            <w:top w:val="none" w:sz="0" w:space="0" w:color="auto"/>
            <w:left w:val="none" w:sz="0" w:space="0" w:color="auto"/>
            <w:bottom w:val="none" w:sz="0" w:space="0" w:color="auto"/>
            <w:right w:val="none" w:sz="0" w:space="0" w:color="auto"/>
          </w:divBdr>
          <w:divsChild>
            <w:div w:id="520507103">
              <w:marLeft w:val="0"/>
              <w:marRight w:val="0"/>
              <w:marTop w:val="0"/>
              <w:marBottom w:val="0"/>
              <w:divBdr>
                <w:top w:val="none" w:sz="0" w:space="0" w:color="auto"/>
                <w:left w:val="none" w:sz="0" w:space="0" w:color="auto"/>
                <w:bottom w:val="none" w:sz="0" w:space="0" w:color="auto"/>
                <w:right w:val="none" w:sz="0" w:space="0" w:color="auto"/>
              </w:divBdr>
              <w:divsChild>
                <w:div w:id="18822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572504">
      <w:bodyDiv w:val="1"/>
      <w:marLeft w:val="0"/>
      <w:marRight w:val="0"/>
      <w:marTop w:val="0"/>
      <w:marBottom w:val="0"/>
      <w:divBdr>
        <w:top w:val="none" w:sz="0" w:space="0" w:color="auto"/>
        <w:left w:val="none" w:sz="0" w:space="0" w:color="auto"/>
        <w:bottom w:val="none" w:sz="0" w:space="0" w:color="auto"/>
        <w:right w:val="none" w:sz="0" w:space="0" w:color="auto"/>
      </w:divBdr>
      <w:divsChild>
        <w:div w:id="1993480126">
          <w:marLeft w:val="0"/>
          <w:marRight w:val="0"/>
          <w:marTop w:val="0"/>
          <w:marBottom w:val="0"/>
          <w:divBdr>
            <w:top w:val="none" w:sz="0" w:space="0" w:color="auto"/>
            <w:left w:val="none" w:sz="0" w:space="0" w:color="auto"/>
            <w:bottom w:val="none" w:sz="0" w:space="0" w:color="auto"/>
            <w:right w:val="none" w:sz="0" w:space="0" w:color="auto"/>
          </w:divBdr>
          <w:divsChild>
            <w:div w:id="370036773">
              <w:marLeft w:val="0"/>
              <w:marRight w:val="0"/>
              <w:marTop w:val="0"/>
              <w:marBottom w:val="0"/>
              <w:divBdr>
                <w:top w:val="none" w:sz="0" w:space="0" w:color="auto"/>
                <w:left w:val="none" w:sz="0" w:space="0" w:color="auto"/>
                <w:bottom w:val="none" w:sz="0" w:space="0" w:color="auto"/>
                <w:right w:val="none" w:sz="0" w:space="0" w:color="auto"/>
              </w:divBdr>
              <w:divsChild>
                <w:div w:id="1261454588">
                  <w:marLeft w:val="0"/>
                  <w:marRight w:val="0"/>
                  <w:marTop w:val="0"/>
                  <w:marBottom w:val="0"/>
                  <w:divBdr>
                    <w:top w:val="none" w:sz="0" w:space="0" w:color="auto"/>
                    <w:left w:val="none" w:sz="0" w:space="0" w:color="auto"/>
                    <w:bottom w:val="none" w:sz="0" w:space="0" w:color="auto"/>
                    <w:right w:val="none" w:sz="0" w:space="0" w:color="auto"/>
                  </w:divBdr>
                </w:div>
              </w:divsChild>
            </w:div>
            <w:div w:id="568465883">
              <w:marLeft w:val="0"/>
              <w:marRight w:val="0"/>
              <w:marTop w:val="0"/>
              <w:marBottom w:val="0"/>
              <w:divBdr>
                <w:top w:val="none" w:sz="0" w:space="0" w:color="auto"/>
                <w:left w:val="none" w:sz="0" w:space="0" w:color="auto"/>
                <w:bottom w:val="none" w:sz="0" w:space="0" w:color="auto"/>
                <w:right w:val="none" w:sz="0" w:space="0" w:color="auto"/>
              </w:divBdr>
              <w:divsChild>
                <w:div w:id="6773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7011">
      <w:bodyDiv w:val="1"/>
      <w:marLeft w:val="0"/>
      <w:marRight w:val="0"/>
      <w:marTop w:val="0"/>
      <w:marBottom w:val="0"/>
      <w:divBdr>
        <w:top w:val="none" w:sz="0" w:space="0" w:color="auto"/>
        <w:left w:val="none" w:sz="0" w:space="0" w:color="auto"/>
        <w:bottom w:val="none" w:sz="0" w:space="0" w:color="auto"/>
        <w:right w:val="none" w:sz="0" w:space="0" w:color="auto"/>
      </w:divBdr>
      <w:divsChild>
        <w:div w:id="1024749268">
          <w:marLeft w:val="0"/>
          <w:marRight w:val="0"/>
          <w:marTop w:val="0"/>
          <w:marBottom w:val="0"/>
          <w:divBdr>
            <w:top w:val="none" w:sz="0" w:space="0" w:color="auto"/>
            <w:left w:val="none" w:sz="0" w:space="0" w:color="auto"/>
            <w:bottom w:val="none" w:sz="0" w:space="0" w:color="auto"/>
            <w:right w:val="none" w:sz="0" w:space="0" w:color="auto"/>
          </w:divBdr>
          <w:divsChild>
            <w:div w:id="1136797430">
              <w:marLeft w:val="0"/>
              <w:marRight w:val="0"/>
              <w:marTop w:val="0"/>
              <w:marBottom w:val="0"/>
              <w:divBdr>
                <w:top w:val="none" w:sz="0" w:space="0" w:color="auto"/>
                <w:left w:val="none" w:sz="0" w:space="0" w:color="auto"/>
                <w:bottom w:val="none" w:sz="0" w:space="0" w:color="auto"/>
                <w:right w:val="none" w:sz="0" w:space="0" w:color="auto"/>
              </w:divBdr>
              <w:divsChild>
                <w:div w:id="19203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731869">
      <w:bodyDiv w:val="1"/>
      <w:marLeft w:val="0"/>
      <w:marRight w:val="0"/>
      <w:marTop w:val="0"/>
      <w:marBottom w:val="0"/>
      <w:divBdr>
        <w:top w:val="none" w:sz="0" w:space="0" w:color="auto"/>
        <w:left w:val="none" w:sz="0" w:space="0" w:color="auto"/>
        <w:bottom w:val="none" w:sz="0" w:space="0" w:color="auto"/>
        <w:right w:val="none" w:sz="0" w:space="0" w:color="auto"/>
      </w:divBdr>
      <w:divsChild>
        <w:div w:id="244460933">
          <w:marLeft w:val="0"/>
          <w:marRight w:val="0"/>
          <w:marTop w:val="0"/>
          <w:marBottom w:val="0"/>
          <w:divBdr>
            <w:top w:val="none" w:sz="0" w:space="0" w:color="auto"/>
            <w:left w:val="none" w:sz="0" w:space="0" w:color="auto"/>
            <w:bottom w:val="none" w:sz="0" w:space="0" w:color="auto"/>
            <w:right w:val="none" w:sz="0" w:space="0" w:color="auto"/>
          </w:divBdr>
          <w:divsChild>
            <w:div w:id="1089812421">
              <w:marLeft w:val="0"/>
              <w:marRight w:val="0"/>
              <w:marTop w:val="0"/>
              <w:marBottom w:val="0"/>
              <w:divBdr>
                <w:top w:val="none" w:sz="0" w:space="0" w:color="auto"/>
                <w:left w:val="none" w:sz="0" w:space="0" w:color="auto"/>
                <w:bottom w:val="none" w:sz="0" w:space="0" w:color="auto"/>
                <w:right w:val="none" w:sz="0" w:space="0" w:color="auto"/>
              </w:divBdr>
              <w:divsChild>
                <w:div w:id="118833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435490">
      <w:bodyDiv w:val="1"/>
      <w:marLeft w:val="0"/>
      <w:marRight w:val="0"/>
      <w:marTop w:val="0"/>
      <w:marBottom w:val="0"/>
      <w:divBdr>
        <w:top w:val="none" w:sz="0" w:space="0" w:color="auto"/>
        <w:left w:val="none" w:sz="0" w:space="0" w:color="auto"/>
        <w:bottom w:val="none" w:sz="0" w:space="0" w:color="auto"/>
        <w:right w:val="none" w:sz="0" w:space="0" w:color="auto"/>
      </w:divBdr>
      <w:divsChild>
        <w:div w:id="1572304983">
          <w:marLeft w:val="0"/>
          <w:marRight w:val="0"/>
          <w:marTop w:val="0"/>
          <w:marBottom w:val="0"/>
          <w:divBdr>
            <w:top w:val="none" w:sz="0" w:space="0" w:color="auto"/>
            <w:left w:val="none" w:sz="0" w:space="0" w:color="auto"/>
            <w:bottom w:val="none" w:sz="0" w:space="0" w:color="auto"/>
            <w:right w:val="none" w:sz="0" w:space="0" w:color="auto"/>
          </w:divBdr>
          <w:divsChild>
            <w:div w:id="1337655935">
              <w:marLeft w:val="0"/>
              <w:marRight w:val="0"/>
              <w:marTop w:val="0"/>
              <w:marBottom w:val="0"/>
              <w:divBdr>
                <w:top w:val="none" w:sz="0" w:space="0" w:color="auto"/>
                <w:left w:val="none" w:sz="0" w:space="0" w:color="auto"/>
                <w:bottom w:val="none" w:sz="0" w:space="0" w:color="auto"/>
                <w:right w:val="none" w:sz="0" w:space="0" w:color="auto"/>
              </w:divBdr>
              <w:divsChild>
                <w:div w:id="192606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83678">
      <w:bodyDiv w:val="1"/>
      <w:marLeft w:val="0"/>
      <w:marRight w:val="0"/>
      <w:marTop w:val="0"/>
      <w:marBottom w:val="0"/>
      <w:divBdr>
        <w:top w:val="none" w:sz="0" w:space="0" w:color="auto"/>
        <w:left w:val="none" w:sz="0" w:space="0" w:color="auto"/>
        <w:bottom w:val="none" w:sz="0" w:space="0" w:color="auto"/>
        <w:right w:val="none" w:sz="0" w:space="0" w:color="auto"/>
      </w:divBdr>
      <w:divsChild>
        <w:div w:id="2090151822">
          <w:marLeft w:val="0"/>
          <w:marRight w:val="0"/>
          <w:marTop w:val="0"/>
          <w:marBottom w:val="0"/>
          <w:divBdr>
            <w:top w:val="none" w:sz="0" w:space="0" w:color="auto"/>
            <w:left w:val="none" w:sz="0" w:space="0" w:color="auto"/>
            <w:bottom w:val="none" w:sz="0" w:space="0" w:color="auto"/>
            <w:right w:val="none" w:sz="0" w:space="0" w:color="auto"/>
          </w:divBdr>
          <w:divsChild>
            <w:div w:id="1903440753">
              <w:marLeft w:val="0"/>
              <w:marRight w:val="0"/>
              <w:marTop w:val="0"/>
              <w:marBottom w:val="0"/>
              <w:divBdr>
                <w:top w:val="none" w:sz="0" w:space="0" w:color="auto"/>
                <w:left w:val="none" w:sz="0" w:space="0" w:color="auto"/>
                <w:bottom w:val="none" w:sz="0" w:space="0" w:color="auto"/>
                <w:right w:val="none" w:sz="0" w:space="0" w:color="auto"/>
              </w:divBdr>
              <w:divsChild>
                <w:div w:id="9679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671363">
      <w:bodyDiv w:val="1"/>
      <w:marLeft w:val="0"/>
      <w:marRight w:val="0"/>
      <w:marTop w:val="0"/>
      <w:marBottom w:val="0"/>
      <w:divBdr>
        <w:top w:val="none" w:sz="0" w:space="0" w:color="auto"/>
        <w:left w:val="none" w:sz="0" w:space="0" w:color="auto"/>
        <w:bottom w:val="none" w:sz="0" w:space="0" w:color="auto"/>
        <w:right w:val="none" w:sz="0" w:space="0" w:color="auto"/>
      </w:divBdr>
      <w:divsChild>
        <w:div w:id="1699772777">
          <w:marLeft w:val="0"/>
          <w:marRight w:val="0"/>
          <w:marTop w:val="0"/>
          <w:marBottom w:val="0"/>
          <w:divBdr>
            <w:top w:val="none" w:sz="0" w:space="0" w:color="auto"/>
            <w:left w:val="none" w:sz="0" w:space="0" w:color="auto"/>
            <w:bottom w:val="none" w:sz="0" w:space="0" w:color="auto"/>
            <w:right w:val="none" w:sz="0" w:space="0" w:color="auto"/>
          </w:divBdr>
          <w:divsChild>
            <w:div w:id="1811559814">
              <w:marLeft w:val="0"/>
              <w:marRight w:val="0"/>
              <w:marTop w:val="0"/>
              <w:marBottom w:val="0"/>
              <w:divBdr>
                <w:top w:val="none" w:sz="0" w:space="0" w:color="auto"/>
                <w:left w:val="none" w:sz="0" w:space="0" w:color="auto"/>
                <w:bottom w:val="none" w:sz="0" w:space="0" w:color="auto"/>
                <w:right w:val="none" w:sz="0" w:space="0" w:color="auto"/>
              </w:divBdr>
              <w:divsChild>
                <w:div w:id="2650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91373">
      <w:bodyDiv w:val="1"/>
      <w:marLeft w:val="0"/>
      <w:marRight w:val="0"/>
      <w:marTop w:val="0"/>
      <w:marBottom w:val="0"/>
      <w:divBdr>
        <w:top w:val="none" w:sz="0" w:space="0" w:color="auto"/>
        <w:left w:val="none" w:sz="0" w:space="0" w:color="auto"/>
        <w:bottom w:val="none" w:sz="0" w:space="0" w:color="auto"/>
        <w:right w:val="none" w:sz="0" w:space="0" w:color="auto"/>
      </w:divBdr>
      <w:divsChild>
        <w:div w:id="905145391">
          <w:marLeft w:val="0"/>
          <w:marRight w:val="0"/>
          <w:marTop w:val="0"/>
          <w:marBottom w:val="0"/>
          <w:divBdr>
            <w:top w:val="none" w:sz="0" w:space="0" w:color="auto"/>
            <w:left w:val="none" w:sz="0" w:space="0" w:color="auto"/>
            <w:bottom w:val="none" w:sz="0" w:space="0" w:color="auto"/>
            <w:right w:val="none" w:sz="0" w:space="0" w:color="auto"/>
          </w:divBdr>
          <w:divsChild>
            <w:div w:id="1971278201">
              <w:marLeft w:val="0"/>
              <w:marRight w:val="0"/>
              <w:marTop w:val="0"/>
              <w:marBottom w:val="0"/>
              <w:divBdr>
                <w:top w:val="none" w:sz="0" w:space="0" w:color="auto"/>
                <w:left w:val="none" w:sz="0" w:space="0" w:color="auto"/>
                <w:bottom w:val="none" w:sz="0" w:space="0" w:color="auto"/>
                <w:right w:val="none" w:sz="0" w:space="0" w:color="auto"/>
              </w:divBdr>
              <w:divsChild>
                <w:div w:id="21360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963648">
      <w:bodyDiv w:val="1"/>
      <w:marLeft w:val="0"/>
      <w:marRight w:val="0"/>
      <w:marTop w:val="0"/>
      <w:marBottom w:val="0"/>
      <w:divBdr>
        <w:top w:val="none" w:sz="0" w:space="0" w:color="auto"/>
        <w:left w:val="none" w:sz="0" w:space="0" w:color="auto"/>
        <w:bottom w:val="none" w:sz="0" w:space="0" w:color="auto"/>
        <w:right w:val="none" w:sz="0" w:space="0" w:color="auto"/>
      </w:divBdr>
      <w:divsChild>
        <w:div w:id="545022075">
          <w:marLeft w:val="0"/>
          <w:marRight w:val="0"/>
          <w:marTop w:val="0"/>
          <w:marBottom w:val="0"/>
          <w:divBdr>
            <w:top w:val="none" w:sz="0" w:space="0" w:color="auto"/>
            <w:left w:val="none" w:sz="0" w:space="0" w:color="auto"/>
            <w:bottom w:val="none" w:sz="0" w:space="0" w:color="auto"/>
            <w:right w:val="none" w:sz="0" w:space="0" w:color="auto"/>
          </w:divBdr>
          <w:divsChild>
            <w:div w:id="1744716692">
              <w:marLeft w:val="0"/>
              <w:marRight w:val="0"/>
              <w:marTop w:val="0"/>
              <w:marBottom w:val="0"/>
              <w:divBdr>
                <w:top w:val="none" w:sz="0" w:space="0" w:color="auto"/>
                <w:left w:val="none" w:sz="0" w:space="0" w:color="auto"/>
                <w:bottom w:val="none" w:sz="0" w:space="0" w:color="auto"/>
                <w:right w:val="none" w:sz="0" w:space="0" w:color="auto"/>
              </w:divBdr>
              <w:divsChild>
                <w:div w:id="196873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465501">
      <w:bodyDiv w:val="1"/>
      <w:marLeft w:val="0"/>
      <w:marRight w:val="0"/>
      <w:marTop w:val="0"/>
      <w:marBottom w:val="0"/>
      <w:divBdr>
        <w:top w:val="none" w:sz="0" w:space="0" w:color="auto"/>
        <w:left w:val="none" w:sz="0" w:space="0" w:color="auto"/>
        <w:bottom w:val="none" w:sz="0" w:space="0" w:color="auto"/>
        <w:right w:val="none" w:sz="0" w:space="0" w:color="auto"/>
      </w:divBdr>
      <w:divsChild>
        <w:div w:id="1493373392">
          <w:marLeft w:val="0"/>
          <w:marRight w:val="0"/>
          <w:marTop w:val="0"/>
          <w:marBottom w:val="0"/>
          <w:divBdr>
            <w:top w:val="none" w:sz="0" w:space="0" w:color="auto"/>
            <w:left w:val="none" w:sz="0" w:space="0" w:color="auto"/>
            <w:bottom w:val="none" w:sz="0" w:space="0" w:color="auto"/>
            <w:right w:val="none" w:sz="0" w:space="0" w:color="auto"/>
          </w:divBdr>
          <w:divsChild>
            <w:div w:id="1025249040">
              <w:marLeft w:val="0"/>
              <w:marRight w:val="0"/>
              <w:marTop w:val="0"/>
              <w:marBottom w:val="0"/>
              <w:divBdr>
                <w:top w:val="none" w:sz="0" w:space="0" w:color="auto"/>
                <w:left w:val="none" w:sz="0" w:space="0" w:color="auto"/>
                <w:bottom w:val="none" w:sz="0" w:space="0" w:color="auto"/>
                <w:right w:val="none" w:sz="0" w:space="0" w:color="auto"/>
              </w:divBdr>
              <w:divsChild>
                <w:div w:id="32697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245919">
      <w:bodyDiv w:val="1"/>
      <w:marLeft w:val="0"/>
      <w:marRight w:val="0"/>
      <w:marTop w:val="0"/>
      <w:marBottom w:val="0"/>
      <w:divBdr>
        <w:top w:val="none" w:sz="0" w:space="0" w:color="auto"/>
        <w:left w:val="none" w:sz="0" w:space="0" w:color="auto"/>
        <w:bottom w:val="none" w:sz="0" w:space="0" w:color="auto"/>
        <w:right w:val="none" w:sz="0" w:space="0" w:color="auto"/>
      </w:divBdr>
      <w:divsChild>
        <w:div w:id="2055107601">
          <w:marLeft w:val="0"/>
          <w:marRight w:val="0"/>
          <w:marTop w:val="0"/>
          <w:marBottom w:val="0"/>
          <w:divBdr>
            <w:top w:val="none" w:sz="0" w:space="0" w:color="auto"/>
            <w:left w:val="none" w:sz="0" w:space="0" w:color="auto"/>
            <w:bottom w:val="none" w:sz="0" w:space="0" w:color="auto"/>
            <w:right w:val="none" w:sz="0" w:space="0" w:color="auto"/>
          </w:divBdr>
          <w:divsChild>
            <w:div w:id="1870755284">
              <w:marLeft w:val="0"/>
              <w:marRight w:val="0"/>
              <w:marTop w:val="0"/>
              <w:marBottom w:val="0"/>
              <w:divBdr>
                <w:top w:val="none" w:sz="0" w:space="0" w:color="auto"/>
                <w:left w:val="none" w:sz="0" w:space="0" w:color="auto"/>
                <w:bottom w:val="none" w:sz="0" w:space="0" w:color="auto"/>
                <w:right w:val="none" w:sz="0" w:space="0" w:color="auto"/>
              </w:divBdr>
              <w:divsChild>
                <w:div w:id="8084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92881">
      <w:bodyDiv w:val="1"/>
      <w:marLeft w:val="0"/>
      <w:marRight w:val="0"/>
      <w:marTop w:val="0"/>
      <w:marBottom w:val="0"/>
      <w:divBdr>
        <w:top w:val="none" w:sz="0" w:space="0" w:color="auto"/>
        <w:left w:val="none" w:sz="0" w:space="0" w:color="auto"/>
        <w:bottom w:val="none" w:sz="0" w:space="0" w:color="auto"/>
        <w:right w:val="none" w:sz="0" w:space="0" w:color="auto"/>
      </w:divBdr>
      <w:divsChild>
        <w:div w:id="173030183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sChild>
                <w:div w:id="1218207566">
                  <w:marLeft w:val="0"/>
                  <w:marRight w:val="0"/>
                  <w:marTop w:val="0"/>
                  <w:marBottom w:val="0"/>
                  <w:divBdr>
                    <w:top w:val="none" w:sz="0" w:space="0" w:color="auto"/>
                    <w:left w:val="none" w:sz="0" w:space="0" w:color="auto"/>
                    <w:bottom w:val="none" w:sz="0" w:space="0" w:color="auto"/>
                    <w:right w:val="none" w:sz="0" w:space="0" w:color="auto"/>
                  </w:divBdr>
                </w:div>
              </w:divsChild>
            </w:div>
            <w:div w:id="833225724">
              <w:marLeft w:val="0"/>
              <w:marRight w:val="0"/>
              <w:marTop w:val="0"/>
              <w:marBottom w:val="0"/>
              <w:divBdr>
                <w:top w:val="none" w:sz="0" w:space="0" w:color="auto"/>
                <w:left w:val="none" w:sz="0" w:space="0" w:color="auto"/>
                <w:bottom w:val="none" w:sz="0" w:space="0" w:color="auto"/>
                <w:right w:val="none" w:sz="0" w:space="0" w:color="auto"/>
              </w:divBdr>
              <w:divsChild>
                <w:div w:id="11588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99446">
      <w:bodyDiv w:val="1"/>
      <w:marLeft w:val="0"/>
      <w:marRight w:val="0"/>
      <w:marTop w:val="0"/>
      <w:marBottom w:val="0"/>
      <w:divBdr>
        <w:top w:val="none" w:sz="0" w:space="0" w:color="auto"/>
        <w:left w:val="none" w:sz="0" w:space="0" w:color="auto"/>
        <w:bottom w:val="none" w:sz="0" w:space="0" w:color="auto"/>
        <w:right w:val="none" w:sz="0" w:space="0" w:color="auto"/>
      </w:divBdr>
      <w:divsChild>
        <w:div w:id="2117019026">
          <w:marLeft w:val="0"/>
          <w:marRight w:val="0"/>
          <w:marTop w:val="0"/>
          <w:marBottom w:val="0"/>
          <w:divBdr>
            <w:top w:val="none" w:sz="0" w:space="0" w:color="auto"/>
            <w:left w:val="none" w:sz="0" w:space="0" w:color="auto"/>
            <w:bottom w:val="none" w:sz="0" w:space="0" w:color="auto"/>
            <w:right w:val="none" w:sz="0" w:space="0" w:color="auto"/>
          </w:divBdr>
          <w:divsChild>
            <w:div w:id="1029137405">
              <w:marLeft w:val="0"/>
              <w:marRight w:val="0"/>
              <w:marTop w:val="0"/>
              <w:marBottom w:val="0"/>
              <w:divBdr>
                <w:top w:val="none" w:sz="0" w:space="0" w:color="auto"/>
                <w:left w:val="none" w:sz="0" w:space="0" w:color="auto"/>
                <w:bottom w:val="none" w:sz="0" w:space="0" w:color="auto"/>
                <w:right w:val="none" w:sz="0" w:space="0" w:color="auto"/>
              </w:divBdr>
              <w:divsChild>
                <w:div w:id="6806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503261">
      <w:bodyDiv w:val="1"/>
      <w:marLeft w:val="0"/>
      <w:marRight w:val="0"/>
      <w:marTop w:val="0"/>
      <w:marBottom w:val="0"/>
      <w:divBdr>
        <w:top w:val="none" w:sz="0" w:space="0" w:color="auto"/>
        <w:left w:val="none" w:sz="0" w:space="0" w:color="auto"/>
        <w:bottom w:val="none" w:sz="0" w:space="0" w:color="auto"/>
        <w:right w:val="none" w:sz="0" w:space="0" w:color="auto"/>
      </w:divBdr>
      <w:divsChild>
        <w:div w:id="1770740282">
          <w:marLeft w:val="0"/>
          <w:marRight w:val="0"/>
          <w:marTop w:val="0"/>
          <w:marBottom w:val="0"/>
          <w:divBdr>
            <w:top w:val="none" w:sz="0" w:space="0" w:color="auto"/>
            <w:left w:val="none" w:sz="0" w:space="0" w:color="auto"/>
            <w:bottom w:val="none" w:sz="0" w:space="0" w:color="auto"/>
            <w:right w:val="none" w:sz="0" w:space="0" w:color="auto"/>
          </w:divBdr>
          <w:divsChild>
            <w:div w:id="442071718">
              <w:marLeft w:val="0"/>
              <w:marRight w:val="0"/>
              <w:marTop w:val="0"/>
              <w:marBottom w:val="0"/>
              <w:divBdr>
                <w:top w:val="none" w:sz="0" w:space="0" w:color="auto"/>
                <w:left w:val="none" w:sz="0" w:space="0" w:color="auto"/>
                <w:bottom w:val="none" w:sz="0" w:space="0" w:color="auto"/>
                <w:right w:val="none" w:sz="0" w:space="0" w:color="auto"/>
              </w:divBdr>
              <w:divsChild>
                <w:div w:id="165001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64651">
      <w:bodyDiv w:val="1"/>
      <w:marLeft w:val="0"/>
      <w:marRight w:val="0"/>
      <w:marTop w:val="0"/>
      <w:marBottom w:val="0"/>
      <w:divBdr>
        <w:top w:val="none" w:sz="0" w:space="0" w:color="auto"/>
        <w:left w:val="none" w:sz="0" w:space="0" w:color="auto"/>
        <w:bottom w:val="none" w:sz="0" w:space="0" w:color="auto"/>
        <w:right w:val="none" w:sz="0" w:space="0" w:color="auto"/>
      </w:divBdr>
      <w:divsChild>
        <w:div w:id="928855400">
          <w:marLeft w:val="0"/>
          <w:marRight w:val="0"/>
          <w:marTop w:val="0"/>
          <w:marBottom w:val="0"/>
          <w:divBdr>
            <w:top w:val="none" w:sz="0" w:space="0" w:color="auto"/>
            <w:left w:val="none" w:sz="0" w:space="0" w:color="auto"/>
            <w:bottom w:val="none" w:sz="0" w:space="0" w:color="auto"/>
            <w:right w:val="none" w:sz="0" w:space="0" w:color="auto"/>
          </w:divBdr>
          <w:divsChild>
            <w:div w:id="336614040">
              <w:marLeft w:val="0"/>
              <w:marRight w:val="0"/>
              <w:marTop w:val="0"/>
              <w:marBottom w:val="0"/>
              <w:divBdr>
                <w:top w:val="none" w:sz="0" w:space="0" w:color="auto"/>
                <w:left w:val="none" w:sz="0" w:space="0" w:color="auto"/>
                <w:bottom w:val="none" w:sz="0" w:space="0" w:color="auto"/>
                <w:right w:val="none" w:sz="0" w:space="0" w:color="auto"/>
              </w:divBdr>
              <w:divsChild>
                <w:div w:id="66663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16984">
      <w:bodyDiv w:val="1"/>
      <w:marLeft w:val="0"/>
      <w:marRight w:val="0"/>
      <w:marTop w:val="0"/>
      <w:marBottom w:val="0"/>
      <w:divBdr>
        <w:top w:val="none" w:sz="0" w:space="0" w:color="auto"/>
        <w:left w:val="none" w:sz="0" w:space="0" w:color="auto"/>
        <w:bottom w:val="none" w:sz="0" w:space="0" w:color="auto"/>
        <w:right w:val="none" w:sz="0" w:space="0" w:color="auto"/>
      </w:divBdr>
      <w:divsChild>
        <w:div w:id="998465556">
          <w:marLeft w:val="0"/>
          <w:marRight w:val="0"/>
          <w:marTop w:val="0"/>
          <w:marBottom w:val="0"/>
          <w:divBdr>
            <w:top w:val="none" w:sz="0" w:space="0" w:color="auto"/>
            <w:left w:val="none" w:sz="0" w:space="0" w:color="auto"/>
            <w:bottom w:val="none" w:sz="0" w:space="0" w:color="auto"/>
            <w:right w:val="none" w:sz="0" w:space="0" w:color="auto"/>
          </w:divBdr>
          <w:divsChild>
            <w:div w:id="775104853">
              <w:marLeft w:val="0"/>
              <w:marRight w:val="0"/>
              <w:marTop w:val="0"/>
              <w:marBottom w:val="0"/>
              <w:divBdr>
                <w:top w:val="none" w:sz="0" w:space="0" w:color="auto"/>
                <w:left w:val="none" w:sz="0" w:space="0" w:color="auto"/>
                <w:bottom w:val="none" w:sz="0" w:space="0" w:color="auto"/>
                <w:right w:val="none" w:sz="0" w:space="0" w:color="auto"/>
              </w:divBdr>
              <w:divsChild>
                <w:div w:id="13854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28</TotalTime>
  <Pages>8</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Patawee Detchit</cp:lastModifiedBy>
  <cp:revision>54</cp:revision>
  <dcterms:created xsi:type="dcterms:W3CDTF">2024-07-22T05:56:00Z</dcterms:created>
  <dcterms:modified xsi:type="dcterms:W3CDTF">2024-08-28T04:58:00Z</dcterms:modified>
</cp:coreProperties>
</file>