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944B" w14:textId="77777777" w:rsidR="004B09F3" w:rsidRPr="006B19C5" w:rsidRDefault="00000000" w:rsidP="006B19C5">
      <w:pPr>
        <w:spacing w:after="673" w:line="265" w:lineRule="auto"/>
        <w:ind w:left="0" w:firstLine="0"/>
        <w:jc w:val="center"/>
        <w:rPr>
          <w:sz w:val="28"/>
          <w:szCs w:val="28"/>
        </w:rPr>
      </w:pPr>
      <w:r w:rsidRPr="006B19C5">
        <w:rPr>
          <w:b/>
          <w:sz w:val="28"/>
          <w:szCs w:val="28"/>
        </w:rPr>
        <w:t>SUMMARY OF PRODUCT CHARACTERISTICS</w:t>
      </w:r>
    </w:p>
    <w:p w14:paraId="04E66697" w14:textId="77777777" w:rsidR="006B19C5" w:rsidRDefault="00000000" w:rsidP="006B19C5">
      <w:pPr>
        <w:pStyle w:val="Heading1"/>
        <w:numPr>
          <w:ilvl w:val="0"/>
          <w:numId w:val="4"/>
        </w:numPr>
        <w:tabs>
          <w:tab w:val="center" w:pos="3300"/>
        </w:tabs>
        <w:spacing w:after="240" w:line="264" w:lineRule="auto"/>
        <w:ind w:left="357" w:hanging="357"/>
        <w:rPr>
          <w:szCs w:val="28"/>
        </w:rPr>
      </w:pPr>
      <w:r w:rsidRPr="006B19C5">
        <w:rPr>
          <w:szCs w:val="28"/>
        </w:rPr>
        <w:t>NAME OF THE MEDICINAL PRODUCT</w:t>
      </w:r>
    </w:p>
    <w:p w14:paraId="60233891" w14:textId="77777777" w:rsidR="006B19C5" w:rsidRPr="006B19C5" w:rsidRDefault="00000000" w:rsidP="006B19C5">
      <w:pPr>
        <w:pStyle w:val="Heading1"/>
        <w:tabs>
          <w:tab w:val="center" w:pos="3300"/>
        </w:tabs>
        <w:spacing w:after="0" w:line="360" w:lineRule="auto"/>
        <w:ind w:left="360" w:firstLine="0"/>
        <w:rPr>
          <w:b w:val="0"/>
          <w:bCs/>
          <w:szCs w:val="28"/>
        </w:rPr>
      </w:pPr>
      <w:r w:rsidRPr="006B19C5">
        <w:rPr>
          <w:b w:val="0"/>
          <w:bCs/>
          <w:color w:val="FF0000"/>
          <w:szCs w:val="28"/>
        </w:rPr>
        <w:t xml:space="preserve">&lt;TRADE NAME&gt; &lt;STRENGTH&gt; </w:t>
      </w:r>
      <w:r w:rsidRPr="006B19C5">
        <w:rPr>
          <w:b w:val="0"/>
          <w:bCs/>
          <w:szCs w:val="28"/>
        </w:rPr>
        <w:t>hard capsule</w:t>
      </w:r>
    </w:p>
    <w:p w14:paraId="5CE8DE42" w14:textId="790C18E0" w:rsidR="004B09F3" w:rsidRPr="006B19C5" w:rsidRDefault="00000000" w:rsidP="006B19C5">
      <w:pPr>
        <w:pStyle w:val="Heading1"/>
        <w:tabs>
          <w:tab w:val="center" w:pos="3300"/>
        </w:tabs>
        <w:spacing w:after="240" w:line="360" w:lineRule="auto"/>
        <w:ind w:left="357" w:firstLine="0"/>
        <w:rPr>
          <w:szCs w:val="28"/>
        </w:rPr>
      </w:pPr>
      <w:r w:rsidRPr="006B19C5">
        <w:rPr>
          <w:b w:val="0"/>
          <w:bCs/>
          <w:color w:val="FF0000"/>
          <w:szCs w:val="28"/>
        </w:rPr>
        <w:t>&lt;REGARDING THE APPROVAL</w:t>
      </w:r>
      <w:r w:rsidRPr="006B19C5">
        <w:rPr>
          <w:color w:val="FF0000"/>
          <w:szCs w:val="28"/>
        </w:rPr>
        <w:t>&gt;</w:t>
      </w:r>
    </w:p>
    <w:p w14:paraId="5F9D7683" w14:textId="77777777" w:rsidR="006B19C5" w:rsidRDefault="00000000" w:rsidP="006B19C5">
      <w:pPr>
        <w:pStyle w:val="Heading2"/>
        <w:numPr>
          <w:ilvl w:val="0"/>
          <w:numId w:val="4"/>
        </w:numPr>
        <w:tabs>
          <w:tab w:val="center" w:pos="3472"/>
        </w:tabs>
        <w:spacing w:after="240" w:line="264" w:lineRule="auto"/>
        <w:ind w:left="357" w:hanging="357"/>
        <w:rPr>
          <w:sz w:val="28"/>
          <w:szCs w:val="28"/>
        </w:rPr>
      </w:pPr>
      <w:r w:rsidRPr="006B19C5">
        <w:rPr>
          <w:sz w:val="28"/>
          <w:szCs w:val="28"/>
        </w:rPr>
        <w:t>QUALITATIVE AND QUANTITATIVE COMPOSITION</w:t>
      </w:r>
    </w:p>
    <w:p w14:paraId="4D93916F" w14:textId="77777777" w:rsidR="006B19C5" w:rsidRPr="006B19C5" w:rsidRDefault="00000000" w:rsidP="006B19C5">
      <w:pPr>
        <w:pStyle w:val="Heading2"/>
        <w:tabs>
          <w:tab w:val="center" w:pos="3472"/>
        </w:tabs>
        <w:spacing w:after="0" w:line="360" w:lineRule="auto"/>
        <w:ind w:left="360" w:firstLine="0"/>
        <w:rPr>
          <w:b w:val="0"/>
          <w:bCs/>
          <w:color w:val="FF0000"/>
          <w:sz w:val="28"/>
          <w:szCs w:val="28"/>
        </w:rPr>
      </w:pPr>
      <w:r w:rsidRPr="006B19C5">
        <w:rPr>
          <w:b w:val="0"/>
          <w:bCs/>
          <w:sz w:val="28"/>
          <w:szCs w:val="28"/>
        </w:rPr>
        <w:t xml:space="preserve">Each hard capsule contains </w:t>
      </w:r>
      <w:r w:rsidRPr="006B19C5">
        <w:rPr>
          <w:b w:val="0"/>
          <w:bCs/>
          <w:color w:val="FF0000"/>
          <w:sz w:val="28"/>
          <w:szCs w:val="28"/>
        </w:rPr>
        <w:t>&lt;GENERIC NAME&gt; &lt;STRENGTH&gt;</w:t>
      </w:r>
    </w:p>
    <w:p w14:paraId="3A20F1CC" w14:textId="77777777" w:rsidR="006B19C5" w:rsidRDefault="00000000" w:rsidP="006B19C5">
      <w:pPr>
        <w:pStyle w:val="Heading2"/>
        <w:tabs>
          <w:tab w:val="center" w:pos="3472"/>
        </w:tabs>
        <w:spacing w:after="240" w:line="360" w:lineRule="auto"/>
        <w:ind w:left="357" w:firstLine="0"/>
        <w:rPr>
          <w:b w:val="0"/>
          <w:bCs/>
          <w:color w:val="FF0000"/>
          <w:sz w:val="28"/>
          <w:szCs w:val="28"/>
        </w:rPr>
      </w:pPr>
      <w:r w:rsidRPr="006B19C5">
        <w:rPr>
          <w:b w:val="0"/>
          <w:bCs/>
          <w:color w:val="FF0000"/>
          <w:sz w:val="28"/>
          <w:szCs w:val="28"/>
        </w:rPr>
        <w:t>&lt;REGARDING THE APPROVAL&gt;</w:t>
      </w:r>
    </w:p>
    <w:p w14:paraId="3C4E9720" w14:textId="77DB7B95" w:rsidR="004B09F3" w:rsidRPr="006B19C5" w:rsidRDefault="00000000" w:rsidP="006B19C5">
      <w:pPr>
        <w:pStyle w:val="Heading2"/>
        <w:tabs>
          <w:tab w:val="center" w:pos="3472"/>
        </w:tabs>
        <w:spacing w:after="240" w:line="360" w:lineRule="auto"/>
        <w:ind w:left="357" w:firstLine="0"/>
        <w:rPr>
          <w:b w:val="0"/>
          <w:bCs/>
          <w:sz w:val="28"/>
          <w:szCs w:val="28"/>
        </w:rPr>
      </w:pPr>
      <w:r w:rsidRPr="006B19C5">
        <w:rPr>
          <w:b w:val="0"/>
          <w:bCs/>
          <w:sz w:val="28"/>
          <w:szCs w:val="28"/>
        </w:rPr>
        <w:t>For the full list of excipients, see section 6.1</w:t>
      </w:r>
    </w:p>
    <w:p w14:paraId="1C8A0D63" w14:textId="77777777" w:rsidR="006B19C5" w:rsidRDefault="00000000" w:rsidP="006B19C5">
      <w:pPr>
        <w:pStyle w:val="Heading1"/>
        <w:numPr>
          <w:ilvl w:val="0"/>
          <w:numId w:val="4"/>
        </w:numPr>
        <w:tabs>
          <w:tab w:val="center" w:pos="2565"/>
        </w:tabs>
        <w:spacing w:after="240" w:line="264" w:lineRule="auto"/>
        <w:ind w:left="357" w:hanging="357"/>
        <w:rPr>
          <w:szCs w:val="28"/>
        </w:rPr>
      </w:pPr>
      <w:r w:rsidRPr="006B19C5">
        <w:rPr>
          <w:szCs w:val="28"/>
        </w:rPr>
        <w:t>PHARMACEUTICAL FORM</w:t>
      </w:r>
    </w:p>
    <w:p w14:paraId="1D0D7E8A" w14:textId="77777777" w:rsidR="006B19C5" w:rsidRDefault="00000000" w:rsidP="006B19C5">
      <w:pPr>
        <w:pStyle w:val="Heading1"/>
        <w:tabs>
          <w:tab w:val="center" w:pos="2565"/>
        </w:tabs>
        <w:spacing w:after="240" w:line="264" w:lineRule="auto"/>
        <w:ind w:left="357" w:firstLine="0"/>
        <w:rPr>
          <w:b w:val="0"/>
          <w:bCs/>
          <w:szCs w:val="28"/>
        </w:rPr>
      </w:pPr>
      <w:r w:rsidRPr="006B19C5">
        <w:rPr>
          <w:b w:val="0"/>
          <w:bCs/>
          <w:szCs w:val="28"/>
        </w:rPr>
        <w:t>Capsule, hard</w:t>
      </w:r>
    </w:p>
    <w:p w14:paraId="5D6EB05E" w14:textId="2604B12B" w:rsidR="004B09F3" w:rsidRPr="006B19C5" w:rsidRDefault="00000000" w:rsidP="006B19C5">
      <w:pPr>
        <w:pStyle w:val="Heading1"/>
        <w:tabs>
          <w:tab w:val="center" w:pos="2565"/>
        </w:tabs>
        <w:spacing w:after="240" w:line="264" w:lineRule="auto"/>
        <w:ind w:left="357" w:firstLine="0"/>
        <w:rPr>
          <w:b w:val="0"/>
          <w:bCs/>
          <w:szCs w:val="28"/>
        </w:rPr>
      </w:pPr>
      <w:r w:rsidRPr="006B19C5">
        <w:rPr>
          <w:b w:val="0"/>
          <w:bCs/>
          <w:color w:val="FF0000"/>
          <w:szCs w:val="28"/>
        </w:rPr>
        <w:t>&lt;REGARDING THE APPROVAL&gt;</w:t>
      </w:r>
    </w:p>
    <w:p w14:paraId="355B77C6" w14:textId="77777777" w:rsidR="006B19C5" w:rsidRDefault="00000000" w:rsidP="006B19C5">
      <w:pPr>
        <w:pStyle w:val="Heading1"/>
        <w:numPr>
          <w:ilvl w:val="0"/>
          <w:numId w:val="4"/>
        </w:numPr>
        <w:tabs>
          <w:tab w:val="center" w:pos="2460"/>
        </w:tabs>
        <w:spacing w:after="240" w:line="264" w:lineRule="auto"/>
        <w:ind w:left="357" w:hanging="357"/>
        <w:rPr>
          <w:szCs w:val="28"/>
        </w:rPr>
      </w:pPr>
      <w:r w:rsidRPr="006B19C5">
        <w:rPr>
          <w:szCs w:val="28"/>
        </w:rPr>
        <w:t>CLINICAL PARTICULARS</w:t>
      </w:r>
    </w:p>
    <w:p w14:paraId="0E9213C7" w14:textId="77777777" w:rsidR="006B19C5" w:rsidRDefault="00000000" w:rsidP="006B19C5">
      <w:pPr>
        <w:pStyle w:val="Heading1"/>
        <w:numPr>
          <w:ilvl w:val="1"/>
          <w:numId w:val="4"/>
        </w:numPr>
        <w:tabs>
          <w:tab w:val="center" w:pos="2460"/>
        </w:tabs>
        <w:spacing w:after="240" w:line="264" w:lineRule="auto"/>
        <w:ind w:left="788" w:hanging="431"/>
        <w:rPr>
          <w:szCs w:val="28"/>
        </w:rPr>
      </w:pPr>
      <w:r w:rsidRPr="006B19C5">
        <w:rPr>
          <w:szCs w:val="28"/>
        </w:rPr>
        <w:t>Therapeutic indications</w:t>
      </w:r>
    </w:p>
    <w:p w14:paraId="2E991F6A" w14:textId="3A67D997" w:rsidR="004B09F3" w:rsidRPr="006B19C5" w:rsidRDefault="00110CD6" w:rsidP="006B19C5">
      <w:pPr>
        <w:pStyle w:val="Heading1"/>
        <w:tabs>
          <w:tab w:val="center" w:pos="2460"/>
        </w:tabs>
        <w:spacing w:after="240" w:line="360" w:lineRule="auto"/>
        <w:ind w:left="794" w:firstLine="0"/>
        <w:jc w:val="thaiDistribute"/>
        <w:rPr>
          <w:b w:val="0"/>
          <w:bCs/>
          <w:szCs w:val="28"/>
        </w:rPr>
      </w:pPr>
      <w:r w:rsidRPr="00110CD6">
        <w:rPr>
          <w:b w:val="0"/>
          <w:bCs/>
          <w:color w:val="000000" w:themeColor="text1"/>
          <w:szCs w:val="28"/>
        </w:rPr>
        <w:t>Gemfibrozil</w:t>
      </w:r>
      <w:r w:rsidRPr="00110CD6">
        <w:rPr>
          <w:b w:val="0"/>
          <w:bCs/>
          <w:color w:val="FF0000"/>
          <w:szCs w:val="28"/>
        </w:rPr>
        <w:t xml:space="preserve"> </w:t>
      </w:r>
      <w:r w:rsidR="00000000" w:rsidRPr="006B19C5">
        <w:rPr>
          <w:b w:val="0"/>
          <w:bCs/>
          <w:szCs w:val="28"/>
        </w:rPr>
        <w:t>is indicated as an adjunct to diet and other non-pharmacological treatment (e.g.</w:t>
      </w:r>
      <w:r w:rsidR="006B19C5" w:rsidRPr="006B19C5">
        <w:rPr>
          <w:b w:val="0"/>
          <w:bCs/>
          <w:szCs w:val="28"/>
        </w:rPr>
        <w:t xml:space="preserve"> </w:t>
      </w:r>
      <w:r w:rsidR="00000000" w:rsidRPr="006B19C5">
        <w:rPr>
          <w:b w:val="0"/>
          <w:bCs/>
          <w:szCs w:val="28"/>
        </w:rPr>
        <w:t>exercise, weight reduction) for the following:</w:t>
      </w:r>
    </w:p>
    <w:p w14:paraId="4356F036" w14:textId="77777777" w:rsidR="004B09F3" w:rsidRPr="006B19C5" w:rsidRDefault="00000000" w:rsidP="006B19C5">
      <w:pPr>
        <w:pStyle w:val="ListParagraph"/>
        <w:numPr>
          <w:ilvl w:val="0"/>
          <w:numId w:val="5"/>
        </w:numPr>
        <w:spacing w:after="12" w:line="360" w:lineRule="auto"/>
        <w:rPr>
          <w:sz w:val="28"/>
          <w:szCs w:val="28"/>
        </w:rPr>
      </w:pPr>
      <w:r w:rsidRPr="006B19C5">
        <w:rPr>
          <w:sz w:val="28"/>
          <w:szCs w:val="28"/>
        </w:rPr>
        <w:t>Treatment of severe hypertriglyceridaemia with or without low HDL cholesterol.</w:t>
      </w:r>
    </w:p>
    <w:p w14:paraId="794A2520" w14:textId="77777777" w:rsidR="004B09F3" w:rsidRPr="006B19C5" w:rsidRDefault="00000000" w:rsidP="006B19C5">
      <w:pPr>
        <w:pStyle w:val="ListParagraph"/>
        <w:numPr>
          <w:ilvl w:val="0"/>
          <w:numId w:val="5"/>
        </w:numPr>
        <w:spacing w:after="12" w:line="360" w:lineRule="auto"/>
        <w:rPr>
          <w:sz w:val="28"/>
          <w:szCs w:val="28"/>
        </w:rPr>
      </w:pPr>
      <w:r w:rsidRPr="006B19C5">
        <w:rPr>
          <w:sz w:val="28"/>
          <w:szCs w:val="28"/>
        </w:rPr>
        <w:t>Mixed hyperlipidaemia when a statin is contraindicated or not tolerated.</w:t>
      </w:r>
    </w:p>
    <w:p w14:paraId="2C7F30D7" w14:textId="77777777" w:rsidR="004B09F3" w:rsidRPr="006B19C5" w:rsidRDefault="00000000" w:rsidP="006B19C5">
      <w:pPr>
        <w:pStyle w:val="ListParagraph"/>
        <w:numPr>
          <w:ilvl w:val="0"/>
          <w:numId w:val="5"/>
        </w:numPr>
        <w:spacing w:after="240" w:line="360" w:lineRule="auto"/>
        <w:ind w:left="1434" w:hanging="357"/>
        <w:contextualSpacing w:val="0"/>
        <w:rPr>
          <w:sz w:val="28"/>
          <w:szCs w:val="28"/>
        </w:rPr>
      </w:pPr>
      <w:r w:rsidRPr="006B19C5">
        <w:rPr>
          <w:sz w:val="28"/>
          <w:szCs w:val="28"/>
        </w:rPr>
        <w:t>Primary hypercholesterolaemia when a statin is contraindicated or not tolerated.</w:t>
      </w:r>
    </w:p>
    <w:p w14:paraId="26817775" w14:textId="77777777" w:rsidR="004B09F3" w:rsidRPr="006B19C5" w:rsidRDefault="00000000" w:rsidP="006B19C5">
      <w:pPr>
        <w:pStyle w:val="Heading3"/>
        <w:spacing w:after="240" w:line="360" w:lineRule="auto"/>
        <w:ind w:left="714" w:hanging="11"/>
        <w:jc w:val="thaiDistribute"/>
        <w:rPr>
          <w:sz w:val="28"/>
          <w:szCs w:val="28"/>
        </w:rPr>
      </w:pPr>
      <w:r w:rsidRPr="006B19C5">
        <w:rPr>
          <w:sz w:val="28"/>
          <w:szCs w:val="28"/>
        </w:rPr>
        <w:lastRenderedPageBreak/>
        <w:t>Primary prevention</w:t>
      </w:r>
    </w:p>
    <w:p w14:paraId="4FD084B1" w14:textId="77777777" w:rsidR="004B09F3" w:rsidRPr="006B19C5" w:rsidRDefault="00000000" w:rsidP="006B19C5">
      <w:pPr>
        <w:spacing w:after="240" w:line="360" w:lineRule="auto"/>
        <w:ind w:left="737" w:firstLine="709"/>
        <w:jc w:val="thaiDistribute"/>
        <w:rPr>
          <w:sz w:val="28"/>
          <w:szCs w:val="28"/>
        </w:rPr>
      </w:pPr>
      <w:r w:rsidRPr="006B19C5">
        <w:rPr>
          <w:sz w:val="28"/>
          <w:szCs w:val="28"/>
        </w:rPr>
        <w:t>Reduction of cardiovascular morbidity in males with increased non-HDL cholesterol and at high risk for a first cardiovascular event when a statin is contraindicated or not tolerated (see section 5.1).</w:t>
      </w:r>
    </w:p>
    <w:p w14:paraId="4989D3A1" w14:textId="77777777" w:rsidR="006B19C5" w:rsidRDefault="00000000" w:rsidP="006B19C5">
      <w:pPr>
        <w:pStyle w:val="Heading2"/>
        <w:numPr>
          <w:ilvl w:val="1"/>
          <w:numId w:val="4"/>
        </w:numPr>
        <w:tabs>
          <w:tab w:val="center" w:pos="2745"/>
        </w:tabs>
        <w:spacing w:after="240" w:line="264" w:lineRule="auto"/>
        <w:ind w:left="788" w:hanging="431"/>
        <w:rPr>
          <w:sz w:val="28"/>
          <w:szCs w:val="28"/>
        </w:rPr>
      </w:pPr>
      <w:r w:rsidRPr="006B19C5">
        <w:rPr>
          <w:sz w:val="28"/>
          <w:szCs w:val="28"/>
        </w:rPr>
        <w:t>Posology and method of administration</w:t>
      </w:r>
    </w:p>
    <w:p w14:paraId="68F3F8F0" w14:textId="2E653B87" w:rsidR="004B09F3" w:rsidRPr="006B19C5" w:rsidRDefault="00000000" w:rsidP="006B19C5">
      <w:pPr>
        <w:pStyle w:val="Heading2"/>
        <w:tabs>
          <w:tab w:val="center" w:pos="2745"/>
        </w:tabs>
        <w:spacing w:after="240" w:line="360" w:lineRule="auto"/>
        <w:ind w:left="794" w:firstLine="0"/>
        <w:rPr>
          <w:b w:val="0"/>
          <w:bCs/>
          <w:sz w:val="28"/>
          <w:szCs w:val="28"/>
        </w:rPr>
      </w:pPr>
      <w:r w:rsidRPr="006B19C5">
        <w:rPr>
          <w:b w:val="0"/>
          <w:bCs/>
          <w:sz w:val="28"/>
          <w:szCs w:val="28"/>
        </w:rPr>
        <w:t>Prior to initiating</w:t>
      </w:r>
      <w:r w:rsidR="00110CD6">
        <w:rPr>
          <w:b w:val="0"/>
          <w:bCs/>
          <w:sz w:val="28"/>
          <w:szCs w:val="28"/>
        </w:rPr>
        <w:t xml:space="preserve"> </w:t>
      </w:r>
      <w:r w:rsidR="00110CD6" w:rsidRPr="00110CD6">
        <w:rPr>
          <w:b w:val="0"/>
          <w:bCs/>
          <w:sz w:val="28"/>
          <w:szCs w:val="28"/>
        </w:rPr>
        <w:t>Gemfibrozil</w:t>
      </w:r>
      <w:r w:rsidRPr="006B19C5">
        <w:rPr>
          <w:b w:val="0"/>
          <w:bCs/>
          <w:sz w:val="28"/>
          <w:szCs w:val="28"/>
        </w:rPr>
        <w:t xml:space="preserve">, other medical problems such as hypothyroidism and diabetes mellitus must be controlled as best as possible and patients should be placed on a standard lipid-lowering diet, which should be continued during treatment. </w:t>
      </w:r>
      <w:r w:rsidR="00110CD6" w:rsidRPr="00110CD6">
        <w:rPr>
          <w:b w:val="0"/>
          <w:bCs/>
          <w:sz w:val="28"/>
          <w:szCs w:val="28"/>
        </w:rPr>
        <w:t>Gemfibrozil</w:t>
      </w:r>
      <w:r w:rsidR="00110CD6" w:rsidRPr="006B19C5">
        <w:rPr>
          <w:b w:val="0"/>
          <w:bCs/>
          <w:sz w:val="28"/>
          <w:szCs w:val="28"/>
        </w:rPr>
        <w:t xml:space="preserve"> </w:t>
      </w:r>
      <w:r w:rsidRPr="006B19C5">
        <w:rPr>
          <w:b w:val="0"/>
          <w:bCs/>
          <w:sz w:val="28"/>
          <w:szCs w:val="28"/>
        </w:rPr>
        <w:t>should be taken orally.</w:t>
      </w:r>
    </w:p>
    <w:p w14:paraId="348D3DEB" w14:textId="77777777" w:rsidR="006B19C5" w:rsidRPr="006B19C5" w:rsidRDefault="00000000">
      <w:pPr>
        <w:pStyle w:val="Heading3"/>
        <w:spacing w:after="129"/>
        <w:ind w:left="715"/>
        <w:rPr>
          <w:i/>
          <w:iCs/>
          <w:sz w:val="28"/>
          <w:szCs w:val="28"/>
        </w:rPr>
      </w:pPr>
      <w:r w:rsidRPr="006B19C5">
        <w:rPr>
          <w:i/>
          <w:iCs/>
          <w:sz w:val="28"/>
          <w:szCs w:val="28"/>
        </w:rPr>
        <w:t xml:space="preserve">Posology </w:t>
      </w:r>
    </w:p>
    <w:p w14:paraId="7F1BA621" w14:textId="77777777" w:rsidR="006B19C5" w:rsidRDefault="00000000" w:rsidP="006B19C5">
      <w:pPr>
        <w:pStyle w:val="Heading3"/>
        <w:spacing w:after="240"/>
        <w:ind w:left="714" w:hanging="11"/>
        <w:rPr>
          <w:sz w:val="28"/>
          <w:szCs w:val="28"/>
        </w:rPr>
      </w:pPr>
      <w:r w:rsidRPr="006B19C5">
        <w:rPr>
          <w:sz w:val="28"/>
          <w:szCs w:val="28"/>
        </w:rPr>
        <w:t>Adult</w:t>
      </w:r>
    </w:p>
    <w:p w14:paraId="0450190E" w14:textId="77777777" w:rsidR="006B19C5" w:rsidRPr="006B19C5" w:rsidRDefault="00000000" w:rsidP="006B19C5">
      <w:pPr>
        <w:pStyle w:val="Heading3"/>
        <w:spacing w:after="129" w:line="360" w:lineRule="auto"/>
        <w:ind w:left="715"/>
        <w:rPr>
          <w:sz w:val="28"/>
          <w:szCs w:val="28"/>
          <w:u w:val="none"/>
        </w:rPr>
      </w:pPr>
      <w:r w:rsidRPr="006B19C5">
        <w:rPr>
          <w:sz w:val="28"/>
          <w:szCs w:val="28"/>
          <w:u w:val="none"/>
        </w:rPr>
        <w:t>The dose range is 900 mg to 1200 mg daily.</w:t>
      </w:r>
    </w:p>
    <w:p w14:paraId="5AB9A4B8" w14:textId="77777777" w:rsidR="006B19C5" w:rsidRPr="006B19C5" w:rsidRDefault="00000000" w:rsidP="006B19C5">
      <w:pPr>
        <w:pStyle w:val="Heading3"/>
        <w:spacing w:after="129" w:line="360" w:lineRule="auto"/>
        <w:ind w:left="715"/>
        <w:rPr>
          <w:sz w:val="28"/>
          <w:szCs w:val="28"/>
          <w:u w:val="none"/>
        </w:rPr>
      </w:pPr>
      <w:r w:rsidRPr="006B19C5">
        <w:rPr>
          <w:sz w:val="28"/>
          <w:szCs w:val="28"/>
          <w:u w:val="none"/>
        </w:rPr>
        <w:t>The only dose with documented effect on morbidity is 1200 mg daily.</w:t>
      </w:r>
    </w:p>
    <w:p w14:paraId="5CB06954" w14:textId="77777777" w:rsidR="006B19C5" w:rsidRPr="006B19C5" w:rsidRDefault="00000000" w:rsidP="006B19C5">
      <w:pPr>
        <w:pStyle w:val="Heading3"/>
        <w:spacing w:after="240" w:line="360" w:lineRule="auto"/>
        <w:ind w:left="714" w:hanging="11"/>
        <w:rPr>
          <w:sz w:val="28"/>
          <w:szCs w:val="28"/>
          <w:u w:val="none"/>
        </w:rPr>
      </w:pPr>
      <w:r w:rsidRPr="006B19C5">
        <w:rPr>
          <w:sz w:val="28"/>
          <w:szCs w:val="28"/>
          <w:u w:val="none"/>
        </w:rPr>
        <w:t>See Method of administration.</w:t>
      </w:r>
    </w:p>
    <w:p w14:paraId="073AF683" w14:textId="77777777" w:rsidR="006B19C5" w:rsidRDefault="00000000" w:rsidP="006B19C5">
      <w:pPr>
        <w:pStyle w:val="Heading3"/>
        <w:spacing w:after="240"/>
        <w:ind w:left="714" w:hanging="11"/>
        <w:rPr>
          <w:sz w:val="28"/>
          <w:szCs w:val="28"/>
        </w:rPr>
      </w:pPr>
      <w:r w:rsidRPr="006B19C5">
        <w:rPr>
          <w:sz w:val="28"/>
          <w:szCs w:val="28"/>
        </w:rPr>
        <w:t>Elderly (over 65 years old)</w:t>
      </w:r>
    </w:p>
    <w:p w14:paraId="3134A549" w14:textId="58747861" w:rsidR="004B09F3" w:rsidRPr="006B19C5" w:rsidRDefault="00000000" w:rsidP="006B19C5">
      <w:pPr>
        <w:pStyle w:val="Heading3"/>
        <w:spacing w:after="240"/>
        <w:ind w:left="714" w:hanging="11"/>
        <w:rPr>
          <w:sz w:val="28"/>
          <w:szCs w:val="28"/>
          <w:u w:val="none"/>
        </w:rPr>
      </w:pPr>
      <w:r w:rsidRPr="006B19C5">
        <w:rPr>
          <w:sz w:val="28"/>
          <w:szCs w:val="28"/>
          <w:u w:val="none"/>
        </w:rPr>
        <w:t>As for adults</w:t>
      </w:r>
    </w:p>
    <w:p w14:paraId="4BB5A03C" w14:textId="77777777" w:rsidR="004B09F3" w:rsidRPr="006B19C5" w:rsidRDefault="00000000" w:rsidP="006B19C5">
      <w:pPr>
        <w:pStyle w:val="Heading3"/>
        <w:spacing w:after="240"/>
        <w:ind w:left="714" w:hanging="11"/>
        <w:rPr>
          <w:sz w:val="28"/>
          <w:szCs w:val="28"/>
        </w:rPr>
      </w:pPr>
      <w:r w:rsidRPr="006B19C5">
        <w:rPr>
          <w:sz w:val="28"/>
          <w:szCs w:val="28"/>
        </w:rPr>
        <w:t>Children and adolescent</w:t>
      </w:r>
      <w:r w:rsidRPr="006B19C5">
        <w:rPr>
          <w:bCs/>
          <w:iCs/>
          <w:sz w:val="28"/>
          <w:szCs w:val="28"/>
        </w:rPr>
        <w:t>s</w:t>
      </w:r>
    </w:p>
    <w:p w14:paraId="11D0F8EA" w14:textId="3D765415" w:rsidR="004B09F3" w:rsidRPr="006B19C5" w:rsidRDefault="00110CD6" w:rsidP="006B19C5">
      <w:pPr>
        <w:spacing w:after="240" w:line="360" w:lineRule="auto"/>
        <w:ind w:left="737" w:firstLine="0"/>
        <w:rPr>
          <w:sz w:val="28"/>
          <w:szCs w:val="28"/>
        </w:rPr>
      </w:pPr>
      <w:r w:rsidRPr="00110CD6">
        <w:rPr>
          <w:sz w:val="28"/>
          <w:szCs w:val="28"/>
        </w:rPr>
        <w:t xml:space="preserve">Gemfibrozil </w:t>
      </w:r>
      <w:r w:rsidR="00000000" w:rsidRPr="006B19C5">
        <w:rPr>
          <w:sz w:val="28"/>
          <w:szCs w:val="28"/>
        </w:rPr>
        <w:t xml:space="preserve">therapy has not been investigated in children. Due to the lack of data the use of </w:t>
      </w:r>
      <w:r w:rsidRPr="00110CD6">
        <w:rPr>
          <w:bCs/>
          <w:sz w:val="28"/>
          <w:szCs w:val="28"/>
        </w:rPr>
        <w:t>Gemfibrozil</w:t>
      </w:r>
      <w:r w:rsidRPr="006B19C5">
        <w:rPr>
          <w:sz w:val="28"/>
          <w:szCs w:val="28"/>
        </w:rPr>
        <w:t xml:space="preserve"> </w:t>
      </w:r>
      <w:r w:rsidR="00000000" w:rsidRPr="006B19C5">
        <w:rPr>
          <w:sz w:val="28"/>
          <w:szCs w:val="28"/>
        </w:rPr>
        <w:t>in children is not recommended.</w:t>
      </w:r>
    </w:p>
    <w:p w14:paraId="18E9D7B1" w14:textId="77777777" w:rsidR="004B09F3" w:rsidRPr="006B19C5" w:rsidRDefault="00000000" w:rsidP="006B19C5">
      <w:pPr>
        <w:pStyle w:val="Heading3"/>
        <w:spacing w:after="240"/>
        <w:ind w:left="714" w:hanging="11"/>
        <w:rPr>
          <w:sz w:val="28"/>
          <w:szCs w:val="28"/>
        </w:rPr>
      </w:pPr>
      <w:r w:rsidRPr="006B19C5">
        <w:rPr>
          <w:sz w:val="28"/>
          <w:szCs w:val="28"/>
        </w:rPr>
        <w:lastRenderedPageBreak/>
        <w:t>Renal impairment</w:t>
      </w:r>
    </w:p>
    <w:p w14:paraId="2B0AC4B5" w14:textId="11742A72" w:rsidR="006B19C5" w:rsidRDefault="00000000" w:rsidP="006B19C5">
      <w:pPr>
        <w:spacing w:after="112" w:line="360" w:lineRule="auto"/>
        <w:ind w:left="720"/>
        <w:rPr>
          <w:sz w:val="28"/>
          <w:szCs w:val="28"/>
        </w:rPr>
      </w:pPr>
      <w:r w:rsidRPr="006B19C5">
        <w:rPr>
          <w:sz w:val="28"/>
          <w:szCs w:val="28"/>
        </w:rPr>
        <w:t>In patients with mild to moderate renal impairment (Glomerular filtration rate 50 - 80 and 30 - &lt; 50 ml/min/1.73 m</w:t>
      </w:r>
      <w:r w:rsidRPr="006B19C5">
        <w:rPr>
          <w:sz w:val="28"/>
          <w:szCs w:val="28"/>
          <w:vertAlign w:val="superscript"/>
        </w:rPr>
        <w:t>2</w:t>
      </w:r>
      <w:r w:rsidRPr="006B19C5">
        <w:rPr>
          <w:sz w:val="28"/>
          <w:szCs w:val="28"/>
        </w:rPr>
        <w:t xml:space="preserve">, respectively), start treatment at 900 mg daily and assess renal function before increasing dose. </w:t>
      </w:r>
      <w:r w:rsidR="00110CD6" w:rsidRPr="00110CD6">
        <w:rPr>
          <w:sz w:val="28"/>
          <w:szCs w:val="28"/>
        </w:rPr>
        <w:t xml:space="preserve">Gemfibrozil </w:t>
      </w:r>
      <w:r w:rsidRPr="006B19C5">
        <w:rPr>
          <w:sz w:val="28"/>
          <w:szCs w:val="28"/>
        </w:rPr>
        <w:t xml:space="preserve">should not be used in patients with severely impaired renal function (see section 4.3). </w:t>
      </w:r>
    </w:p>
    <w:p w14:paraId="2F3388C2" w14:textId="77777777" w:rsidR="006B19C5" w:rsidRDefault="00000000" w:rsidP="006B19C5">
      <w:pPr>
        <w:spacing w:after="240" w:line="360" w:lineRule="auto"/>
        <w:ind w:left="0" w:firstLine="720"/>
        <w:rPr>
          <w:sz w:val="28"/>
          <w:szCs w:val="28"/>
        </w:rPr>
      </w:pPr>
      <w:r w:rsidRPr="006B19C5">
        <w:rPr>
          <w:sz w:val="28"/>
          <w:szCs w:val="28"/>
          <w:u w:val="single" w:color="000000"/>
        </w:rPr>
        <w:t>Hepatic impairment</w:t>
      </w:r>
    </w:p>
    <w:p w14:paraId="38EF80C8" w14:textId="2DF8DDBA" w:rsidR="006B19C5" w:rsidRDefault="00110CD6" w:rsidP="006B19C5">
      <w:pPr>
        <w:spacing w:after="240" w:line="360" w:lineRule="auto"/>
        <w:ind w:left="720" w:firstLine="15"/>
        <w:rPr>
          <w:sz w:val="28"/>
          <w:szCs w:val="28"/>
        </w:rPr>
      </w:pPr>
      <w:r w:rsidRPr="00110CD6">
        <w:rPr>
          <w:sz w:val="28"/>
          <w:szCs w:val="28"/>
        </w:rPr>
        <w:t xml:space="preserve">Gemfibrozil </w:t>
      </w:r>
      <w:r w:rsidR="00000000" w:rsidRPr="006B19C5">
        <w:rPr>
          <w:sz w:val="28"/>
          <w:szCs w:val="28"/>
        </w:rPr>
        <w:t xml:space="preserve">is contraindicated in hepatic impairment (see section 4.3). </w:t>
      </w:r>
    </w:p>
    <w:p w14:paraId="308E0108" w14:textId="77777777" w:rsidR="006B19C5" w:rsidRDefault="00000000" w:rsidP="006B19C5">
      <w:pPr>
        <w:spacing w:after="240" w:line="360" w:lineRule="auto"/>
        <w:ind w:left="720" w:firstLine="17"/>
        <w:rPr>
          <w:i/>
          <w:iCs/>
          <w:sz w:val="28"/>
          <w:szCs w:val="28"/>
        </w:rPr>
      </w:pPr>
      <w:r w:rsidRPr="006B19C5">
        <w:rPr>
          <w:i/>
          <w:iCs/>
          <w:sz w:val="28"/>
          <w:szCs w:val="28"/>
          <w:u w:val="single" w:color="000000"/>
        </w:rPr>
        <w:t>Method of administration</w:t>
      </w:r>
    </w:p>
    <w:p w14:paraId="573C15DE" w14:textId="77777777" w:rsidR="006B19C5" w:rsidRDefault="00000000" w:rsidP="006B19C5">
      <w:pPr>
        <w:spacing w:after="240" w:line="360" w:lineRule="auto"/>
        <w:ind w:left="720" w:firstLine="15"/>
        <w:rPr>
          <w:i/>
          <w:iCs/>
          <w:sz w:val="28"/>
          <w:szCs w:val="28"/>
        </w:rPr>
      </w:pPr>
      <w:r w:rsidRPr="006B19C5">
        <w:rPr>
          <w:sz w:val="28"/>
          <w:szCs w:val="28"/>
        </w:rPr>
        <w:t>The 1200 mg dose is taken as 600 mg twice daily, half an hour before breakfast and half an hour before the evening meal.</w:t>
      </w:r>
    </w:p>
    <w:p w14:paraId="54415C51" w14:textId="6CC8323C" w:rsidR="004B09F3" w:rsidRPr="006B19C5" w:rsidRDefault="00000000" w:rsidP="006B19C5">
      <w:pPr>
        <w:spacing w:after="240" w:line="360" w:lineRule="auto"/>
        <w:ind w:left="720" w:firstLine="17"/>
        <w:rPr>
          <w:i/>
          <w:iCs/>
          <w:sz w:val="28"/>
          <w:szCs w:val="28"/>
        </w:rPr>
      </w:pPr>
      <w:r w:rsidRPr="006B19C5">
        <w:rPr>
          <w:sz w:val="28"/>
          <w:szCs w:val="28"/>
        </w:rPr>
        <w:t>The 900 mg dose is taken as a single dose half an hour before the evening meal.</w:t>
      </w:r>
    </w:p>
    <w:p w14:paraId="6A7F69C9" w14:textId="3063154C" w:rsidR="004B09F3" w:rsidRPr="006B19C5" w:rsidRDefault="00000000" w:rsidP="006B19C5">
      <w:pPr>
        <w:pStyle w:val="Heading4"/>
        <w:numPr>
          <w:ilvl w:val="1"/>
          <w:numId w:val="4"/>
        </w:numPr>
        <w:tabs>
          <w:tab w:val="center" w:pos="1440"/>
        </w:tabs>
        <w:spacing w:after="240" w:line="264" w:lineRule="auto"/>
        <w:ind w:left="788" w:hanging="431"/>
        <w:rPr>
          <w:sz w:val="28"/>
          <w:szCs w:val="28"/>
        </w:rPr>
      </w:pPr>
      <w:r w:rsidRPr="006B19C5">
        <w:rPr>
          <w:sz w:val="28"/>
          <w:szCs w:val="28"/>
        </w:rPr>
        <w:t>Contraindications</w:t>
      </w:r>
    </w:p>
    <w:p w14:paraId="663E4C7F" w14:textId="081F83A3" w:rsidR="004B09F3" w:rsidRPr="006B19C5" w:rsidRDefault="00000000" w:rsidP="006B19C5">
      <w:pPr>
        <w:numPr>
          <w:ilvl w:val="0"/>
          <w:numId w:val="7"/>
        </w:numPr>
        <w:spacing w:after="0" w:line="360" w:lineRule="auto"/>
        <w:rPr>
          <w:sz w:val="28"/>
          <w:szCs w:val="28"/>
        </w:rPr>
      </w:pPr>
      <w:r w:rsidRPr="006B19C5">
        <w:rPr>
          <w:sz w:val="28"/>
          <w:szCs w:val="28"/>
        </w:rPr>
        <w:t>Hypersensitivity to the active substance or to any of the excipients listed in section</w:t>
      </w:r>
      <w:r w:rsidR="006B19C5">
        <w:rPr>
          <w:sz w:val="28"/>
          <w:szCs w:val="28"/>
        </w:rPr>
        <w:t xml:space="preserve"> </w:t>
      </w:r>
      <w:r w:rsidRPr="006B19C5">
        <w:rPr>
          <w:sz w:val="28"/>
          <w:szCs w:val="28"/>
        </w:rPr>
        <w:t>6.1.</w:t>
      </w:r>
    </w:p>
    <w:p w14:paraId="7F099B58" w14:textId="77777777" w:rsidR="004B09F3" w:rsidRPr="006B19C5" w:rsidRDefault="00000000" w:rsidP="006B19C5">
      <w:pPr>
        <w:numPr>
          <w:ilvl w:val="0"/>
          <w:numId w:val="7"/>
        </w:numPr>
        <w:spacing w:after="53" w:line="360" w:lineRule="auto"/>
        <w:rPr>
          <w:sz w:val="28"/>
          <w:szCs w:val="28"/>
        </w:rPr>
      </w:pPr>
      <w:r w:rsidRPr="006B19C5">
        <w:rPr>
          <w:sz w:val="28"/>
          <w:szCs w:val="28"/>
        </w:rPr>
        <w:t>Hepatic impairment</w:t>
      </w:r>
    </w:p>
    <w:p w14:paraId="2E997ECC" w14:textId="77777777" w:rsidR="004B09F3" w:rsidRPr="006B19C5" w:rsidRDefault="00000000" w:rsidP="006B19C5">
      <w:pPr>
        <w:numPr>
          <w:ilvl w:val="0"/>
          <w:numId w:val="7"/>
        </w:numPr>
        <w:spacing w:after="0" w:line="360" w:lineRule="auto"/>
        <w:ind w:left="1151" w:hanging="357"/>
        <w:rPr>
          <w:sz w:val="28"/>
          <w:szCs w:val="28"/>
        </w:rPr>
      </w:pPr>
      <w:r w:rsidRPr="006B19C5">
        <w:rPr>
          <w:sz w:val="28"/>
          <w:szCs w:val="28"/>
        </w:rPr>
        <w:t>Severe renal impairment</w:t>
      </w:r>
    </w:p>
    <w:p w14:paraId="51A22D4D" w14:textId="77777777" w:rsidR="004B09F3" w:rsidRPr="006B19C5" w:rsidRDefault="00000000" w:rsidP="006B19C5">
      <w:pPr>
        <w:numPr>
          <w:ilvl w:val="0"/>
          <w:numId w:val="7"/>
        </w:numPr>
        <w:spacing w:after="0" w:line="360" w:lineRule="auto"/>
        <w:ind w:left="1151" w:hanging="357"/>
        <w:rPr>
          <w:sz w:val="28"/>
          <w:szCs w:val="28"/>
        </w:rPr>
      </w:pPr>
      <w:r w:rsidRPr="006B19C5">
        <w:rPr>
          <w:sz w:val="28"/>
          <w:szCs w:val="28"/>
        </w:rPr>
        <w:t>History of/or pre-existing gall bladder or biliary tract disease, including gallstones</w:t>
      </w:r>
    </w:p>
    <w:p w14:paraId="55B0D0F7" w14:textId="77777777" w:rsidR="004B09F3" w:rsidRPr="006B19C5" w:rsidRDefault="00000000" w:rsidP="006B19C5">
      <w:pPr>
        <w:numPr>
          <w:ilvl w:val="0"/>
          <w:numId w:val="7"/>
        </w:numPr>
        <w:spacing w:after="77" w:line="360" w:lineRule="auto"/>
        <w:rPr>
          <w:sz w:val="28"/>
          <w:szCs w:val="28"/>
        </w:rPr>
      </w:pPr>
      <w:r w:rsidRPr="006B19C5">
        <w:rPr>
          <w:sz w:val="28"/>
          <w:szCs w:val="28"/>
        </w:rPr>
        <w:t>Concomitant use of repaglinide, dasabuvir, selexipag (see section 4.5), simvastatin, or rosuvastatin at 40 mg (see sections 4.4 and 4.5)</w:t>
      </w:r>
    </w:p>
    <w:p w14:paraId="7B4D8671" w14:textId="77777777" w:rsidR="004B09F3" w:rsidRPr="006B19C5" w:rsidRDefault="00000000" w:rsidP="006B19C5">
      <w:pPr>
        <w:numPr>
          <w:ilvl w:val="0"/>
          <w:numId w:val="2"/>
        </w:numPr>
        <w:spacing w:after="240" w:line="360" w:lineRule="auto"/>
        <w:ind w:left="731" w:hanging="357"/>
        <w:rPr>
          <w:sz w:val="28"/>
          <w:szCs w:val="28"/>
        </w:rPr>
      </w:pPr>
      <w:r w:rsidRPr="006B19C5">
        <w:rPr>
          <w:sz w:val="28"/>
          <w:szCs w:val="28"/>
        </w:rPr>
        <w:lastRenderedPageBreak/>
        <w:t>Patients with previous history of photoallergy or phototoxic reaction during treatment with fibrates</w:t>
      </w:r>
    </w:p>
    <w:p w14:paraId="56C234E6" w14:textId="77777777" w:rsidR="006B19C5" w:rsidRPr="006B19C5" w:rsidRDefault="00000000" w:rsidP="006B19C5">
      <w:pPr>
        <w:pStyle w:val="ListParagraph"/>
        <w:numPr>
          <w:ilvl w:val="1"/>
          <w:numId w:val="4"/>
        </w:numPr>
        <w:tabs>
          <w:tab w:val="center" w:pos="2865"/>
        </w:tabs>
        <w:spacing w:after="240" w:line="264" w:lineRule="auto"/>
        <w:ind w:left="788" w:hanging="431"/>
        <w:contextualSpacing w:val="0"/>
        <w:jc w:val="left"/>
        <w:rPr>
          <w:sz w:val="28"/>
          <w:szCs w:val="28"/>
        </w:rPr>
      </w:pPr>
      <w:r w:rsidRPr="006B19C5">
        <w:rPr>
          <w:b/>
          <w:sz w:val="28"/>
          <w:szCs w:val="28"/>
        </w:rPr>
        <w:t>Special warnings and special precautions for use</w:t>
      </w:r>
    </w:p>
    <w:p w14:paraId="07410093" w14:textId="77777777" w:rsidR="006B19C5" w:rsidRDefault="00000000" w:rsidP="006B19C5">
      <w:pPr>
        <w:pStyle w:val="ListParagraph"/>
        <w:tabs>
          <w:tab w:val="center" w:pos="2865"/>
        </w:tabs>
        <w:spacing w:after="240" w:line="264" w:lineRule="auto"/>
        <w:ind w:left="794" w:firstLine="0"/>
        <w:contextualSpacing w:val="0"/>
        <w:jc w:val="left"/>
        <w:rPr>
          <w:sz w:val="28"/>
          <w:szCs w:val="28"/>
          <w:u w:val="single"/>
        </w:rPr>
      </w:pPr>
      <w:r w:rsidRPr="006B19C5">
        <w:rPr>
          <w:sz w:val="28"/>
          <w:szCs w:val="28"/>
          <w:u w:val="single"/>
        </w:rPr>
        <w:t>Muscle disorders (myopathy/rhabdomyolysis)</w:t>
      </w:r>
    </w:p>
    <w:p w14:paraId="21429FFD" w14:textId="77777777" w:rsidR="006B19C5" w:rsidRDefault="00000000" w:rsidP="00110CD6">
      <w:pPr>
        <w:pStyle w:val="ListParagraph"/>
        <w:tabs>
          <w:tab w:val="center" w:pos="2865"/>
        </w:tabs>
        <w:spacing w:after="240" w:line="360" w:lineRule="auto"/>
        <w:ind w:left="794" w:firstLine="0"/>
        <w:contextualSpacing w:val="0"/>
        <w:jc w:val="thaiDistribute"/>
        <w:rPr>
          <w:rFonts w:cs="Times New Roman"/>
          <w:sz w:val="28"/>
          <w:szCs w:val="28"/>
        </w:rPr>
      </w:pPr>
      <w:r w:rsidRPr="006B19C5">
        <w:rPr>
          <w:rFonts w:cs="Times New Roman"/>
          <w:sz w:val="28"/>
          <w:szCs w:val="28"/>
        </w:rPr>
        <w:t>There have been reports of myositis, myopathy and markedly elevated creatine phosphokinase associated with gemfibrozil. Rhabdomyolysis has also been reported rarely.</w:t>
      </w:r>
    </w:p>
    <w:p w14:paraId="50264AD8" w14:textId="77777777" w:rsidR="006B19C5" w:rsidRDefault="00000000" w:rsidP="00110CD6">
      <w:pPr>
        <w:pStyle w:val="ListParagraph"/>
        <w:tabs>
          <w:tab w:val="center" w:pos="2865"/>
        </w:tabs>
        <w:spacing w:after="294" w:line="360" w:lineRule="auto"/>
        <w:ind w:left="792" w:firstLine="0"/>
        <w:jc w:val="thaiDistribute"/>
        <w:rPr>
          <w:rFonts w:cs="Times New Roman"/>
          <w:sz w:val="28"/>
          <w:szCs w:val="28"/>
        </w:rPr>
      </w:pPr>
      <w:r w:rsidRPr="006B19C5">
        <w:rPr>
          <w:rFonts w:cs="Times New Roman"/>
          <w:sz w:val="28"/>
          <w:szCs w:val="28"/>
        </w:rPr>
        <w:t>Muscle damage must be considered in any patient presenting with diffuse myalgia, muscle tenderness and/or marked increase in muscle CPK levels (&gt;5x ULN); under these conditions treatment must be discontinued.</w:t>
      </w:r>
    </w:p>
    <w:p w14:paraId="03789301" w14:textId="77777777" w:rsidR="006B19C5" w:rsidRDefault="00000000" w:rsidP="00110CD6">
      <w:pPr>
        <w:pStyle w:val="ListParagraph"/>
        <w:tabs>
          <w:tab w:val="center" w:pos="2865"/>
        </w:tabs>
        <w:spacing w:after="240" w:line="360" w:lineRule="auto"/>
        <w:ind w:left="794" w:firstLine="0"/>
        <w:contextualSpacing w:val="0"/>
        <w:jc w:val="thaiDistribute"/>
        <w:rPr>
          <w:rFonts w:cs="Times New Roman"/>
          <w:sz w:val="28"/>
          <w:szCs w:val="28"/>
          <w:u w:val="single"/>
        </w:rPr>
      </w:pPr>
      <w:r w:rsidRPr="006B19C5">
        <w:rPr>
          <w:rFonts w:cs="Times New Roman"/>
          <w:sz w:val="28"/>
          <w:szCs w:val="28"/>
          <w:u w:val="single"/>
        </w:rPr>
        <w:t>Concomitant HMG CoA reductase inhibitors</w:t>
      </w:r>
    </w:p>
    <w:p w14:paraId="1F5096D1" w14:textId="77777777" w:rsidR="00110CD6" w:rsidRDefault="00000000" w:rsidP="00110CD6">
      <w:pPr>
        <w:pStyle w:val="ListParagraph"/>
        <w:tabs>
          <w:tab w:val="center" w:pos="2865"/>
        </w:tabs>
        <w:spacing w:after="240" w:line="360" w:lineRule="auto"/>
        <w:ind w:left="794" w:firstLine="0"/>
        <w:contextualSpacing w:val="0"/>
        <w:jc w:val="thaiDistribute"/>
        <w:rPr>
          <w:rFonts w:cs="Times New Roman"/>
          <w:sz w:val="28"/>
          <w:szCs w:val="28"/>
        </w:rPr>
      </w:pPr>
      <w:r w:rsidRPr="006B19C5">
        <w:rPr>
          <w:rFonts w:cs="Times New Roman"/>
          <w:sz w:val="28"/>
          <w:szCs w:val="28"/>
        </w:rPr>
        <w:t>The concomitant administration of gemfibrozil with simvastatin, as well as with rosuvastatin at 40 mg is contraindicated. Concomitant therapy of gemfibrozil with lower doses of rosuvastatin should be used only when the benefit outweighs the risks. There have been reports of severe myositis with markedly elevated creatine kinase and myoglobinuria (rhabdomyolysis) when gemfibrozil and HMG CoA reductase inhibitors were used concomitantly (see sections 4.3 and 4.5). Pharmacokinetic interactions may also be present (see also section 4.5) and dosage adjustments may be necessary.</w:t>
      </w:r>
    </w:p>
    <w:p w14:paraId="5C01E147" w14:textId="77777777" w:rsidR="00110CD6" w:rsidRDefault="00000000" w:rsidP="00110CD6">
      <w:pPr>
        <w:pStyle w:val="ListParagraph"/>
        <w:tabs>
          <w:tab w:val="center" w:pos="2865"/>
        </w:tabs>
        <w:spacing w:after="240" w:line="360" w:lineRule="auto"/>
        <w:ind w:left="794" w:firstLine="0"/>
        <w:contextualSpacing w:val="0"/>
        <w:jc w:val="thaiDistribute"/>
        <w:rPr>
          <w:rFonts w:cs="Times New Roman"/>
          <w:sz w:val="28"/>
          <w:szCs w:val="28"/>
        </w:rPr>
      </w:pPr>
      <w:r w:rsidRPr="006B19C5">
        <w:rPr>
          <w:rFonts w:cs="Times New Roman"/>
          <w:sz w:val="28"/>
          <w:szCs w:val="28"/>
        </w:rPr>
        <w:t xml:space="preserve">The benefit of further alterations in lipid levels by the combined use of gemfibrozil and HMG-CoA reductase inhibitors should be carefully </w:t>
      </w:r>
      <w:r w:rsidRPr="006B19C5">
        <w:rPr>
          <w:rFonts w:cs="Times New Roman"/>
          <w:sz w:val="28"/>
          <w:szCs w:val="28"/>
        </w:rPr>
        <w:lastRenderedPageBreak/>
        <w:t>weighed against the potential risks of such combinations and clinical monitoring is recommended.</w:t>
      </w:r>
    </w:p>
    <w:p w14:paraId="2C6BE221" w14:textId="12518256" w:rsidR="004B09F3" w:rsidRPr="00110CD6" w:rsidRDefault="00000000" w:rsidP="00110CD6">
      <w:pPr>
        <w:pStyle w:val="ListParagraph"/>
        <w:tabs>
          <w:tab w:val="center" w:pos="2865"/>
        </w:tabs>
        <w:spacing w:after="240" w:line="360" w:lineRule="auto"/>
        <w:ind w:left="794" w:firstLine="0"/>
        <w:contextualSpacing w:val="0"/>
        <w:jc w:val="thaiDistribute"/>
        <w:rPr>
          <w:sz w:val="28"/>
          <w:szCs w:val="28"/>
          <w:u w:val="single"/>
        </w:rPr>
      </w:pPr>
      <w:r w:rsidRPr="006B19C5">
        <w:rPr>
          <w:rFonts w:cs="Times New Roman"/>
          <w:sz w:val="28"/>
          <w:szCs w:val="28"/>
        </w:rPr>
        <w:t>A creatine phosphokinase (CPK) level should be measured before starting such a combination in patients with pre-disposing factors for rhabdomyolysis as follows:</w:t>
      </w:r>
    </w:p>
    <w:p w14:paraId="41CEC9CE" w14:textId="77777777" w:rsidR="004B09F3" w:rsidRPr="00110CD6" w:rsidRDefault="00000000" w:rsidP="00110CD6">
      <w:pPr>
        <w:pStyle w:val="ListParagraph"/>
        <w:numPr>
          <w:ilvl w:val="0"/>
          <w:numId w:val="8"/>
        </w:numPr>
        <w:spacing w:after="51" w:line="360" w:lineRule="auto"/>
        <w:rPr>
          <w:sz w:val="28"/>
          <w:szCs w:val="28"/>
        </w:rPr>
      </w:pPr>
      <w:r w:rsidRPr="00110CD6">
        <w:rPr>
          <w:sz w:val="28"/>
          <w:szCs w:val="28"/>
        </w:rPr>
        <w:t>renal impairment</w:t>
      </w:r>
    </w:p>
    <w:p w14:paraId="3520B80E" w14:textId="77777777" w:rsidR="004B09F3" w:rsidRPr="00110CD6" w:rsidRDefault="00000000" w:rsidP="00110CD6">
      <w:pPr>
        <w:pStyle w:val="ListParagraph"/>
        <w:numPr>
          <w:ilvl w:val="0"/>
          <w:numId w:val="8"/>
        </w:numPr>
        <w:spacing w:after="51" w:line="360" w:lineRule="auto"/>
        <w:rPr>
          <w:sz w:val="28"/>
          <w:szCs w:val="28"/>
        </w:rPr>
      </w:pPr>
      <w:r w:rsidRPr="00110CD6">
        <w:rPr>
          <w:sz w:val="28"/>
          <w:szCs w:val="28"/>
        </w:rPr>
        <w:t>hypothyroidism</w:t>
      </w:r>
    </w:p>
    <w:p w14:paraId="4341D138" w14:textId="77777777" w:rsidR="004B09F3" w:rsidRPr="00110CD6" w:rsidRDefault="00000000" w:rsidP="00110CD6">
      <w:pPr>
        <w:pStyle w:val="ListParagraph"/>
        <w:numPr>
          <w:ilvl w:val="0"/>
          <w:numId w:val="8"/>
        </w:numPr>
        <w:spacing w:after="51" w:line="360" w:lineRule="auto"/>
        <w:rPr>
          <w:sz w:val="28"/>
          <w:szCs w:val="28"/>
        </w:rPr>
      </w:pPr>
      <w:r w:rsidRPr="00110CD6">
        <w:rPr>
          <w:sz w:val="28"/>
          <w:szCs w:val="28"/>
        </w:rPr>
        <w:t>alcohol abuse</w:t>
      </w:r>
    </w:p>
    <w:p w14:paraId="4F042CE8" w14:textId="77777777" w:rsidR="004B09F3" w:rsidRPr="00110CD6" w:rsidRDefault="00000000" w:rsidP="00110CD6">
      <w:pPr>
        <w:pStyle w:val="ListParagraph"/>
        <w:numPr>
          <w:ilvl w:val="0"/>
          <w:numId w:val="8"/>
        </w:numPr>
        <w:spacing w:after="54" w:line="360" w:lineRule="auto"/>
        <w:rPr>
          <w:sz w:val="28"/>
          <w:szCs w:val="28"/>
        </w:rPr>
      </w:pPr>
      <w:r w:rsidRPr="00110CD6">
        <w:rPr>
          <w:sz w:val="28"/>
          <w:szCs w:val="28"/>
        </w:rPr>
        <w:t>age &gt; 70 years</w:t>
      </w:r>
    </w:p>
    <w:p w14:paraId="6E3B98C5" w14:textId="77777777" w:rsidR="004B09F3" w:rsidRPr="00110CD6" w:rsidRDefault="00000000" w:rsidP="00110CD6">
      <w:pPr>
        <w:pStyle w:val="ListParagraph"/>
        <w:numPr>
          <w:ilvl w:val="0"/>
          <w:numId w:val="8"/>
        </w:numPr>
        <w:spacing w:after="55" w:line="360" w:lineRule="auto"/>
        <w:rPr>
          <w:sz w:val="28"/>
          <w:szCs w:val="28"/>
        </w:rPr>
      </w:pPr>
      <w:r w:rsidRPr="00110CD6">
        <w:rPr>
          <w:sz w:val="28"/>
          <w:szCs w:val="28"/>
        </w:rPr>
        <w:t>personal or family history of hereditary muscular disorders</w:t>
      </w:r>
    </w:p>
    <w:p w14:paraId="6F90721D" w14:textId="77777777" w:rsidR="00110CD6" w:rsidRDefault="00000000" w:rsidP="00110CD6">
      <w:pPr>
        <w:pStyle w:val="ListParagraph"/>
        <w:numPr>
          <w:ilvl w:val="0"/>
          <w:numId w:val="8"/>
        </w:numPr>
        <w:spacing w:after="240" w:line="360" w:lineRule="auto"/>
        <w:ind w:hanging="357"/>
        <w:contextualSpacing w:val="0"/>
        <w:rPr>
          <w:sz w:val="28"/>
          <w:szCs w:val="28"/>
        </w:rPr>
      </w:pPr>
      <w:r w:rsidRPr="00110CD6">
        <w:rPr>
          <w:sz w:val="28"/>
          <w:szCs w:val="28"/>
        </w:rPr>
        <w:t>previous history of muscular toxicity with another fibrate or HMG-CoA reductase inhibitor</w:t>
      </w:r>
    </w:p>
    <w:p w14:paraId="305D7DA4" w14:textId="77777777" w:rsidR="00110CD6" w:rsidRDefault="00000000" w:rsidP="00110CD6">
      <w:pPr>
        <w:spacing w:after="240" w:line="360" w:lineRule="auto"/>
        <w:ind w:left="737" w:firstLine="0"/>
        <w:rPr>
          <w:sz w:val="28"/>
          <w:szCs w:val="28"/>
        </w:rPr>
      </w:pPr>
      <w:r w:rsidRPr="00110CD6">
        <w:rPr>
          <w:sz w:val="28"/>
          <w:szCs w:val="28"/>
        </w:rPr>
        <w:t>In most subjects who have had an unsatisfactory lipid response to either drug alone, the possible benefits of combined therapy with HMG-CoA reductase inhibitors and gemfibrozil does not outweigh the risks of severe myopathy, rhabdomyolysis and acute renal failure.</w:t>
      </w:r>
    </w:p>
    <w:p w14:paraId="4455BB72" w14:textId="77777777" w:rsidR="00110CD6" w:rsidRPr="00110CD6" w:rsidRDefault="00000000" w:rsidP="00110CD6">
      <w:pPr>
        <w:spacing w:after="240" w:line="360" w:lineRule="auto"/>
        <w:ind w:left="737" w:firstLine="0"/>
        <w:rPr>
          <w:sz w:val="28"/>
          <w:szCs w:val="28"/>
          <w:u w:val="single"/>
        </w:rPr>
      </w:pPr>
      <w:r w:rsidRPr="00110CD6">
        <w:rPr>
          <w:sz w:val="28"/>
          <w:szCs w:val="28"/>
          <w:u w:val="single"/>
        </w:rPr>
        <w:t>Use in patients with gallstone formation</w:t>
      </w:r>
    </w:p>
    <w:p w14:paraId="343BC4E4" w14:textId="7E84B662" w:rsidR="00110CD6" w:rsidRDefault="00110CD6" w:rsidP="00110CD6">
      <w:pPr>
        <w:spacing w:after="240" w:line="360" w:lineRule="auto"/>
        <w:ind w:left="737" w:firstLine="0"/>
        <w:rPr>
          <w:sz w:val="28"/>
          <w:szCs w:val="28"/>
        </w:rPr>
      </w:pPr>
      <w:r w:rsidRPr="00110CD6">
        <w:rPr>
          <w:sz w:val="28"/>
          <w:szCs w:val="28"/>
        </w:rPr>
        <w:t>Gemfibrozil may increase cholesterol excretion into the bile raising the potential for gallstone formation. Cases of cholelithiasis have been reported with gemfibrozil therapy. If cholelithiasis is suspected, gallbladder studies are indicated. Gemfibrozil therapy should be discontinued if gallstones are found</w:t>
      </w:r>
    </w:p>
    <w:p w14:paraId="74D63BB8" w14:textId="77777777" w:rsidR="00110CD6" w:rsidRPr="00110CD6" w:rsidRDefault="00000000" w:rsidP="00110CD6">
      <w:pPr>
        <w:pStyle w:val="Heading3"/>
        <w:spacing w:after="240" w:line="360" w:lineRule="auto"/>
        <w:ind w:left="731" w:hanging="11"/>
        <w:jc w:val="thaiDistribute"/>
        <w:rPr>
          <w:sz w:val="28"/>
          <w:szCs w:val="28"/>
          <w:u w:val="none"/>
        </w:rPr>
      </w:pPr>
      <w:r w:rsidRPr="00110CD6">
        <w:rPr>
          <w:sz w:val="28"/>
          <w:szCs w:val="28"/>
          <w:u w:val="none"/>
        </w:rPr>
        <w:lastRenderedPageBreak/>
        <w:t>Monitoring serum lipids</w:t>
      </w:r>
    </w:p>
    <w:p w14:paraId="7ED012B1" w14:textId="4EA04079" w:rsidR="004B09F3" w:rsidRPr="00110CD6" w:rsidRDefault="00000000" w:rsidP="00110CD6">
      <w:pPr>
        <w:pStyle w:val="Heading3"/>
        <w:spacing w:after="240" w:line="360" w:lineRule="auto"/>
        <w:ind w:left="731" w:hanging="11"/>
        <w:jc w:val="thaiDistribute"/>
        <w:rPr>
          <w:sz w:val="28"/>
          <w:szCs w:val="28"/>
          <w:u w:val="none"/>
        </w:rPr>
      </w:pPr>
      <w:r w:rsidRPr="00110CD6">
        <w:rPr>
          <w:sz w:val="28"/>
          <w:szCs w:val="28"/>
          <w:u w:val="none"/>
        </w:rPr>
        <w:t>Periodic determinations of serum lipids are necessary during treatment with gemfibrozil. Sometimes a paradoxical increase of (total and LDL) cholesterol can occur in patients with hypertriglyceridaemia. If the response is insufficient after 3 months of therapy at recommended doses treatment should be discontinued and alternative treatment methods considered.</w:t>
      </w:r>
    </w:p>
    <w:p w14:paraId="2E1D45ED" w14:textId="77777777" w:rsidR="00110CD6" w:rsidRDefault="00000000" w:rsidP="00110CD6">
      <w:pPr>
        <w:pStyle w:val="Heading3"/>
        <w:spacing w:after="240" w:line="360" w:lineRule="auto"/>
        <w:ind w:left="714" w:hanging="11"/>
        <w:rPr>
          <w:sz w:val="28"/>
          <w:szCs w:val="28"/>
        </w:rPr>
      </w:pPr>
      <w:r w:rsidRPr="006B19C5">
        <w:rPr>
          <w:sz w:val="28"/>
          <w:szCs w:val="28"/>
        </w:rPr>
        <w:t>Monitoring liver function</w:t>
      </w:r>
    </w:p>
    <w:p w14:paraId="7335F48A" w14:textId="7F9FBCDC" w:rsidR="004B09F3"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Elevated levels of ALAT, ASAT, alkaline phosphatase, LDH, CK and bilirubin have been reported. These are usually reversible when gemfibrozil is discontinued. Therefore liver function tests should be performed periodically. Gemfibrozil therapy should be terminated if abnormalities persist.</w:t>
      </w:r>
    </w:p>
    <w:p w14:paraId="246C0C4B" w14:textId="77777777" w:rsidR="00110CD6" w:rsidRDefault="00000000" w:rsidP="00110CD6">
      <w:pPr>
        <w:pStyle w:val="Heading3"/>
        <w:spacing w:after="240" w:line="360" w:lineRule="auto"/>
        <w:ind w:left="714" w:hanging="11"/>
        <w:rPr>
          <w:sz w:val="28"/>
          <w:szCs w:val="28"/>
        </w:rPr>
      </w:pPr>
      <w:r w:rsidRPr="006B19C5">
        <w:rPr>
          <w:sz w:val="28"/>
          <w:szCs w:val="28"/>
        </w:rPr>
        <w:t>Monitoring blood counts</w:t>
      </w:r>
    </w:p>
    <w:p w14:paraId="4982C341" w14:textId="17E76DCD" w:rsidR="004B09F3" w:rsidRPr="006B19C5" w:rsidRDefault="00000000" w:rsidP="00110CD6">
      <w:pPr>
        <w:pStyle w:val="Heading3"/>
        <w:spacing w:after="240" w:line="360" w:lineRule="auto"/>
        <w:ind w:left="714" w:hanging="11"/>
        <w:jc w:val="thaiDistribute"/>
        <w:rPr>
          <w:sz w:val="28"/>
          <w:szCs w:val="28"/>
        </w:rPr>
      </w:pPr>
      <w:r w:rsidRPr="00110CD6">
        <w:rPr>
          <w:sz w:val="28"/>
          <w:szCs w:val="28"/>
          <w:u w:val="none"/>
        </w:rPr>
        <w:t>Periodic blood count determinations are recommended during the first 12 months of gemfibrozil administration. Anaemia, leucopenia, thrombocytopenia, eosinophilia and bone marrow hypoplasia have been reported rarely (see section 4.8</w:t>
      </w:r>
      <w:r w:rsidRPr="006B19C5">
        <w:rPr>
          <w:sz w:val="28"/>
          <w:szCs w:val="28"/>
        </w:rPr>
        <w:t>).</w:t>
      </w:r>
    </w:p>
    <w:p w14:paraId="2795B669" w14:textId="77777777" w:rsidR="00110CD6" w:rsidRDefault="00110CD6">
      <w:pPr>
        <w:spacing w:after="160" w:line="278" w:lineRule="auto"/>
        <w:ind w:left="0" w:firstLine="0"/>
        <w:jc w:val="left"/>
        <w:rPr>
          <w:sz w:val="28"/>
          <w:szCs w:val="28"/>
          <w:u w:val="single" w:color="000000"/>
        </w:rPr>
      </w:pPr>
      <w:r>
        <w:rPr>
          <w:sz w:val="28"/>
          <w:szCs w:val="28"/>
        </w:rPr>
        <w:br w:type="page"/>
      </w:r>
    </w:p>
    <w:p w14:paraId="73FB21FE" w14:textId="6E96BB20" w:rsidR="00110CD6" w:rsidRDefault="00000000" w:rsidP="00110CD6">
      <w:pPr>
        <w:pStyle w:val="Heading3"/>
        <w:spacing w:after="240"/>
        <w:ind w:left="714" w:hanging="11"/>
        <w:rPr>
          <w:sz w:val="28"/>
          <w:szCs w:val="28"/>
        </w:rPr>
      </w:pPr>
      <w:r w:rsidRPr="006B19C5">
        <w:rPr>
          <w:sz w:val="28"/>
          <w:szCs w:val="28"/>
        </w:rPr>
        <w:lastRenderedPageBreak/>
        <w:t>Interactions with other medicinal products (see also sections 4.3 and 4.5)</w:t>
      </w:r>
    </w:p>
    <w:p w14:paraId="609DDC7B" w14:textId="77777777" w:rsidR="00110CD6" w:rsidRPr="00110CD6" w:rsidRDefault="00000000" w:rsidP="00110CD6">
      <w:pPr>
        <w:pStyle w:val="Heading3"/>
        <w:spacing w:after="240"/>
        <w:ind w:left="714" w:hanging="11"/>
        <w:jc w:val="thaiDistribute"/>
        <w:rPr>
          <w:b/>
          <w:bCs/>
          <w:i/>
          <w:sz w:val="28"/>
          <w:szCs w:val="28"/>
          <w:u w:val="none"/>
        </w:rPr>
      </w:pPr>
      <w:r w:rsidRPr="00110CD6">
        <w:rPr>
          <w:b/>
          <w:bCs/>
          <w:i/>
          <w:sz w:val="28"/>
          <w:szCs w:val="28"/>
          <w:u w:val="none"/>
        </w:rPr>
        <w:t>Concomitant use with CYP2C8, CYP2C9, CYP2C19, CYP1A2, UGTA1, UGTA3 and</w:t>
      </w:r>
      <w:r w:rsidR="00110CD6" w:rsidRPr="00110CD6">
        <w:rPr>
          <w:b/>
          <w:bCs/>
          <w:i/>
          <w:sz w:val="28"/>
          <w:szCs w:val="28"/>
          <w:u w:val="none"/>
        </w:rPr>
        <w:t xml:space="preserve"> </w:t>
      </w:r>
      <w:r w:rsidRPr="00110CD6">
        <w:rPr>
          <w:b/>
          <w:bCs/>
          <w:i/>
          <w:sz w:val="28"/>
          <w:szCs w:val="28"/>
          <w:u w:val="none"/>
        </w:rPr>
        <w:t>OATP1B1 substrates</w:t>
      </w:r>
    </w:p>
    <w:p w14:paraId="78B8FBFE" w14:textId="77777777" w:rsidR="00110CD6"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The interaction profile of gemfibrozil is complex resulting in increased exposure of many medicinal products if administered concomitantly with gemfibrozil.</w:t>
      </w:r>
    </w:p>
    <w:p w14:paraId="5103DE9C" w14:textId="0B1D28F5" w:rsidR="004B09F3"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Gemfibrozil potently inhibits CYP2C8, CYP2C9, CYP2C19, CYP1A2, and UDP glucuronyltransferase (UGTA1 and UGTA3) enzymes and also inhibits organic aniontransporting polypeptide 1B1 (OATP1B1) (see section 4.5). In addition, gemfibrozil is metabolised to gemfibrozil 1-O-</w:t>
      </w:r>
      <w:r w:rsidRPr="00110CD6">
        <w:rPr>
          <w:rFonts w:eastAsia="Arial"/>
          <w:sz w:val="28"/>
          <w:szCs w:val="28"/>
          <w:u w:val="none"/>
        </w:rPr>
        <w:t>β</w:t>
      </w:r>
      <w:r w:rsidRPr="00110CD6">
        <w:rPr>
          <w:sz w:val="28"/>
          <w:szCs w:val="28"/>
          <w:u w:val="none"/>
        </w:rPr>
        <w:t>-glucuronide which also inhibits CYP2C8 and OATP1B1</w:t>
      </w:r>
      <w:r w:rsidRPr="006B19C5">
        <w:rPr>
          <w:sz w:val="28"/>
          <w:szCs w:val="28"/>
        </w:rPr>
        <w:t>.</w:t>
      </w:r>
    </w:p>
    <w:p w14:paraId="0E4A396B" w14:textId="77777777" w:rsidR="00110CD6" w:rsidRDefault="00000000" w:rsidP="00110CD6">
      <w:pPr>
        <w:spacing w:after="240" w:line="259" w:lineRule="auto"/>
        <w:ind w:left="731" w:hanging="11"/>
        <w:jc w:val="left"/>
        <w:rPr>
          <w:b/>
          <w:bCs/>
          <w:sz w:val="28"/>
          <w:szCs w:val="28"/>
        </w:rPr>
      </w:pPr>
      <w:r w:rsidRPr="00110CD6">
        <w:rPr>
          <w:b/>
          <w:bCs/>
          <w:i/>
          <w:sz w:val="28"/>
          <w:szCs w:val="28"/>
        </w:rPr>
        <w:t>Concomitant use with hypoglycaemic agents</w:t>
      </w:r>
    </w:p>
    <w:p w14:paraId="728F7F58" w14:textId="68D6AA25" w:rsidR="004B09F3" w:rsidRPr="00110CD6" w:rsidRDefault="00000000" w:rsidP="00110CD6">
      <w:pPr>
        <w:spacing w:after="240" w:line="360" w:lineRule="auto"/>
        <w:ind w:left="731" w:hanging="11"/>
        <w:jc w:val="thaiDistribute"/>
        <w:rPr>
          <w:b/>
          <w:bCs/>
          <w:sz w:val="28"/>
          <w:szCs w:val="28"/>
        </w:rPr>
      </w:pPr>
      <w:r w:rsidRPr="006B19C5">
        <w:rPr>
          <w:sz w:val="28"/>
          <w:szCs w:val="28"/>
        </w:rPr>
        <w:t>There have been reports of hypoglycaemic reactions after concomitant use with gemfibrozil and hypoglycaemic agents (oral agents and insulin). Monitoring of glucose levels is recommended.</w:t>
      </w:r>
    </w:p>
    <w:p w14:paraId="31FF3B86" w14:textId="77777777" w:rsidR="00110CD6" w:rsidRDefault="00000000" w:rsidP="00110CD6">
      <w:pPr>
        <w:spacing w:after="240" w:line="259" w:lineRule="auto"/>
        <w:ind w:left="731" w:hanging="11"/>
        <w:jc w:val="left"/>
        <w:rPr>
          <w:b/>
          <w:bCs/>
          <w:sz w:val="28"/>
          <w:szCs w:val="28"/>
        </w:rPr>
      </w:pPr>
      <w:r w:rsidRPr="00110CD6">
        <w:rPr>
          <w:b/>
          <w:bCs/>
          <w:i/>
          <w:sz w:val="28"/>
          <w:szCs w:val="28"/>
        </w:rPr>
        <w:t>Concomitant anticoagulants</w:t>
      </w:r>
    </w:p>
    <w:p w14:paraId="77F43575" w14:textId="7EB99E6A" w:rsidR="004B09F3" w:rsidRPr="00110CD6" w:rsidRDefault="00000000" w:rsidP="00110CD6">
      <w:pPr>
        <w:spacing w:after="29" w:line="360" w:lineRule="auto"/>
        <w:ind w:left="730" w:hanging="10"/>
        <w:jc w:val="thaiDistribute"/>
        <w:rPr>
          <w:b/>
          <w:bCs/>
          <w:sz w:val="28"/>
          <w:szCs w:val="28"/>
        </w:rPr>
      </w:pPr>
      <w:r w:rsidRPr="006B19C5">
        <w:rPr>
          <w:sz w:val="28"/>
          <w:szCs w:val="28"/>
        </w:rPr>
        <w:t xml:space="preserve">Gemfibrozil may potentiate the effects of coumarin type vitamin K antagonist anticoagulants such as warfarin, acenocoumarol, or phenprocoumon. The concomitant administration of gemfibrozil with these anticoagulants necessitates careful monitoring of prothrombin time (INR - International Normalised Ratio). Caution should be exercised when such a coumarin type vitamin K antagonist anticoagulant is given concomitantly with gemfibrozil. The dosage of the </w:t>
      </w:r>
      <w:r w:rsidRPr="006B19C5">
        <w:rPr>
          <w:sz w:val="28"/>
          <w:szCs w:val="28"/>
        </w:rPr>
        <w:lastRenderedPageBreak/>
        <w:t>anticoagulant may need to be reduced to maintain desired prothrombin time levels (see section 4.5).</w:t>
      </w:r>
    </w:p>
    <w:p w14:paraId="6ABBA8B7" w14:textId="77777777" w:rsidR="00110CD6" w:rsidRDefault="00000000" w:rsidP="00110CD6">
      <w:pPr>
        <w:pStyle w:val="Heading3"/>
        <w:spacing w:after="240"/>
        <w:ind w:left="714" w:hanging="11"/>
        <w:rPr>
          <w:sz w:val="28"/>
          <w:szCs w:val="28"/>
        </w:rPr>
      </w:pPr>
      <w:r w:rsidRPr="006B19C5">
        <w:rPr>
          <w:sz w:val="28"/>
          <w:szCs w:val="28"/>
        </w:rPr>
        <w:t>Dietary sodium</w:t>
      </w:r>
    </w:p>
    <w:p w14:paraId="64F5A783" w14:textId="7A4EDF32" w:rsidR="00110CD6" w:rsidRPr="00110CD6" w:rsidRDefault="00110CD6" w:rsidP="00110CD6">
      <w:pPr>
        <w:pStyle w:val="Heading3"/>
        <w:spacing w:after="240"/>
        <w:ind w:left="714" w:hanging="11"/>
        <w:rPr>
          <w:sz w:val="28"/>
          <w:szCs w:val="28"/>
          <w:u w:val="none"/>
        </w:rPr>
      </w:pPr>
      <w:r w:rsidRPr="00110CD6">
        <w:rPr>
          <w:color w:val="FF0000"/>
          <w:sz w:val="28"/>
          <w:szCs w:val="28"/>
          <w:u w:val="none"/>
        </w:rPr>
        <w:t>&lt;REGARDING THE APPROVAL&gt;</w:t>
      </w:r>
    </w:p>
    <w:p w14:paraId="3C76F2C9" w14:textId="77777777" w:rsidR="00110CD6" w:rsidRDefault="00000000" w:rsidP="00110CD6">
      <w:pPr>
        <w:pStyle w:val="Heading4"/>
        <w:numPr>
          <w:ilvl w:val="1"/>
          <w:numId w:val="4"/>
        </w:numPr>
        <w:tabs>
          <w:tab w:val="center" w:pos="3990"/>
        </w:tabs>
        <w:spacing w:line="360" w:lineRule="auto"/>
        <w:rPr>
          <w:sz w:val="28"/>
          <w:szCs w:val="28"/>
        </w:rPr>
      </w:pPr>
      <w:r w:rsidRPr="006B19C5">
        <w:rPr>
          <w:sz w:val="28"/>
          <w:szCs w:val="28"/>
        </w:rPr>
        <w:t>Interaction with other medicinal products and other forms of interaction</w:t>
      </w:r>
    </w:p>
    <w:p w14:paraId="1EEA7BF8" w14:textId="0CA465F0" w:rsidR="004B09F3" w:rsidRPr="00110CD6" w:rsidRDefault="00000000" w:rsidP="00110CD6">
      <w:pPr>
        <w:pStyle w:val="Heading4"/>
        <w:tabs>
          <w:tab w:val="center" w:pos="3990"/>
        </w:tabs>
        <w:spacing w:after="240" w:line="360" w:lineRule="auto"/>
        <w:ind w:left="794" w:firstLine="0"/>
        <w:jc w:val="thaiDistribute"/>
        <w:rPr>
          <w:b w:val="0"/>
          <w:bCs/>
          <w:sz w:val="28"/>
          <w:szCs w:val="28"/>
        </w:rPr>
      </w:pPr>
      <w:r w:rsidRPr="00110CD6">
        <w:rPr>
          <w:b w:val="0"/>
          <w:bCs/>
          <w:sz w:val="28"/>
          <w:szCs w:val="28"/>
        </w:rPr>
        <w:t>The interaction profile of gemfibrozil is complex. In vivo studies indicate that gemfibrozil and its metabolite gemfibrozil 1-O-</w:t>
      </w:r>
      <w:r w:rsidRPr="00110CD6">
        <w:rPr>
          <w:rFonts w:eastAsia="Arial"/>
          <w:b w:val="0"/>
          <w:bCs/>
          <w:sz w:val="28"/>
          <w:szCs w:val="28"/>
        </w:rPr>
        <w:t>β</w:t>
      </w:r>
      <w:r w:rsidRPr="00110CD6">
        <w:rPr>
          <w:b w:val="0"/>
          <w:bCs/>
          <w:sz w:val="28"/>
          <w:szCs w:val="28"/>
        </w:rPr>
        <w:t>-glucuronide are potent inhibitors of CYP2C8 (an enzyme important for the metabolism of e.g. dabrafenib, enzalutamide, loperamide, montelukast, repaglinide, rosiglitazone, pioglitazone, dasabuvir, selexipag and paclitaxel). Coadministration of gemfibrozil with repaglinide, dasabuvir or selexipag is contraindicated (see section 4.3). In addition, dosing reduction of drugs that are mainly metabolised by CYP2C8 enzyme may be required when gemfibrozil is used concomitantly. In vitro studies have shown that gemfibrozil is a strong inhibitor of CYP2C9 (an enzyme involved in the metabolism of e.g. warfarin and glimepiride), but also of CYP 2C19,</w:t>
      </w:r>
      <w:r w:rsidR="00110CD6" w:rsidRPr="00110CD6">
        <w:rPr>
          <w:b w:val="0"/>
          <w:bCs/>
          <w:sz w:val="28"/>
          <w:szCs w:val="28"/>
        </w:rPr>
        <w:t xml:space="preserve"> </w:t>
      </w:r>
      <w:r w:rsidRPr="00110CD6">
        <w:rPr>
          <w:b w:val="0"/>
          <w:bCs/>
          <w:sz w:val="28"/>
          <w:szCs w:val="28"/>
        </w:rPr>
        <w:t>CYP1A2,</w:t>
      </w:r>
      <w:r w:rsidR="00110CD6" w:rsidRPr="00110CD6">
        <w:rPr>
          <w:b w:val="0"/>
          <w:bCs/>
          <w:sz w:val="28"/>
          <w:szCs w:val="28"/>
        </w:rPr>
        <w:t xml:space="preserve"> </w:t>
      </w:r>
      <w:r w:rsidRPr="00110CD6">
        <w:rPr>
          <w:b w:val="0"/>
          <w:bCs/>
          <w:sz w:val="28"/>
          <w:szCs w:val="28"/>
        </w:rPr>
        <w:t>OATP1B1</w:t>
      </w:r>
      <w:r w:rsidR="00110CD6" w:rsidRPr="00110CD6">
        <w:rPr>
          <w:b w:val="0"/>
          <w:bCs/>
          <w:sz w:val="28"/>
          <w:szCs w:val="28"/>
        </w:rPr>
        <w:t xml:space="preserve"> </w:t>
      </w:r>
      <w:r w:rsidRPr="00110CD6">
        <w:rPr>
          <w:b w:val="0"/>
          <w:bCs/>
          <w:sz w:val="28"/>
          <w:szCs w:val="28"/>
        </w:rPr>
        <w:t>and</w:t>
      </w:r>
      <w:r w:rsidR="00110CD6" w:rsidRPr="00110CD6">
        <w:rPr>
          <w:b w:val="0"/>
          <w:bCs/>
          <w:sz w:val="28"/>
          <w:szCs w:val="28"/>
        </w:rPr>
        <w:t xml:space="preserve"> </w:t>
      </w:r>
      <w:r w:rsidRPr="00110CD6">
        <w:rPr>
          <w:b w:val="0"/>
          <w:bCs/>
          <w:sz w:val="28"/>
          <w:szCs w:val="28"/>
        </w:rPr>
        <w:t>UGTA1</w:t>
      </w:r>
      <w:r w:rsidR="00110CD6" w:rsidRPr="00110CD6">
        <w:rPr>
          <w:b w:val="0"/>
          <w:bCs/>
          <w:sz w:val="28"/>
          <w:szCs w:val="28"/>
        </w:rPr>
        <w:t xml:space="preserve"> </w:t>
      </w:r>
      <w:r w:rsidRPr="00110CD6">
        <w:rPr>
          <w:b w:val="0"/>
          <w:bCs/>
          <w:sz w:val="28"/>
          <w:szCs w:val="28"/>
        </w:rPr>
        <w:t>and</w:t>
      </w:r>
      <w:r w:rsidR="00110CD6" w:rsidRPr="00110CD6">
        <w:rPr>
          <w:b w:val="0"/>
          <w:bCs/>
          <w:sz w:val="28"/>
          <w:szCs w:val="28"/>
        </w:rPr>
        <w:t xml:space="preserve"> </w:t>
      </w:r>
      <w:r w:rsidRPr="00110CD6">
        <w:rPr>
          <w:b w:val="0"/>
          <w:bCs/>
          <w:sz w:val="28"/>
          <w:szCs w:val="28"/>
        </w:rPr>
        <w:t>UGTA3</w:t>
      </w:r>
      <w:r w:rsidR="00110CD6" w:rsidRPr="00110CD6">
        <w:rPr>
          <w:b w:val="0"/>
          <w:bCs/>
          <w:sz w:val="28"/>
          <w:szCs w:val="28"/>
        </w:rPr>
        <w:t xml:space="preserve"> </w:t>
      </w:r>
      <w:r w:rsidRPr="00110CD6">
        <w:rPr>
          <w:b w:val="0"/>
          <w:bCs/>
          <w:sz w:val="28"/>
          <w:szCs w:val="28"/>
        </w:rPr>
        <w:t>(see</w:t>
      </w:r>
      <w:r w:rsidRPr="00110CD6">
        <w:rPr>
          <w:b w:val="0"/>
          <w:bCs/>
          <w:sz w:val="28"/>
          <w:szCs w:val="28"/>
        </w:rPr>
        <w:tab/>
        <w:t>sectio</w:t>
      </w:r>
      <w:r w:rsidR="00110CD6" w:rsidRPr="00110CD6">
        <w:rPr>
          <w:b w:val="0"/>
          <w:bCs/>
          <w:sz w:val="28"/>
          <w:szCs w:val="28"/>
        </w:rPr>
        <w:t xml:space="preserve"> n </w:t>
      </w:r>
      <w:r w:rsidRPr="00110CD6">
        <w:rPr>
          <w:b w:val="0"/>
          <w:bCs/>
          <w:sz w:val="28"/>
          <w:szCs w:val="28"/>
        </w:rPr>
        <w:t>4.4).</w:t>
      </w:r>
      <w:r w:rsidR="00110CD6" w:rsidRPr="00110CD6">
        <w:rPr>
          <w:b w:val="0"/>
          <w:bCs/>
          <w:sz w:val="28"/>
          <w:szCs w:val="28"/>
        </w:rPr>
        <w:t xml:space="preserve"> </w:t>
      </w:r>
      <w:r w:rsidRPr="00110CD6">
        <w:rPr>
          <w:b w:val="0"/>
          <w:bCs/>
          <w:sz w:val="28"/>
          <w:szCs w:val="28"/>
        </w:rPr>
        <w:t>Gemfibrozil</w:t>
      </w:r>
      <w:r w:rsidR="00110CD6" w:rsidRPr="00110CD6">
        <w:rPr>
          <w:b w:val="0"/>
          <w:bCs/>
          <w:sz w:val="28"/>
          <w:szCs w:val="28"/>
        </w:rPr>
        <w:t xml:space="preserve"> </w:t>
      </w:r>
      <w:r w:rsidRPr="00110CD6">
        <w:rPr>
          <w:b w:val="0"/>
          <w:bCs/>
          <w:sz w:val="28"/>
          <w:szCs w:val="28"/>
        </w:rPr>
        <w:t>1-O-</w:t>
      </w:r>
      <w:r w:rsidRPr="00110CD6">
        <w:rPr>
          <w:rFonts w:eastAsia="Arial"/>
          <w:b w:val="0"/>
          <w:bCs/>
          <w:sz w:val="28"/>
          <w:szCs w:val="28"/>
        </w:rPr>
        <w:t>β</w:t>
      </w:r>
      <w:r w:rsidRPr="00110CD6">
        <w:rPr>
          <w:b w:val="0"/>
          <w:bCs/>
          <w:sz w:val="28"/>
          <w:szCs w:val="28"/>
        </w:rPr>
        <w:t>-glucuronide also inhibits OATP1B1.</w:t>
      </w:r>
    </w:p>
    <w:p w14:paraId="52EDB0DF" w14:textId="77777777" w:rsidR="00110CD6" w:rsidRDefault="00110CD6">
      <w:pPr>
        <w:spacing w:after="160" w:line="278" w:lineRule="auto"/>
        <w:ind w:left="0" w:firstLine="0"/>
        <w:jc w:val="left"/>
        <w:rPr>
          <w:sz w:val="28"/>
          <w:szCs w:val="28"/>
          <w:u w:val="single" w:color="000000"/>
        </w:rPr>
      </w:pPr>
      <w:r>
        <w:rPr>
          <w:sz w:val="28"/>
          <w:szCs w:val="28"/>
        </w:rPr>
        <w:br w:type="page"/>
      </w:r>
    </w:p>
    <w:p w14:paraId="35AFBF04" w14:textId="323FC177" w:rsidR="00110CD6" w:rsidRDefault="00000000" w:rsidP="00110CD6">
      <w:pPr>
        <w:pStyle w:val="Heading3"/>
        <w:spacing w:after="240"/>
        <w:ind w:left="714" w:hanging="11"/>
        <w:rPr>
          <w:sz w:val="28"/>
          <w:szCs w:val="28"/>
        </w:rPr>
      </w:pPr>
      <w:r w:rsidRPr="006B19C5">
        <w:rPr>
          <w:sz w:val="28"/>
          <w:szCs w:val="28"/>
        </w:rPr>
        <w:lastRenderedPageBreak/>
        <w:t>Repaglinide</w:t>
      </w:r>
    </w:p>
    <w:p w14:paraId="0E308999" w14:textId="6A9A1F4D" w:rsidR="004B09F3"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In healthy volunteers, co-administration with gemfibrozil increased the AUC and C</w:t>
      </w:r>
      <w:r w:rsidRPr="00110CD6">
        <w:rPr>
          <w:sz w:val="28"/>
          <w:szCs w:val="28"/>
          <w:u w:val="none"/>
          <w:vertAlign w:val="subscript"/>
        </w:rPr>
        <w:t xml:space="preserve">max </w:t>
      </w:r>
      <w:r w:rsidRPr="00110CD6">
        <w:rPr>
          <w:sz w:val="28"/>
          <w:szCs w:val="28"/>
          <w:u w:val="none"/>
        </w:rPr>
        <w:t>of repaglinide by 8.1 fold and 2.4 fold, respectively. In the same study, co-administration with gemfibrozil and itraconazole increased the AUC and C</w:t>
      </w:r>
      <w:r w:rsidRPr="00110CD6">
        <w:rPr>
          <w:sz w:val="28"/>
          <w:szCs w:val="28"/>
          <w:u w:val="none"/>
          <w:vertAlign w:val="subscript"/>
        </w:rPr>
        <w:t xml:space="preserve">max </w:t>
      </w:r>
      <w:r w:rsidRPr="00110CD6">
        <w:rPr>
          <w:sz w:val="28"/>
          <w:szCs w:val="28"/>
          <w:u w:val="none"/>
        </w:rPr>
        <w:t>of repaglinide by 19.4 fold and 2.8 fold, respectively. In addition, co-administration with gemfibrozil or with gemfibrozil and itraconazole prolonged its hypoglycaemic effects. Therefore, co-administration of gemfibrozil and repaglinide increases the risk for severe hypoglycaemia and is contraindicated (see section 4.3).</w:t>
      </w:r>
    </w:p>
    <w:p w14:paraId="41C65272" w14:textId="77777777" w:rsidR="00110CD6" w:rsidRDefault="00000000" w:rsidP="00110CD6">
      <w:pPr>
        <w:pStyle w:val="Heading3"/>
        <w:spacing w:after="240"/>
        <w:ind w:left="714" w:hanging="11"/>
        <w:rPr>
          <w:sz w:val="28"/>
          <w:szCs w:val="28"/>
        </w:rPr>
      </w:pPr>
      <w:r w:rsidRPr="006B19C5">
        <w:rPr>
          <w:sz w:val="28"/>
          <w:szCs w:val="28"/>
        </w:rPr>
        <w:t>Dasabuvir</w:t>
      </w:r>
    </w:p>
    <w:p w14:paraId="3F7409DC" w14:textId="77777777" w:rsid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Co-administration of gemfibrozil with dasabuvir increased dasabuvir AUC and C</w:t>
      </w:r>
      <w:r w:rsidRPr="00110CD6">
        <w:rPr>
          <w:sz w:val="28"/>
          <w:szCs w:val="28"/>
          <w:u w:val="none"/>
          <w:vertAlign w:val="subscript"/>
        </w:rPr>
        <w:t xml:space="preserve">max </w:t>
      </w:r>
      <w:r w:rsidRPr="00110CD6">
        <w:rPr>
          <w:sz w:val="28"/>
          <w:szCs w:val="28"/>
          <w:u w:val="none"/>
        </w:rPr>
        <w:t>(ratios: 11.3 and 2.01, respectively) due to CYP2C8 inhibition. Increased dasabuvir exposure may increase the risk of QT prolongation, therefore, co-administration of gemfibrozil with dasabuvir is contraindicated (see section 4.3).</w:t>
      </w:r>
    </w:p>
    <w:p w14:paraId="0C8A4E97" w14:textId="77777777" w:rsidR="00110CD6" w:rsidRDefault="00000000" w:rsidP="00110CD6">
      <w:pPr>
        <w:pStyle w:val="Heading3"/>
        <w:spacing w:after="240" w:line="360" w:lineRule="auto"/>
        <w:ind w:left="714" w:hanging="11"/>
        <w:jc w:val="thaiDistribute"/>
        <w:rPr>
          <w:sz w:val="28"/>
          <w:szCs w:val="28"/>
        </w:rPr>
      </w:pPr>
      <w:r w:rsidRPr="006B19C5">
        <w:rPr>
          <w:sz w:val="28"/>
          <w:szCs w:val="28"/>
        </w:rPr>
        <w:t>Selexipag</w:t>
      </w:r>
    </w:p>
    <w:p w14:paraId="6EF73243" w14:textId="4541E8BC" w:rsidR="004B09F3"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Co-administration of gemfibrozil with selexipag, a substrate for CYP2C8, doubled exposure (AUC) to selexipag and increased exposure (AUC) to the active metabolite, ACT-333679, by approximately 11 fold. Concomitant administration of gemfibrozil with selexipag is contraindicated (see section 4.3).</w:t>
      </w:r>
    </w:p>
    <w:p w14:paraId="7A3815F7" w14:textId="77777777" w:rsidR="00110CD6" w:rsidRDefault="00110CD6">
      <w:pPr>
        <w:spacing w:after="160" w:line="278" w:lineRule="auto"/>
        <w:ind w:left="0" w:firstLine="0"/>
        <w:jc w:val="left"/>
        <w:rPr>
          <w:sz w:val="28"/>
          <w:szCs w:val="28"/>
          <w:u w:val="single" w:color="000000"/>
        </w:rPr>
      </w:pPr>
      <w:r>
        <w:rPr>
          <w:sz w:val="28"/>
          <w:szCs w:val="28"/>
        </w:rPr>
        <w:br w:type="page"/>
      </w:r>
    </w:p>
    <w:p w14:paraId="07890F09" w14:textId="77777777" w:rsidR="00110CD6" w:rsidRDefault="00000000" w:rsidP="00110CD6">
      <w:pPr>
        <w:pStyle w:val="Heading3"/>
        <w:spacing w:after="240"/>
        <w:ind w:left="714" w:hanging="11"/>
        <w:rPr>
          <w:sz w:val="28"/>
          <w:szCs w:val="28"/>
        </w:rPr>
      </w:pPr>
      <w:r w:rsidRPr="006B19C5">
        <w:rPr>
          <w:sz w:val="28"/>
          <w:szCs w:val="28"/>
        </w:rPr>
        <w:lastRenderedPageBreak/>
        <w:t>Enzalutamide</w:t>
      </w:r>
    </w:p>
    <w:p w14:paraId="47CC5A68" w14:textId="682C536B" w:rsidR="004B09F3" w:rsidRPr="00110CD6" w:rsidRDefault="00000000" w:rsidP="00110CD6">
      <w:pPr>
        <w:pStyle w:val="Heading3"/>
        <w:spacing w:before="240" w:after="240" w:line="360" w:lineRule="auto"/>
        <w:ind w:left="714" w:hanging="11"/>
        <w:jc w:val="thaiDistribute"/>
        <w:rPr>
          <w:sz w:val="28"/>
          <w:szCs w:val="28"/>
          <w:u w:val="none"/>
        </w:rPr>
      </w:pPr>
      <w:r w:rsidRPr="00110CD6">
        <w:rPr>
          <w:sz w:val="28"/>
          <w:szCs w:val="28"/>
          <w:u w:val="none"/>
        </w:rPr>
        <w:t>In healthy volunteers given a single 160 mg dose of enzalutamide after gemfibrozil 600 mg twice daily, the AUC of enzalutamide plus active metabolite (N-desmethyl enzalutamide) was increased by 2.2-fold and corresponding C</w:t>
      </w:r>
      <w:r w:rsidRPr="00110CD6">
        <w:rPr>
          <w:sz w:val="28"/>
          <w:szCs w:val="28"/>
          <w:u w:val="none"/>
          <w:vertAlign w:val="subscript"/>
        </w:rPr>
        <w:t xml:space="preserve">max </w:t>
      </w:r>
      <w:r w:rsidRPr="00110CD6">
        <w:rPr>
          <w:sz w:val="28"/>
          <w:szCs w:val="28"/>
          <w:u w:val="none"/>
        </w:rPr>
        <w:t>was decreased by 16%. Increased enzalutamide exposure may increase the risk of seizures. Concomitant treatment of gemfibrozil and enzalutamide should be avoided; if co-administration is considered necessary, the dose of enzalutamide should be reduced (see section 4.4).</w:t>
      </w:r>
    </w:p>
    <w:p w14:paraId="0DC073A7" w14:textId="77777777" w:rsidR="00110CD6" w:rsidRDefault="00000000" w:rsidP="00110CD6">
      <w:pPr>
        <w:pStyle w:val="Heading3"/>
        <w:spacing w:after="240"/>
        <w:ind w:left="714" w:hanging="11"/>
        <w:rPr>
          <w:sz w:val="28"/>
          <w:szCs w:val="28"/>
        </w:rPr>
      </w:pPr>
      <w:r w:rsidRPr="006B19C5">
        <w:rPr>
          <w:sz w:val="28"/>
          <w:szCs w:val="28"/>
        </w:rPr>
        <w:t>Rosiglitazone</w:t>
      </w:r>
    </w:p>
    <w:p w14:paraId="112AFEB0" w14:textId="7D0D9956" w:rsidR="004B09F3"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The combination of gemfibrozil with rosiglitazone should be approached with caution. Coadministration with rosiglitazone has resulted in 2.3-fold increase in rosiglitazone systemic exposure, probably by inhibition of the CYP2C8 isozyme (see section 4.4).</w:t>
      </w:r>
    </w:p>
    <w:p w14:paraId="53597F39" w14:textId="77777777" w:rsidR="00110CD6" w:rsidRDefault="00000000" w:rsidP="00110CD6">
      <w:pPr>
        <w:pStyle w:val="Heading3"/>
        <w:spacing w:after="240"/>
        <w:ind w:left="714" w:hanging="11"/>
        <w:rPr>
          <w:sz w:val="28"/>
          <w:szCs w:val="28"/>
        </w:rPr>
      </w:pPr>
      <w:r w:rsidRPr="006B19C5">
        <w:rPr>
          <w:sz w:val="28"/>
          <w:szCs w:val="28"/>
        </w:rPr>
        <w:t>HMG CoA reductase inhibitors</w:t>
      </w:r>
    </w:p>
    <w:p w14:paraId="0F9C7DDF" w14:textId="77777777" w:rsid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The concomitant administration of gemfibrozil with simvastatin, as well as with rosuvastatin at 40 mg is contraindicated (see sections 4.3 and 4.4). The combined use of gemfibrozil and a statin should generally be avoided (see section 4.4). The use of fibrates alone is occasionally associated with myopathy. An increased risk of muscle related adverse events, including rhabdomyolysis, has been reported when fibrates are co-administered with statins.</w:t>
      </w:r>
    </w:p>
    <w:p w14:paraId="55542035" w14:textId="5E4EC9B1" w:rsidR="004B09F3"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lastRenderedPageBreak/>
        <w:t>Gemfibrozil has also been reported to influence the pharmacokinetics of simvastatin, lovastatin, pravastatin, rosuvastatin and atorvastatin. Gemfibrozil caused an almost 3-fold increased in AUC of simvastatin acid possibly due to inhibition of glucoronidation via UGTA1 and UGTA3, and a 3-fold increase in pravastatin AUC which may be due to interference with transport proteins. One study indicated that the co-administration of a single rosuvastatin dose of 80 mg to healthy volunteers on gemfibrozil (600 mg twice daily) resulted in a 2.2-fold increase in mean C</w:t>
      </w:r>
      <w:r w:rsidRPr="00110CD6">
        <w:rPr>
          <w:sz w:val="28"/>
          <w:szCs w:val="28"/>
          <w:u w:val="none"/>
          <w:vertAlign w:val="subscript"/>
        </w:rPr>
        <w:t xml:space="preserve">max </w:t>
      </w:r>
      <w:r w:rsidRPr="00110CD6">
        <w:rPr>
          <w:sz w:val="28"/>
          <w:szCs w:val="28"/>
          <w:u w:val="none"/>
        </w:rPr>
        <w:t>and a 1.9-fold increase in mean AUC of rosuvastatin. The co-administration of a single lovastatin dose of 40 mg with gemfibrozil (600 mg twice daily for 3 days) in healthy volunteers resulted in a 2.8-fold increase of the mean AUC and C</w:t>
      </w:r>
      <w:r w:rsidRPr="00110CD6">
        <w:rPr>
          <w:sz w:val="28"/>
          <w:szCs w:val="28"/>
          <w:u w:val="none"/>
          <w:vertAlign w:val="subscript"/>
        </w:rPr>
        <w:t xml:space="preserve">max </w:t>
      </w:r>
      <w:r w:rsidRPr="00110CD6">
        <w:rPr>
          <w:sz w:val="28"/>
          <w:szCs w:val="28"/>
          <w:u w:val="none"/>
        </w:rPr>
        <w:t>of lovastatin acid. The co-administration of a single atorvastatin dose of 40 mg with gemfibrozil (600 mg twice daily for 7 days) in healthy volunteers resulted in a 1.35-fold increase in mean AUC and no increase in mean C</w:t>
      </w:r>
      <w:r w:rsidRPr="00110CD6">
        <w:rPr>
          <w:sz w:val="28"/>
          <w:szCs w:val="28"/>
          <w:u w:val="none"/>
          <w:vertAlign w:val="subscript"/>
        </w:rPr>
        <w:t xml:space="preserve">max </w:t>
      </w:r>
      <w:r w:rsidRPr="00110CD6">
        <w:rPr>
          <w:sz w:val="28"/>
          <w:szCs w:val="28"/>
          <w:u w:val="none"/>
        </w:rPr>
        <w:t>of atorvastatin.</w:t>
      </w:r>
    </w:p>
    <w:p w14:paraId="5C08F22E" w14:textId="77777777" w:rsidR="00110CD6" w:rsidRDefault="00000000" w:rsidP="00110CD6">
      <w:pPr>
        <w:pStyle w:val="Heading3"/>
        <w:spacing w:after="240"/>
        <w:ind w:left="714" w:hanging="11"/>
        <w:rPr>
          <w:sz w:val="28"/>
          <w:szCs w:val="28"/>
        </w:rPr>
      </w:pPr>
      <w:r w:rsidRPr="006B19C5">
        <w:rPr>
          <w:sz w:val="28"/>
          <w:szCs w:val="28"/>
        </w:rPr>
        <w:t>Anticoagulants</w:t>
      </w:r>
    </w:p>
    <w:p w14:paraId="02C94542" w14:textId="4E16CED0" w:rsidR="004B09F3"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Gemfibrozil may potentiate the effects of coumarin type vitamin K antagonist anticoagulants such as warfarin, acenocoumarol, or phenprocoumon. The concomitant administration of gemfibrozil with these anticoagulants necessitates careful monitoring of prothrombin time (INR) (see section 4.4).</w:t>
      </w:r>
    </w:p>
    <w:p w14:paraId="71EA5484" w14:textId="77777777" w:rsidR="00110CD6" w:rsidRDefault="00110CD6">
      <w:pPr>
        <w:spacing w:after="160" w:line="278" w:lineRule="auto"/>
        <w:ind w:left="0" w:firstLine="0"/>
        <w:jc w:val="left"/>
        <w:rPr>
          <w:sz w:val="28"/>
          <w:szCs w:val="28"/>
          <w:u w:val="single" w:color="000000"/>
        </w:rPr>
      </w:pPr>
      <w:r>
        <w:rPr>
          <w:sz w:val="28"/>
          <w:szCs w:val="28"/>
        </w:rPr>
        <w:br w:type="page"/>
      </w:r>
    </w:p>
    <w:p w14:paraId="21FCAD7D" w14:textId="759861BC" w:rsidR="00110CD6" w:rsidRDefault="00000000" w:rsidP="00110CD6">
      <w:pPr>
        <w:pStyle w:val="Heading3"/>
        <w:spacing w:after="240"/>
        <w:ind w:left="714" w:hanging="11"/>
        <w:rPr>
          <w:sz w:val="28"/>
          <w:szCs w:val="28"/>
        </w:rPr>
      </w:pPr>
      <w:r w:rsidRPr="006B19C5">
        <w:rPr>
          <w:sz w:val="28"/>
          <w:szCs w:val="28"/>
        </w:rPr>
        <w:lastRenderedPageBreak/>
        <w:t>Bexarotene</w:t>
      </w:r>
    </w:p>
    <w:p w14:paraId="0D201990" w14:textId="0CA145BA" w:rsidR="004B09F3" w:rsidRPr="006B19C5" w:rsidRDefault="00000000" w:rsidP="00110CD6">
      <w:pPr>
        <w:pStyle w:val="Heading3"/>
        <w:spacing w:after="240" w:line="360" w:lineRule="auto"/>
        <w:ind w:left="714" w:hanging="11"/>
        <w:jc w:val="thaiDistribute"/>
        <w:rPr>
          <w:sz w:val="28"/>
          <w:szCs w:val="28"/>
        </w:rPr>
      </w:pPr>
      <w:r w:rsidRPr="00110CD6">
        <w:rPr>
          <w:sz w:val="28"/>
          <w:szCs w:val="28"/>
          <w:u w:val="none"/>
        </w:rPr>
        <w:t>Concomitant administration of gemfibrozil with bexarotene is not recommended. A population analysis of plasma bexarotene concentrations in patients with cutaneous T-cell lymphoma (CTCL) indicated that concomitant administration of gemfibrozil resulted in substantial increases in plasma concentrations of bexarotene.</w:t>
      </w:r>
    </w:p>
    <w:p w14:paraId="778D95C6" w14:textId="77777777" w:rsidR="00110CD6" w:rsidRDefault="00000000" w:rsidP="00110CD6">
      <w:pPr>
        <w:pStyle w:val="Heading3"/>
        <w:spacing w:after="240"/>
        <w:ind w:left="714" w:hanging="11"/>
        <w:rPr>
          <w:sz w:val="28"/>
          <w:szCs w:val="28"/>
        </w:rPr>
      </w:pPr>
      <w:r w:rsidRPr="006B19C5">
        <w:rPr>
          <w:sz w:val="28"/>
          <w:szCs w:val="28"/>
        </w:rPr>
        <w:t>Bile acid – binding resins</w:t>
      </w:r>
    </w:p>
    <w:p w14:paraId="3680AFA8" w14:textId="39A484F6" w:rsidR="004B09F3"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Reduced bioavailability of gemfibrozil may result when given simultaneously with resin-granule drugs such as colestipol. Administration of the products two hours or more apart is recommended.</w:t>
      </w:r>
    </w:p>
    <w:p w14:paraId="78871CB4" w14:textId="77777777" w:rsidR="00110CD6" w:rsidRDefault="00000000" w:rsidP="00110CD6">
      <w:pPr>
        <w:pStyle w:val="Heading3"/>
        <w:spacing w:after="240"/>
        <w:ind w:left="714" w:hanging="11"/>
        <w:rPr>
          <w:sz w:val="28"/>
          <w:szCs w:val="28"/>
        </w:rPr>
      </w:pPr>
      <w:r w:rsidRPr="006B19C5">
        <w:rPr>
          <w:sz w:val="28"/>
          <w:szCs w:val="28"/>
        </w:rPr>
        <w:t>Colchicine</w:t>
      </w:r>
    </w:p>
    <w:p w14:paraId="1E37C9F1" w14:textId="77777777" w:rsid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Risk of myopathy and rhabdomyolysis may be increased with concomitant administration of colchicine and gemfibrozil. This risk may be increased in the elderly and in patients with hepatic or renal dysfunction. Clinical and biological monitoring are recommended, especially at the start of combined treatment.</w:t>
      </w:r>
    </w:p>
    <w:p w14:paraId="79C486F6" w14:textId="4C3B68FF" w:rsidR="004B09F3"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Gemfibrozil is highly bound to plasma proteins and there is potential for displacement interactions with other drugs.</w:t>
      </w:r>
    </w:p>
    <w:p w14:paraId="1FE714AC" w14:textId="77777777" w:rsidR="00110CD6" w:rsidRDefault="00110CD6">
      <w:pPr>
        <w:spacing w:after="160" w:line="278" w:lineRule="auto"/>
        <w:ind w:left="0" w:firstLine="0"/>
        <w:jc w:val="left"/>
        <w:rPr>
          <w:b/>
          <w:sz w:val="28"/>
          <w:szCs w:val="28"/>
        </w:rPr>
      </w:pPr>
      <w:r>
        <w:rPr>
          <w:sz w:val="28"/>
          <w:szCs w:val="28"/>
        </w:rPr>
        <w:br w:type="page"/>
      </w:r>
    </w:p>
    <w:p w14:paraId="0A8E2B12" w14:textId="6B7FC64B" w:rsidR="00110CD6" w:rsidRDefault="00000000" w:rsidP="00110CD6">
      <w:pPr>
        <w:pStyle w:val="Heading2"/>
        <w:numPr>
          <w:ilvl w:val="1"/>
          <w:numId w:val="4"/>
        </w:numPr>
        <w:tabs>
          <w:tab w:val="center" w:pos="2460"/>
        </w:tabs>
        <w:spacing w:after="240" w:line="264" w:lineRule="auto"/>
        <w:ind w:left="788" w:hanging="431"/>
        <w:rPr>
          <w:sz w:val="28"/>
          <w:szCs w:val="28"/>
        </w:rPr>
      </w:pPr>
      <w:r w:rsidRPr="006B19C5">
        <w:rPr>
          <w:sz w:val="28"/>
          <w:szCs w:val="28"/>
        </w:rPr>
        <w:lastRenderedPageBreak/>
        <w:t>Fertility, pregnancy and lactation</w:t>
      </w:r>
    </w:p>
    <w:p w14:paraId="6242E3BF" w14:textId="77777777" w:rsidR="00110CD6" w:rsidRDefault="00000000" w:rsidP="00110CD6">
      <w:pPr>
        <w:pStyle w:val="Heading2"/>
        <w:tabs>
          <w:tab w:val="center" w:pos="2460"/>
        </w:tabs>
        <w:spacing w:after="240" w:line="360" w:lineRule="auto"/>
        <w:ind w:left="794" w:firstLine="0"/>
        <w:rPr>
          <w:b w:val="0"/>
          <w:bCs/>
          <w:sz w:val="28"/>
          <w:szCs w:val="28"/>
          <w:u w:val="single"/>
        </w:rPr>
      </w:pPr>
      <w:r w:rsidRPr="00110CD6">
        <w:rPr>
          <w:b w:val="0"/>
          <w:bCs/>
          <w:sz w:val="28"/>
          <w:szCs w:val="28"/>
          <w:u w:val="single"/>
        </w:rPr>
        <w:t>Pregnancy</w:t>
      </w:r>
    </w:p>
    <w:p w14:paraId="27D24EBF" w14:textId="5DC92837" w:rsidR="004B09F3" w:rsidRPr="00110CD6" w:rsidRDefault="00000000" w:rsidP="00110CD6">
      <w:pPr>
        <w:pStyle w:val="Heading2"/>
        <w:tabs>
          <w:tab w:val="center" w:pos="2460"/>
        </w:tabs>
        <w:spacing w:after="240" w:line="360" w:lineRule="auto"/>
        <w:ind w:left="794" w:firstLine="0"/>
        <w:jc w:val="thaiDistribute"/>
        <w:rPr>
          <w:b w:val="0"/>
          <w:bCs/>
          <w:sz w:val="28"/>
          <w:szCs w:val="28"/>
          <w:u w:val="single"/>
        </w:rPr>
      </w:pPr>
      <w:r w:rsidRPr="00110CD6">
        <w:rPr>
          <w:b w:val="0"/>
          <w:bCs/>
          <w:sz w:val="28"/>
          <w:szCs w:val="28"/>
        </w:rPr>
        <w:t xml:space="preserve">There are no adequate data on use of </w:t>
      </w:r>
      <w:r w:rsidR="00110CD6" w:rsidRPr="00110CD6">
        <w:rPr>
          <w:b w:val="0"/>
          <w:bCs/>
          <w:sz w:val="28"/>
          <w:szCs w:val="28"/>
        </w:rPr>
        <w:t xml:space="preserve">Gemfibrozil </w:t>
      </w:r>
      <w:r w:rsidRPr="00110CD6">
        <w:rPr>
          <w:b w:val="0"/>
          <w:bCs/>
          <w:sz w:val="28"/>
          <w:szCs w:val="28"/>
        </w:rPr>
        <w:t xml:space="preserve">in pregnant women. Animal studies are insufficiently clear to allow conclusions to be drawn on pregnancy and foetal development (see section 5.3). The potential risk for humans is unknown. </w:t>
      </w:r>
      <w:r w:rsidR="00110CD6" w:rsidRPr="00110CD6">
        <w:rPr>
          <w:b w:val="0"/>
          <w:bCs/>
          <w:sz w:val="28"/>
          <w:szCs w:val="28"/>
        </w:rPr>
        <w:t>Gemfibrozil</w:t>
      </w:r>
      <w:r w:rsidR="00110CD6" w:rsidRPr="00110CD6">
        <w:rPr>
          <w:b w:val="0"/>
          <w:bCs/>
          <w:sz w:val="28"/>
          <w:szCs w:val="28"/>
        </w:rPr>
        <w:t xml:space="preserve"> </w:t>
      </w:r>
      <w:r w:rsidRPr="00110CD6">
        <w:rPr>
          <w:b w:val="0"/>
          <w:bCs/>
          <w:sz w:val="28"/>
          <w:szCs w:val="28"/>
        </w:rPr>
        <w:t>should not be used during pregnancy unless it is clearly necessary</w:t>
      </w:r>
      <w:r w:rsidRPr="006B19C5">
        <w:rPr>
          <w:sz w:val="28"/>
          <w:szCs w:val="28"/>
        </w:rPr>
        <w:t>.</w:t>
      </w:r>
    </w:p>
    <w:p w14:paraId="64400218" w14:textId="77777777" w:rsidR="00110CD6" w:rsidRDefault="00000000" w:rsidP="00110CD6">
      <w:pPr>
        <w:pStyle w:val="Heading3"/>
        <w:spacing w:after="240" w:line="360" w:lineRule="auto"/>
        <w:ind w:left="714" w:hanging="11"/>
        <w:rPr>
          <w:sz w:val="28"/>
          <w:szCs w:val="28"/>
        </w:rPr>
      </w:pPr>
      <w:r w:rsidRPr="006B19C5">
        <w:rPr>
          <w:sz w:val="28"/>
          <w:szCs w:val="28"/>
        </w:rPr>
        <w:t>Breast-feeding</w:t>
      </w:r>
    </w:p>
    <w:p w14:paraId="5A86F91A" w14:textId="364E279D" w:rsidR="004B09F3" w:rsidRPr="00110CD6" w:rsidRDefault="00000000" w:rsidP="00110CD6">
      <w:pPr>
        <w:pStyle w:val="Heading3"/>
        <w:spacing w:after="240" w:line="360" w:lineRule="auto"/>
        <w:ind w:left="714" w:hanging="11"/>
        <w:rPr>
          <w:sz w:val="28"/>
          <w:szCs w:val="28"/>
          <w:u w:val="none"/>
        </w:rPr>
      </w:pPr>
      <w:r w:rsidRPr="00110CD6">
        <w:rPr>
          <w:sz w:val="28"/>
          <w:szCs w:val="28"/>
          <w:u w:val="none"/>
        </w:rPr>
        <w:t xml:space="preserve">There are no data on excretion of gemfibrozil in milk. </w:t>
      </w:r>
      <w:r w:rsidR="00110CD6" w:rsidRPr="00110CD6">
        <w:rPr>
          <w:bCs/>
          <w:sz w:val="28"/>
          <w:szCs w:val="28"/>
        </w:rPr>
        <w:t>Gemfibrozil</w:t>
      </w:r>
      <w:r w:rsidR="00110CD6" w:rsidRPr="00110CD6">
        <w:rPr>
          <w:sz w:val="28"/>
          <w:szCs w:val="28"/>
          <w:u w:val="none"/>
        </w:rPr>
        <w:t xml:space="preserve"> </w:t>
      </w:r>
      <w:r w:rsidRPr="00110CD6">
        <w:rPr>
          <w:sz w:val="28"/>
          <w:szCs w:val="28"/>
          <w:u w:val="none"/>
        </w:rPr>
        <w:t>should not be used when breast-feeding.</w:t>
      </w:r>
    </w:p>
    <w:p w14:paraId="46FEE405" w14:textId="77777777" w:rsidR="00110CD6" w:rsidRDefault="00000000" w:rsidP="00110CD6">
      <w:pPr>
        <w:pStyle w:val="Heading3"/>
        <w:spacing w:after="240" w:line="360" w:lineRule="auto"/>
        <w:ind w:left="714" w:hanging="11"/>
        <w:rPr>
          <w:sz w:val="28"/>
          <w:szCs w:val="28"/>
        </w:rPr>
      </w:pPr>
      <w:r w:rsidRPr="006B19C5">
        <w:rPr>
          <w:sz w:val="28"/>
          <w:szCs w:val="28"/>
        </w:rPr>
        <w:t>Fertility</w:t>
      </w:r>
    </w:p>
    <w:p w14:paraId="71D37275" w14:textId="7CC5B006" w:rsidR="004B09F3" w:rsidRPr="00110CD6" w:rsidRDefault="00000000" w:rsidP="00110CD6">
      <w:pPr>
        <w:pStyle w:val="Heading3"/>
        <w:spacing w:after="240" w:line="360" w:lineRule="auto"/>
        <w:ind w:left="714" w:hanging="11"/>
        <w:jc w:val="thaiDistribute"/>
        <w:rPr>
          <w:sz w:val="28"/>
          <w:szCs w:val="28"/>
          <w:u w:val="none"/>
        </w:rPr>
      </w:pPr>
      <w:r w:rsidRPr="00110CD6">
        <w:rPr>
          <w:sz w:val="28"/>
          <w:szCs w:val="28"/>
          <w:u w:val="none"/>
        </w:rPr>
        <w:t>Reversible decreases in male fertility have been observed in reproductive toxicity studies in rats (see section 5.3).</w:t>
      </w:r>
    </w:p>
    <w:p w14:paraId="43919E2F" w14:textId="77777777" w:rsidR="00110CD6" w:rsidRDefault="00000000" w:rsidP="00110CD6">
      <w:pPr>
        <w:pStyle w:val="Heading2"/>
        <w:numPr>
          <w:ilvl w:val="1"/>
          <w:numId w:val="4"/>
        </w:numPr>
        <w:tabs>
          <w:tab w:val="center" w:pos="2910"/>
        </w:tabs>
        <w:spacing w:after="323"/>
        <w:rPr>
          <w:sz w:val="28"/>
          <w:szCs w:val="28"/>
        </w:rPr>
      </w:pPr>
      <w:r w:rsidRPr="006B19C5">
        <w:rPr>
          <w:sz w:val="28"/>
          <w:szCs w:val="28"/>
        </w:rPr>
        <w:t>Effects on ability to drive and use machines</w:t>
      </w:r>
    </w:p>
    <w:p w14:paraId="05BA9A36" w14:textId="050C4A78" w:rsidR="004B09F3" w:rsidRPr="00110CD6" w:rsidRDefault="00000000" w:rsidP="00110CD6">
      <w:pPr>
        <w:pStyle w:val="Heading2"/>
        <w:tabs>
          <w:tab w:val="center" w:pos="2910"/>
        </w:tabs>
        <w:spacing w:before="240" w:after="240" w:line="360" w:lineRule="auto"/>
        <w:ind w:left="794" w:firstLine="0"/>
        <w:jc w:val="thaiDistribute"/>
        <w:rPr>
          <w:b w:val="0"/>
          <w:bCs/>
          <w:sz w:val="28"/>
          <w:szCs w:val="28"/>
        </w:rPr>
      </w:pPr>
      <w:r w:rsidRPr="00110CD6">
        <w:rPr>
          <w:b w:val="0"/>
          <w:bCs/>
          <w:sz w:val="28"/>
          <w:szCs w:val="28"/>
        </w:rPr>
        <w:t>No studies on the effects on the ability to drive and use machines have been performed. In isolated cases dizziness and visual disturbances can occur which may negatively influence driving.</w:t>
      </w:r>
    </w:p>
    <w:p w14:paraId="32C8A10C" w14:textId="77777777" w:rsidR="00110CD6" w:rsidRPr="00110CD6" w:rsidRDefault="00000000" w:rsidP="00110CD6">
      <w:pPr>
        <w:pStyle w:val="Heading3"/>
        <w:numPr>
          <w:ilvl w:val="1"/>
          <w:numId w:val="4"/>
        </w:numPr>
        <w:tabs>
          <w:tab w:val="center" w:pos="1455"/>
        </w:tabs>
        <w:spacing w:after="240" w:line="264" w:lineRule="auto"/>
        <w:ind w:left="788" w:hanging="431"/>
        <w:rPr>
          <w:sz w:val="28"/>
          <w:szCs w:val="28"/>
        </w:rPr>
      </w:pPr>
      <w:r w:rsidRPr="006B19C5">
        <w:rPr>
          <w:b/>
          <w:sz w:val="28"/>
          <w:szCs w:val="28"/>
          <w:u w:val="none"/>
        </w:rPr>
        <w:t>Undesirable effect</w:t>
      </w:r>
    </w:p>
    <w:p w14:paraId="3181ED0E" w14:textId="311CA3E7" w:rsidR="004B09F3" w:rsidRPr="00110CD6" w:rsidRDefault="00000000" w:rsidP="00110CD6">
      <w:pPr>
        <w:pStyle w:val="Heading3"/>
        <w:tabs>
          <w:tab w:val="center" w:pos="1455"/>
        </w:tabs>
        <w:spacing w:after="294" w:line="360" w:lineRule="auto"/>
        <w:ind w:left="792" w:firstLine="0"/>
        <w:rPr>
          <w:sz w:val="28"/>
          <w:szCs w:val="28"/>
          <w:u w:val="none"/>
        </w:rPr>
      </w:pPr>
      <w:r w:rsidRPr="00110CD6">
        <w:rPr>
          <w:sz w:val="28"/>
          <w:szCs w:val="28"/>
          <w:u w:val="none"/>
        </w:rPr>
        <w:t>Most commonly reported adverse reactions are of gastrointestinal character and are seen in approximately 7% of the patients. These adverse reactions do not usually lead to discontinuation of the treatment.</w:t>
      </w:r>
    </w:p>
    <w:p w14:paraId="43F10701" w14:textId="2711859D" w:rsidR="004B09F3" w:rsidRPr="006B19C5" w:rsidRDefault="00000000" w:rsidP="00110CD6">
      <w:pPr>
        <w:spacing w:after="240" w:line="360" w:lineRule="auto"/>
        <w:ind w:left="737" w:firstLine="0"/>
        <w:rPr>
          <w:sz w:val="28"/>
          <w:szCs w:val="28"/>
        </w:rPr>
      </w:pPr>
      <w:r w:rsidRPr="006B19C5">
        <w:rPr>
          <w:sz w:val="28"/>
          <w:szCs w:val="28"/>
        </w:rPr>
        <w:lastRenderedPageBreak/>
        <w:t>Adverse reactions are ranked according to frequency using the following convention:</w:t>
      </w:r>
      <w:r w:rsidR="00110CD6">
        <w:rPr>
          <w:sz w:val="28"/>
          <w:szCs w:val="28"/>
        </w:rPr>
        <w:t xml:space="preserve"> </w:t>
      </w:r>
      <w:r w:rsidRPr="006B19C5">
        <w:rPr>
          <w:sz w:val="28"/>
          <w:szCs w:val="28"/>
        </w:rPr>
        <w:t>Very common (</w:t>
      </w:r>
      <w:r w:rsidRPr="006B19C5">
        <w:rPr>
          <w:sz w:val="28"/>
          <w:szCs w:val="28"/>
          <w:u w:val="single" w:color="000000"/>
        </w:rPr>
        <w:t>&gt;</w:t>
      </w:r>
      <w:r w:rsidRPr="006B19C5">
        <w:rPr>
          <w:sz w:val="28"/>
          <w:szCs w:val="28"/>
        </w:rPr>
        <w:t>1/10), Common (</w:t>
      </w:r>
      <w:r w:rsidRPr="006B19C5">
        <w:rPr>
          <w:sz w:val="28"/>
          <w:szCs w:val="28"/>
          <w:u w:val="single" w:color="000000"/>
        </w:rPr>
        <w:t>&gt;</w:t>
      </w:r>
      <w:r w:rsidRPr="006B19C5">
        <w:rPr>
          <w:sz w:val="28"/>
          <w:szCs w:val="28"/>
        </w:rPr>
        <w:t>1/100 to &lt;1/10), Uncommon (</w:t>
      </w:r>
      <w:r w:rsidRPr="006B19C5">
        <w:rPr>
          <w:sz w:val="28"/>
          <w:szCs w:val="28"/>
          <w:u w:val="single" w:color="000000"/>
        </w:rPr>
        <w:t>&gt;</w:t>
      </w:r>
      <w:r w:rsidRPr="006B19C5">
        <w:rPr>
          <w:sz w:val="28"/>
          <w:szCs w:val="28"/>
        </w:rPr>
        <w:t>1/1,000 to &lt;1/100), Rare (</w:t>
      </w:r>
      <w:r w:rsidRPr="006B19C5">
        <w:rPr>
          <w:sz w:val="28"/>
          <w:szCs w:val="28"/>
          <w:u w:val="single" w:color="000000"/>
        </w:rPr>
        <w:t>&gt;</w:t>
      </w:r>
      <w:r w:rsidRPr="006B19C5">
        <w:rPr>
          <w:sz w:val="28"/>
          <w:szCs w:val="28"/>
        </w:rPr>
        <w:t>1/10,000 to &lt;1/1,000), Very rare (&lt;1/10,000), including isolated reports:</w:t>
      </w:r>
    </w:p>
    <w:tbl>
      <w:tblPr>
        <w:tblStyle w:val="TableGrid"/>
        <w:tblW w:w="8640" w:type="dxa"/>
        <w:tblInd w:w="187" w:type="dxa"/>
        <w:tblCellMar>
          <w:top w:w="51" w:type="dxa"/>
          <w:left w:w="113" w:type="dxa"/>
          <w:bottom w:w="12" w:type="dxa"/>
          <w:right w:w="98" w:type="dxa"/>
        </w:tblCellMar>
        <w:tblLook w:val="04A0" w:firstRow="1" w:lastRow="0" w:firstColumn="1" w:lastColumn="0" w:noHBand="0" w:noVBand="1"/>
      </w:tblPr>
      <w:tblGrid>
        <w:gridCol w:w="4320"/>
        <w:gridCol w:w="4320"/>
      </w:tblGrid>
      <w:tr w:rsidR="004B09F3" w:rsidRPr="006B19C5" w14:paraId="7623C728" w14:textId="77777777" w:rsidTr="00110CD6">
        <w:trPr>
          <w:cantSplit/>
          <w:trHeight w:val="320"/>
          <w:tblHeader/>
        </w:trPr>
        <w:tc>
          <w:tcPr>
            <w:tcW w:w="4320" w:type="dxa"/>
            <w:tcBorders>
              <w:top w:val="single" w:sz="8" w:space="0" w:color="000000"/>
              <w:left w:val="single" w:sz="8" w:space="0" w:color="000000"/>
              <w:bottom w:val="single" w:sz="8" w:space="0" w:color="000000"/>
              <w:right w:val="single" w:sz="8" w:space="0" w:color="000000"/>
            </w:tcBorders>
          </w:tcPr>
          <w:p w14:paraId="10A69060" w14:textId="77777777" w:rsidR="004B09F3" w:rsidRPr="006B19C5" w:rsidRDefault="00000000" w:rsidP="00110CD6">
            <w:pPr>
              <w:spacing w:after="0" w:line="259" w:lineRule="auto"/>
              <w:ind w:left="0" w:firstLine="0"/>
              <w:jc w:val="left"/>
              <w:rPr>
                <w:sz w:val="28"/>
                <w:szCs w:val="28"/>
              </w:rPr>
            </w:pPr>
            <w:r w:rsidRPr="006B19C5">
              <w:rPr>
                <w:b/>
                <w:sz w:val="28"/>
                <w:szCs w:val="28"/>
              </w:rPr>
              <w:t>System Organ Class</w:t>
            </w:r>
          </w:p>
        </w:tc>
        <w:tc>
          <w:tcPr>
            <w:tcW w:w="4320" w:type="dxa"/>
            <w:tcBorders>
              <w:top w:val="single" w:sz="8" w:space="0" w:color="000000"/>
              <w:left w:val="single" w:sz="8" w:space="0" w:color="000000"/>
              <w:bottom w:val="single" w:sz="8" w:space="0" w:color="000000"/>
              <w:right w:val="single" w:sz="8" w:space="0" w:color="000000"/>
            </w:tcBorders>
          </w:tcPr>
          <w:p w14:paraId="60FD72A3" w14:textId="77777777" w:rsidR="004B09F3" w:rsidRPr="006B19C5" w:rsidRDefault="00000000" w:rsidP="00110CD6">
            <w:pPr>
              <w:spacing w:after="0" w:line="259" w:lineRule="auto"/>
              <w:ind w:left="0" w:firstLine="0"/>
              <w:jc w:val="left"/>
              <w:rPr>
                <w:sz w:val="28"/>
                <w:szCs w:val="28"/>
              </w:rPr>
            </w:pPr>
            <w:r w:rsidRPr="006B19C5">
              <w:rPr>
                <w:b/>
                <w:sz w:val="28"/>
                <w:szCs w:val="28"/>
              </w:rPr>
              <w:t>Undesirable effect</w:t>
            </w:r>
          </w:p>
        </w:tc>
      </w:tr>
      <w:tr w:rsidR="004B09F3" w:rsidRPr="006B19C5" w14:paraId="6AAFEC8F" w14:textId="77777777" w:rsidTr="00110CD6">
        <w:trPr>
          <w:trHeight w:val="860"/>
        </w:trPr>
        <w:tc>
          <w:tcPr>
            <w:tcW w:w="4320" w:type="dxa"/>
            <w:tcBorders>
              <w:top w:val="single" w:sz="8" w:space="0" w:color="000000"/>
              <w:left w:val="single" w:sz="8" w:space="0" w:color="000000"/>
              <w:bottom w:val="single" w:sz="8" w:space="0" w:color="000000"/>
              <w:right w:val="single" w:sz="8" w:space="0" w:color="000000"/>
            </w:tcBorders>
          </w:tcPr>
          <w:p w14:paraId="7C957F49" w14:textId="77777777" w:rsidR="00110CD6" w:rsidRDefault="00000000" w:rsidP="00110CD6">
            <w:pPr>
              <w:spacing w:after="0" w:line="259" w:lineRule="auto"/>
              <w:ind w:left="0" w:firstLine="0"/>
              <w:jc w:val="left"/>
              <w:rPr>
                <w:b/>
                <w:sz w:val="28"/>
                <w:szCs w:val="28"/>
              </w:rPr>
            </w:pPr>
            <w:r w:rsidRPr="006B19C5">
              <w:rPr>
                <w:b/>
                <w:sz w:val="28"/>
                <w:szCs w:val="28"/>
              </w:rPr>
              <w:t xml:space="preserve">Blood and lymphatic system disorders </w:t>
            </w:r>
          </w:p>
          <w:p w14:paraId="559C319B" w14:textId="54A943A9"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single" w:sz="8" w:space="0" w:color="000000"/>
              <w:left w:val="single" w:sz="8" w:space="0" w:color="000000"/>
              <w:bottom w:val="single" w:sz="8" w:space="0" w:color="000000"/>
              <w:right w:val="single" w:sz="8" w:space="0" w:color="000000"/>
            </w:tcBorders>
          </w:tcPr>
          <w:p w14:paraId="70765F32" w14:textId="77777777" w:rsidR="00110CD6" w:rsidRDefault="00110CD6" w:rsidP="00110CD6">
            <w:pPr>
              <w:spacing w:after="0" w:line="259" w:lineRule="auto"/>
              <w:ind w:left="0" w:firstLine="0"/>
              <w:jc w:val="left"/>
              <w:rPr>
                <w:sz w:val="28"/>
                <w:szCs w:val="28"/>
              </w:rPr>
            </w:pPr>
          </w:p>
          <w:p w14:paraId="0EA1E155" w14:textId="77777777" w:rsidR="00110CD6" w:rsidRDefault="00110CD6" w:rsidP="00110CD6">
            <w:pPr>
              <w:spacing w:after="0" w:line="259" w:lineRule="auto"/>
              <w:ind w:left="0" w:firstLine="0"/>
              <w:jc w:val="left"/>
              <w:rPr>
                <w:sz w:val="28"/>
                <w:szCs w:val="28"/>
              </w:rPr>
            </w:pPr>
          </w:p>
          <w:p w14:paraId="6427ECAF" w14:textId="082F0365" w:rsidR="004B09F3" w:rsidRPr="006B19C5" w:rsidRDefault="00000000" w:rsidP="00110CD6">
            <w:pPr>
              <w:spacing w:after="0" w:line="259" w:lineRule="auto"/>
              <w:ind w:left="0" w:firstLine="0"/>
              <w:jc w:val="left"/>
              <w:rPr>
                <w:sz w:val="28"/>
                <w:szCs w:val="28"/>
              </w:rPr>
            </w:pPr>
            <w:r w:rsidRPr="006B19C5">
              <w:rPr>
                <w:sz w:val="28"/>
                <w:szCs w:val="28"/>
              </w:rPr>
              <w:t>Bone marrow failure, severe anaemia, thrombocytopenia, leukopenia, eosinophilia</w:t>
            </w:r>
          </w:p>
        </w:tc>
      </w:tr>
      <w:tr w:rsidR="004B09F3" w:rsidRPr="006B19C5" w14:paraId="34FAF78C" w14:textId="77777777" w:rsidTr="00110CD6">
        <w:trPr>
          <w:trHeight w:val="600"/>
        </w:trPr>
        <w:tc>
          <w:tcPr>
            <w:tcW w:w="4320" w:type="dxa"/>
            <w:tcBorders>
              <w:top w:val="single" w:sz="8" w:space="0" w:color="000000"/>
              <w:left w:val="single" w:sz="8" w:space="0" w:color="000000"/>
              <w:bottom w:val="single" w:sz="8" w:space="0" w:color="000000"/>
              <w:right w:val="single" w:sz="8" w:space="0" w:color="000000"/>
            </w:tcBorders>
          </w:tcPr>
          <w:p w14:paraId="32C89BE8" w14:textId="77777777" w:rsidR="00110CD6" w:rsidRDefault="00000000" w:rsidP="00110CD6">
            <w:pPr>
              <w:spacing w:after="0" w:line="259" w:lineRule="auto"/>
              <w:ind w:left="0" w:firstLine="0"/>
              <w:jc w:val="left"/>
              <w:rPr>
                <w:b/>
                <w:sz w:val="28"/>
                <w:szCs w:val="28"/>
              </w:rPr>
            </w:pPr>
            <w:r w:rsidRPr="006B19C5">
              <w:rPr>
                <w:b/>
                <w:sz w:val="28"/>
                <w:szCs w:val="28"/>
              </w:rPr>
              <w:t xml:space="preserve">Psychiatric disorders </w:t>
            </w:r>
          </w:p>
          <w:p w14:paraId="7A1314DE" w14:textId="2A62FE75"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single" w:sz="8" w:space="0" w:color="000000"/>
              <w:left w:val="single" w:sz="8" w:space="0" w:color="000000"/>
              <w:bottom w:val="single" w:sz="8" w:space="0" w:color="000000"/>
              <w:right w:val="single" w:sz="8" w:space="0" w:color="000000"/>
            </w:tcBorders>
          </w:tcPr>
          <w:p w14:paraId="29A9081F" w14:textId="77777777" w:rsidR="00110CD6" w:rsidRDefault="00110CD6" w:rsidP="00110CD6">
            <w:pPr>
              <w:spacing w:after="0" w:line="259" w:lineRule="auto"/>
              <w:ind w:left="0" w:firstLine="0"/>
              <w:jc w:val="left"/>
              <w:rPr>
                <w:sz w:val="28"/>
                <w:szCs w:val="28"/>
              </w:rPr>
            </w:pPr>
          </w:p>
          <w:p w14:paraId="49149091" w14:textId="5511DF1C" w:rsidR="004B09F3" w:rsidRPr="006B19C5" w:rsidRDefault="00000000" w:rsidP="00110CD6">
            <w:pPr>
              <w:spacing w:after="0" w:line="259" w:lineRule="auto"/>
              <w:ind w:left="0" w:firstLine="0"/>
              <w:jc w:val="left"/>
              <w:rPr>
                <w:sz w:val="28"/>
                <w:szCs w:val="28"/>
              </w:rPr>
            </w:pPr>
            <w:r w:rsidRPr="006B19C5">
              <w:rPr>
                <w:sz w:val="28"/>
                <w:szCs w:val="28"/>
              </w:rPr>
              <w:t>Depression, decreased libido</w:t>
            </w:r>
          </w:p>
        </w:tc>
      </w:tr>
      <w:tr w:rsidR="004B09F3" w:rsidRPr="006B19C5" w14:paraId="192FAA31" w14:textId="77777777" w:rsidTr="00110CD6">
        <w:trPr>
          <w:trHeight w:val="613"/>
        </w:trPr>
        <w:tc>
          <w:tcPr>
            <w:tcW w:w="4320" w:type="dxa"/>
            <w:tcBorders>
              <w:top w:val="single" w:sz="8" w:space="0" w:color="000000"/>
              <w:left w:val="single" w:sz="8" w:space="0" w:color="000000"/>
              <w:bottom w:val="nil"/>
              <w:right w:val="single" w:sz="8" w:space="0" w:color="000000"/>
            </w:tcBorders>
          </w:tcPr>
          <w:p w14:paraId="1AF78CC7" w14:textId="77777777" w:rsidR="004B09F3" w:rsidRPr="006B19C5" w:rsidRDefault="00000000" w:rsidP="00110CD6">
            <w:pPr>
              <w:spacing w:after="4" w:line="259" w:lineRule="auto"/>
              <w:ind w:left="0" w:firstLine="0"/>
              <w:jc w:val="left"/>
              <w:rPr>
                <w:sz w:val="28"/>
                <w:szCs w:val="28"/>
              </w:rPr>
            </w:pPr>
            <w:r w:rsidRPr="006B19C5">
              <w:rPr>
                <w:b/>
                <w:sz w:val="28"/>
                <w:szCs w:val="28"/>
              </w:rPr>
              <w:t>Nervous system disorders</w:t>
            </w:r>
          </w:p>
          <w:p w14:paraId="25E07CBF" w14:textId="77777777" w:rsidR="004B09F3" w:rsidRPr="006B19C5" w:rsidRDefault="00000000" w:rsidP="00110CD6">
            <w:pPr>
              <w:spacing w:after="0" w:line="259" w:lineRule="auto"/>
              <w:ind w:left="0" w:firstLine="0"/>
              <w:jc w:val="left"/>
              <w:rPr>
                <w:sz w:val="28"/>
                <w:szCs w:val="28"/>
              </w:rPr>
            </w:pPr>
            <w:r w:rsidRPr="006B19C5">
              <w:rPr>
                <w:sz w:val="28"/>
                <w:szCs w:val="28"/>
              </w:rPr>
              <w:t>Common</w:t>
            </w:r>
          </w:p>
        </w:tc>
        <w:tc>
          <w:tcPr>
            <w:tcW w:w="4320" w:type="dxa"/>
            <w:tcBorders>
              <w:top w:val="single" w:sz="8" w:space="0" w:color="000000"/>
              <w:left w:val="single" w:sz="8" w:space="0" w:color="000000"/>
              <w:bottom w:val="nil"/>
              <w:right w:val="single" w:sz="8" w:space="0" w:color="000000"/>
            </w:tcBorders>
          </w:tcPr>
          <w:p w14:paraId="19B027EA" w14:textId="77777777" w:rsidR="00110CD6" w:rsidRDefault="00110CD6" w:rsidP="00110CD6">
            <w:pPr>
              <w:spacing w:after="0" w:line="259" w:lineRule="auto"/>
              <w:ind w:left="0" w:firstLine="0"/>
              <w:jc w:val="left"/>
              <w:rPr>
                <w:sz w:val="28"/>
                <w:szCs w:val="28"/>
              </w:rPr>
            </w:pPr>
          </w:p>
          <w:p w14:paraId="301E65AF" w14:textId="734E30B9" w:rsidR="004B09F3" w:rsidRPr="006B19C5" w:rsidRDefault="00000000" w:rsidP="00110CD6">
            <w:pPr>
              <w:spacing w:after="0" w:line="259" w:lineRule="auto"/>
              <w:ind w:left="0" w:firstLine="0"/>
              <w:jc w:val="left"/>
              <w:rPr>
                <w:sz w:val="28"/>
                <w:szCs w:val="28"/>
              </w:rPr>
            </w:pPr>
            <w:r w:rsidRPr="006B19C5">
              <w:rPr>
                <w:sz w:val="28"/>
                <w:szCs w:val="28"/>
              </w:rPr>
              <w:t>Vertigo, headache</w:t>
            </w:r>
          </w:p>
        </w:tc>
      </w:tr>
      <w:tr w:rsidR="004B09F3" w:rsidRPr="006B19C5" w14:paraId="7E973AB3" w14:textId="77777777" w:rsidTr="00110CD6">
        <w:trPr>
          <w:trHeight w:val="547"/>
        </w:trPr>
        <w:tc>
          <w:tcPr>
            <w:tcW w:w="4320" w:type="dxa"/>
            <w:tcBorders>
              <w:top w:val="nil"/>
              <w:left w:val="single" w:sz="8" w:space="0" w:color="000000"/>
              <w:bottom w:val="single" w:sz="8" w:space="0" w:color="000000"/>
              <w:right w:val="single" w:sz="8" w:space="0" w:color="000000"/>
            </w:tcBorders>
          </w:tcPr>
          <w:p w14:paraId="54A0D571" w14:textId="77777777"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nil"/>
              <w:left w:val="single" w:sz="8" w:space="0" w:color="000000"/>
              <w:bottom w:val="single" w:sz="8" w:space="0" w:color="000000"/>
              <w:right w:val="single" w:sz="8" w:space="0" w:color="000000"/>
            </w:tcBorders>
          </w:tcPr>
          <w:p w14:paraId="3929405E" w14:textId="77777777" w:rsidR="004B09F3" w:rsidRPr="006B19C5" w:rsidRDefault="00000000" w:rsidP="00110CD6">
            <w:pPr>
              <w:spacing w:after="0" w:line="259" w:lineRule="auto"/>
              <w:ind w:left="0" w:right="8" w:firstLine="0"/>
              <w:jc w:val="left"/>
              <w:rPr>
                <w:sz w:val="28"/>
                <w:szCs w:val="28"/>
              </w:rPr>
            </w:pPr>
            <w:r w:rsidRPr="006B19C5">
              <w:rPr>
                <w:sz w:val="28"/>
                <w:szCs w:val="28"/>
              </w:rPr>
              <w:t>Neuropathy peripheral, paraesthesia, dizziness, somnolence</w:t>
            </w:r>
          </w:p>
        </w:tc>
      </w:tr>
      <w:tr w:rsidR="004B09F3" w:rsidRPr="006B19C5" w14:paraId="264FFEE8" w14:textId="77777777" w:rsidTr="00110CD6">
        <w:trPr>
          <w:trHeight w:val="580"/>
        </w:trPr>
        <w:tc>
          <w:tcPr>
            <w:tcW w:w="4320" w:type="dxa"/>
            <w:tcBorders>
              <w:top w:val="single" w:sz="8" w:space="0" w:color="000000"/>
              <w:left w:val="single" w:sz="8" w:space="0" w:color="000000"/>
              <w:bottom w:val="single" w:sz="8" w:space="0" w:color="000000"/>
              <w:right w:val="single" w:sz="8" w:space="0" w:color="000000"/>
            </w:tcBorders>
          </w:tcPr>
          <w:p w14:paraId="0AB3DC18" w14:textId="77777777" w:rsidR="004B09F3" w:rsidRPr="006B19C5" w:rsidRDefault="00000000" w:rsidP="00110CD6">
            <w:pPr>
              <w:spacing w:after="4" w:line="259" w:lineRule="auto"/>
              <w:ind w:left="0" w:firstLine="0"/>
              <w:jc w:val="left"/>
              <w:rPr>
                <w:sz w:val="28"/>
                <w:szCs w:val="28"/>
              </w:rPr>
            </w:pPr>
            <w:r w:rsidRPr="006B19C5">
              <w:rPr>
                <w:b/>
                <w:sz w:val="28"/>
                <w:szCs w:val="28"/>
              </w:rPr>
              <w:t>Eye disorders</w:t>
            </w:r>
          </w:p>
          <w:p w14:paraId="310F29F6" w14:textId="77777777"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single" w:sz="8" w:space="0" w:color="000000"/>
              <w:left w:val="single" w:sz="8" w:space="0" w:color="000000"/>
              <w:bottom w:val="single" w:sz="8" w:space="0" w:color="000000"/>
              <w:right w:val="single" w:sz="8" w:space="0" w:color="000000"/>
            </w:tcBorders>
          </w:tcPr>
          <w:p w14:paraId="64912F5F" w14:textId="77777777" w:rsidR="00110CD6" w:rsidRDefault="00110CD6" w:rsidP="00110CD6">
            <w:pPr>
              <w:spacing w:after="0" w:line="259" w:lineRule="auto"/>
              <w:ind w:left="0" w:firstLine="0"/>
              <w:jc w:val="left"/>
              <w:rPr>
                <w:sz w:val="28"/>
                <w:szCs w:val="28"/>
              </w:rPr>
            </w:pPr>
          </w:p>
          <w:p w14:paraId="2DC98069" w14:textId="15F7F57B" w:rsidR="004B09F3" w:rsidRPr="006B19C5" w:rsidRDefault="00000000" w:rsidP="00110CD6">
            <w:pPr>
              <w:spacing w:after="0" w:line="259" w:lineRule="auto"/>
              <w:ind w:left="0" w:firstLine="0"/>
              <w:jc w:val="left"/>
              <w:rPr>
                <w:sz w:val="28"/>
                <w:szCs w:val="28"/>
              </w:rPr>
            </w:pPr>
            <w:r w:rsidRPr="006B19C5">
              <w:rPr>
                <w:sz w:val="28"/>
                <w:szCs w:val="28"/>
              </w:rPr>
              <w:t>Vision blurred</w:t>
            </w:r>
          </w:p>
        </w:tc>
      </w:tr>
      <w:tr w:rsidR="004B09F3" w:rsidRPr="006B19C5" w14:paraId="048B87C9" w14:textId="77777777" w:rsidTr="00110CD6">
        <w:trPr>
          <w:trHeight w:val="600"/>
        </w:trPr>
        <w:tc>
          <w:tcPr>
            <w:tcW w:w="4320" w:type="dxa"/>
            <w:tcBorders>
              <w:top w:val="single" w:sz="8" w:space="0" w:color="000000"/>
              <w:left w:val="single" w:sz="8" w:space="0" w:color="000000"/>
              <w:bottom w:val="single" w:sz="8" w:space="0" w:color="000000"/>
              <w:right w:val="single" w:sz="8" w:space="0" w:color="000000"/>
            </w:tcBorders>
          </w:tcPr>
          <w:p w14:paraId="65F2DE0D" w14:textId="77777777" w:rsidR="004B09F3" w:rsidRPr="006B19C5" w:rsidRDefault="00000000" w:rsidP="00110CD6">
            <w:pPr>
              <w:spacing w:after="4" w:line="259" w:lineRule="auto"/>
              <w:ind w:left="0" w:firstLine="0"/>
              <w:jc w:val="left"/>
              <w:rPr>
                <w:sz w:val="28"/>
                <w:szCs w:val="28"/>
              </w:rPr>
            </w:pPr>
            <w:r w:rsidRPr="006B19C5">
              <w:rPr>
                <w:b/>
                <w:sz w:val="28"/>
                <w:szCs w:val="28"/>
              </w:rPr>
              <w:t>Cardiac disorders</w:t>
            </w:r>
          </w:p>
          <w:p w14:paraId="313D7569" w14:textId="77777777" w:rsidR="004B09F3" w:rsidRPr="006B19C5" w:rsidRDefault="00000000" w:rsidP="00110CD6">
            <w:pPr>
              <w:spacing w:after="0" w:line="259" w:lineRule="auto"/>
              <w:ind w:left="0" w:firstLine="0"/>
              <w:jc w:val="left"/>
              <w:rPr>
                <w:sz w:val="28"/>
                <w:szCs w:val="28"/>
              </w:rPr>
            </w:pPr>
            <w:r w:rsidRPr="006B19C5">
              <w:rPr>
                <w:sz w:val="28"/>
                <w:szCs w:val="28"/>
              </w:rPr>
              <w:t>Uncommon</w:t>
            </w:r>
          </w:p>
        </w:tc>
        <w:tc>
          <w:tcPr>
            <w:tcW w:w="4320" w:type="dxa"/>
            <w:tcBorders>
              <w:top w:val="single" w:sz="8" w:space="0" w:color="000000"/>
              <w:left w:val="single" w:sz="8" w:space="0" w:color="000000"/>
              <w:bottom w:val="single" w:sz="8" w:space="0" w:color="000000"/>
              <w:right w:val="single" w:sz="8" w:space="0" w:color="000000"/>
            </w:tcBorders>
          </w:tcPr>
          <w:p w14:paraId="322AD93F" w14:textId="77777777" w:rsidR="00110CD6" w:rsidRDefault="00110CD6" w:rsidP="00110CD6">
            <w:pPr>
              <w:spacing w:after="0" w:line="259" w:lineRule="auto"/>
              <w:ind w:left="0" w:firstLine="0"/>
              <w:jc w:val="left"/>
              <w:rPr>
                <w:sz w:val="28"/>
                <w:szCs w:val="28"/>
              </w:rPr>
            </w:pPr>
          </w:p>
          <w:p w14:paraId="1DCE0B13" w14:textId="30D3387D" w:rsidR="004B09F3" w:rsidRPr="006B19C5" w:rsidRDefault="00000000" w:rsidP="00110CD6">
            <w:pPr>
              <w:spacing w:after="0" w:line="259" w:lineRule="auto"/>
              <w:ind w:left="0" w:firstLine="0"/>
              <w:jc w:val="left"/>
              <w:rPr>
                <w:sz w:val="28"/>
                <w:szCs w:val="28"/>
              </w:rPr>
            </w:pPr>
            <w:r w:rsidRPr="006B19C5">
              <w:rPr>
                <w:sz w:val="28"/>
                <w:szCs w:val="28"/>
              </w:rPr>
              <w:t>Atrial fibrillation</w:t>
            </w:r>
          </w:p>
        </w:tc>
      </w:tr>
      <w:tr w:rsidR="004B09F3" w:rsidRPr="006B19C5" w14:paraId="406EB2D6" w14:textId="77777777" w:rsidTr="00110CD6">
        <w:trPr>
          <w:trHeight w:val="820"/>
        </w:trPr>
        <w:tc>
          <w:tcPr>
            <w:tcW w:w="4320" w:type="dxa"/>
            <w:tcBorders>
              <w:top w:val="single" w:sz="8" w:space="0" w:color="000000"/>
              <w:left w:val="single" w:sz="8" w:space="0" w:color="000000"/>
              <w:bottom w:val="single" w:sz="8" w:space="0" w:color="000000"/>
              <w:right w:val="single" w:sz="8" w:space="0" w:color="000000"/>
            </w:tcBorders>
          </w:tcPr>
          <w:p w14:paraId="2A00A352" w14:textId="77777777" w:rsidR="00110CD6" w:rsidRDefault="00000000" w:rsidP="00110CD6">
            <w:pPr>
              <w:spacing w:after="0" w:line="259" w:lineRule="auto"/>
              <w:ind w:left="0" w:firstLine="0"/>
              <w:jc w:val="left"/>
              <w:rPr>
                <w:b/>
                <w:sz w:val="28"/>
                <w:szCs w:val="28"/>
              </w:rPr>
            </w:pPr>
            <w:r w:rsidRPr="006B19C5">
              <w:rPr>
                <w:b/>
                <w:sz w:val="28"/>
                <w:szCs w:val="28"/>
              </w:rPr>
              <w:t xml:space="preserve">Respiratory, thoracic and mediastinal disorders </w:t>
            </w:r>
          </w:p>
          <w:p w14:paraId="77E4E01D" w14:textId="30DD0474"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single" w:sz="8" w:space="0" w:color="000000"/>
              <w:left w:val="single" w:sz="8" w:space="0" w:color="000000"/>
              <w:bottom w:val="single" w:sz="8" w:space="0" w:color="000000"/>
              <w:right w:val="single" w:sz="8" w:space="0" w:color="000000"/>
            </w:tcBorders>
          </w:tcPr>
          <w:p w14:paraId="3914206D" w14:textId="77777777" w:rsidR="00110CD6" w:rsidRDefault="00110CD6" w:rsidP="00110CD6">
            <w:pPr>
              <w:spacing w:after="0" w:line="259" w:lineRule="auto"/>
              <w:ind w:left="0" w:firstLine="0"/>
              <w:jc w:val="left"/>
              <w:rPr>
                <w:sz w:val="28"/>
                <w:szCs w:val="28"/>
              </w:rPr>
            </w:pPr>
          </w:p>
          <w:p w14:paraId="5663CA41" w14:textId="77777777" w:rsidR="00110CD6" w:rsidRDefault="00110CD6" w:rsidP="00110CD6">
            <w:pPr>
              <w:spacing w:after="0" w:line="259" w:lineRule="auto"/>
              <w:ind w:left="0" w:firstLine="0"/>
              <w:jc w:val="left"/>
              <w:rPr>
                <w:sz w:val="28"/>
                <w:szCs w:val="28"/>
              </w:rPr>
            </w:pPr>
          </w:p>
          <w:p w14:paraId="2276BE49" w14:textId="542CD13C" w:rsidR="004B09F3" w:rsidRPr="006B19C5" w:rsidRDefault="00000000" w:rsidP="00110CD6">
            <w:pPr>
              <w:spacing w:after="0" w:line="259" w:lineRule="auto"/>
              <w:ind w:left="0" w:firstLine="0"/>
              <w:jc w:val="left"/>
              <w:rPr>
                <w:sz w:val="28"/>
                <w:szCs w:val="28"/>
              </w:rPr>
            </w:pPr>
            <w:r w:rsidRPr="006B19C5">
              <w:rPr>
                <w:sz w:val="28"/>
                <w:szCs w:val="28"/>
              </w:rPr>
              <w:t>Laryngeal oedema</w:t>
            </w:r>
          </w:p>
        </w:tc>
      </w:tr>
      <w:tr w:rsidR="004B09F3" w:rsidRPr="006B19C5" w14:paraId="237FBD96" w14:textId="77777777" w:rsidTr="00110CD6">
        <w:trPr>
          <w:trHeight w:val="590"/>
        </w:trPr>
        <w:tc>
          <w:tcPr>
            <w:tcW w:w="4320" w:type="dxa"/>
            <w:tcBorders>
              <w:top w:val="single" w:sz="8" w:space="0" w:color="000000"/>
              <w:left w:val="single" w:sz="8" w:space="0" w:color="000000"/>
              <w:bottom w:val="nil"/>
              <w:right w:val="single" w:sz="8" w:space="0" w:color="000000"/>
            </w:tcBorders>
          </w:tcPr>
          <w:p w14:paraId="71CF9E0C" w14:textId="77777777" w:rsidR="004B09F3" w:rsidRPr="006B19C5" w:rsidRDefault="00000000" w:rsidP="00110CD6">
            <w:pPr>
              <w:spacing w:after="0" w:line="259" w:lineRule="auto"/>
              <w:ind w:left="0" w:right="407" w:firstLine="0"/>
              <w:jc w:val="left"/>
              <w:rPr>
                <w:sz w:val="28"/>
                <w:szCs w:val="28"/>
              </w:rPr>
            </w:pPr>
            <w:r w:rsidRPr="006B19C5">
              <w:rPr>
                <w:b/>
                <w:sz w:val="28"/>
                <w:szCs w:val="28"/>
              </w:rPr>
              <w:t xml:space="preserve">Gastrointestinal disorders </w:t>
            </w:r>
            <w:r w:rsidRPr="006B19C5">
              <w:rPr>
                <w:sz w:val="28"/>
                <w:szCs w:val="28"/>
              </w:rPr>
              <w:t>Very common</w:t>
            </w:r>
          </w:p>
        </w:tc>
        <w:tc>
          <w:tcPr>
            <w:tcW w:w="4320" w:type="dxa"/>
            <w:tcBorders>
              <w:top w:val="single" w:sz="8" w:space="0" w:color="000000"/>
              <w:left w:val="single" w:sz="8" w:space="0" w:color="000000"/>
              <w:bottom w:val="nil"/>
              <w:right w:val="single" w:sz="8" w:space="0" w:color="000000"/>
            </w:tcBorders>
          </w:tcPr>
          <w:p w14:paraId="05944DA8" w14:textId="77777777" w:rsidR="00110CD6" w:rsidRDefault="00110CD6" w:rsidP="00110CD6">
            <w:pPr>
              <w:spacing w:after="0" w:line="259" w:lineRule="auto"/>
              <w:ind w:left="0" w:firstLine="0"/>
              <w:jc w:val="left"/>
              <w:rPr>
                <w:sz w:val="28"/>
                <w:szCs w:val="28"/>
              </w:rPr>
            </w:pPr>
          </w:p>
          <w:p w14:paraId="44EF1830" w14:textId="4D530930" w:rsidR="004B09F3" w:rsidRPr="006B19C5" w:rsidRDefault="00000000" w:rsidP="00110CD6">
            <w:pPr>
              <w:spacing w:after="0" w:line="259" w:lineRule="auto"/>
              <w:ind w:left="0" w:firstLine="0"/>
              <w:jc w:val="left"/>
              <w:rPr>
                <w:sz w:val="28"/>
                <w:szCs w:val="28"/>
              </w:rPr>
            </w:pPr>
            <w:r w:rsidRPr="006B19C5">
              <w:rPr>
                <w:sz w:val="28"/>
                <w:szCs w:val="28"/>
              </w:rPr>
              <w:t>Dyspepsia</w:t>
            </w:r>
          </w:p>
        </w:tc>
      </w:tr>
      <w:tr w:rsidR="004B09F3" w:rsidRPr="006B19C5" w14:paraId="2518B4A7" w14:textId="77777777" w:rsidTr="00110CD6">
        <w:trPr>
          <w:trHeight w:val="612"/>
        </w:trPr>
        <w:tc>
          <w:tcPr>
            <w:tcW w:w="4320" w:type="dxa"/>
            <w:tcBorders>
              <w:top w:val="nil"/>
              <w:left w:val="single" w:sz="8" w:space="0" w:color="000000"/>
              <w:bottom w:val="nil"/>
              <w:right w:val="single" w:sz="8" w:space="0" w:color="000000"/>
            </w:tcBorders>
          </w:tcPr>
          <w:p w14:paraId="7698D64A" w14:textId="77777777" w:rsidR="004B09F3" w:rsidRPr="006B19C5" w:rsidRDefault="00000000" w:rsidP="00110CD6">
            <w:pPr>
              <w:spacing w:after="0" w:line="259" w:lineRule="auto"/>
              <w:ind w:left="0" w:firstLine="0"/>
              <w:jc w:val="left"/>
              <w:rPr>
                <w:sz w:val="28"/>
                <w:szCs w:val="28"/>
              </w:rPr>
            </w:pPr>
            <w:r w:rsidRPr="006B19C5">
              <w:rPr>
                <w:sz w:val="28"/>
                <w:szCs w:val="28"/>
              </w:rPr>
              <w:t>Common</w:t>
            </w:r>
          </w:p>
        </w:tc>
        <w:tc>
          <w:tcPr>
            <w:tcW w:w="4320" w:type="dxa"/>
            <w:tcBorders>
              <w:top w:val="nil"/>
              <w:left w:val="single" w:sz="8" w:space="0" w:color="000000"/>
              <w:bottom w:val="nil"/>
              <w:right w:val="single" w:sz="8" w:space="0" w:color="000000"/>
            </w:tcBorders>
          </w:tcPr>
          <w:p w14:paraId="6061DAEE" w14:textId="77777777" w:rsidR="004B09F3" w:rsidRPr="006B19C5" w:rsidRDefault="00000000" w:rsidP="00110CD6">
            <w:pPr>
              <w:spacing w:after="0" w:line="259" w:lineRule="auto"/>
              <w:ind w:left="0" w:firstLine="0"/>
              <w:jc w:val="left"/>
              <w:rPr>
                <w:sz w:val="28"/>
                <w:szCs w:val="28"/>
              </w:rPr>
            </w:pPr>
            <w:r w:rsidRPr="006B19C5">
              <w:rPr>
                <w:sz w:val="28"/>
                <w:szCs w:val="28"/>
              </w:rPr>
              <w:t>Diarrhoea, vomiting, nausea, abdominal pain constipation, flatulence</w:t>
            </w:r>
          </w:p>
        </w:tc>
      </w:tr>
      <w:tr w:rsidR="004B09F3" w:rsidRPr="006B19C5" w14:paraId="72FD0EA4" w14:textId="77777777" w:rsidTr="00110CD6">
        <w:trPr>
          <w:trHeight w:val="278"/>
        </w:trPr>
        <w:tc>
          <w:tcPr>
            <w:tcW w:w="4320" w:type="dxa"/>
            <w:tcBorders>
              <w:top w:val="nil"/>
              <w:left w:val="single" w:sz="8" w:space="0" w:color="000000"/>
              <w:bottom w:val="single" w:sz="8" w:space="0" w:color="000000"/>
              <w:right w:val="single" w:sz="8" w:space="0" w:color="000000"/>
            </w:tcBorders>
          </w:tcPr>
          <w:p w14:paraId="3FD73C7D" w14:textId="77777777"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nil"/>
              <w:left w:val="single" w:sz="8" w:space="0" w:color="000000"/>
              <w:bottom w:val="single" w:sz="8" w:space="0" w:color="000000"/>
              <w:right w:val="single" w:sz="8" w:space="0" w:color="000000"/>
            </w:tcBorders>
          </w:tcPr>
          <w:p w14:paraId="3F386EBD" w14:textId="77777777" w:rsidR="004B09F3" w:rsidRPr="006B19C5" w:rsidRDefault="00000000" w:rsidP="00110CD6">
            <w:pPr>
              <w:spacing w:after="0" w:line="259" w:lineRule="auto"/>
              <w:ind w:left="0" w:firstLine="0"/>
              <w:jc w:val="left"/>
              <w:rPr>
                <w:sz w:val="28"/>
                <w:szCs w:val="28"/>
              </w:rPr>
            </w:pPr>
            <w:r w:rsidRPr="006B19C5">
              <w:rPr>
                <w:sz w:val="28"/>
                <w:szCs w:val="28"/>
              </w:rPr>
              <w:t>Pancreatitis, appendicitis</w:t>
            </w:r>
          </w:p>
        </w:tc>
      </w:tr>
      <w:tr w:rsidR="004B09F3" w:rsidRPr="006B19C5" w14:paraId="5D96C250" w14:textId="77777777" w:rsidTr="00110CD6">
        <w:trPr>
          <w:cantSplit/>
          <w:trHeight w:val="860"/>
        </w:trPr>
        <w:tc>
          <w:tcPr>
            <w:tcW w:w="4320" w:type="dxa"/>
            <w:tcBorders>
              <w:top w:val="single" w:sz="8" w:space="0" w:color="000000"/>
              <w:left w:val="single" w:sz="8" w:space="0" w:color="000000"/>
              <w:bottom w:val="single" w:sz="8" w:space="0" w:color="000000"/>
              <w:right w:val="single" w:sz="8" w:space="0" w:color="000000"/>
            </w:tcBorders>
          </w:tcPr>
          <w:p w14:paraId="6AE48572" w14:textId="2D7B0DB2" w:rsidR="00110CD6" w:rsidRDefault="00000000" w:rsidP="00110CD6">
            <w:pPr>
              <w:spacing w:after="0" w:line="259" w:lineRule="auto"/>
              <w:ind w:left="0" w:firstLine="0"/>
              <w:jc w:val="left"/>
              <w:rPr>
                <w:b/>
                <w:sz w:val="28"/>
                <w:szCs w:val="28"/>
              </w:rPr>
            </w:pPr>
            <w:r w:rsidRPr="006B19C5">
              <w:rPr>
                <w:b/>
                <w:sz w:val="28"/>
                <w:szCs w:val="28"/>
              </w:rPr>
              <w:lastRenderedPageBreak/>
              <w:t xml:space="preserve">Hepatobiliary disorders </w:t>
            </w:r>
          </w:p>
          <w:p w14:paraId="71279C71" w14:textId="2573E9FE"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single" w:sz="8" w:space="0" w:color="000000"/>
              <w:left w:val="single" w:sz="8" w:space="0" w:color="000000"/>
              <w:bottom w:val="single" w:sz="8" w:space="0" w:color="000000"/>
              <w:right w:val="single" w:sz="8" w:space="0" w:color="000000"/>
            </w:tcBorders>
          </w:tcPr>
          <w:p w14:paraId="4718F7D3" w14:textId="77777777" w:rsidR="00110CD6" w:rsidRDefault="00110CD6" w:rsidP="00110CD6">
            <w:pPr>
              <w:spacing w:after="0" w:line="259" w:lineRule="auto"/>
              <w:ind w:left="0" w:firstLine="0"/>
              <w:jc w:val="left"/>
              <w:rPr>
                <w:sz w:val="28"/>
                <w:szCs w:val="28"/>
              </w:rPr>
            </w:pPr>
          </w:p>
          <w:p w14:paraId="17A9866D" w14:textId="5BE04DE3" w:rsidR="004B09F3" w:rsidRPr="006B19C5" w:rsidRDefault="00000000" w:rsidP="00110CD6">
            <w:pPr>
              <w:spacing w:after="0" w:line="259" w:lineRule="auto"/>
              <w:ind w:left="0" w:firstLine="0"/>
              <w:jc w:val="left"/>
              <w:rPr>
                <w:sz w:val="28"/>
                <w:szCs w:val="28"/>
              </w:rPr>
            </w:pPr>
            <w:r w:rsidRPr="006B19C5">
              <w:rPr>
                <w:sz w:val="28"/>
                <w:szCs w:val="28"/>
              </w:rPr>
              <w:t>Jaundice cholestatic, hepatitis, cholelithiasis, cholecystitis, hepatic function abnormal</w:t>
            </w:r>
          </w:p>
        </w:tc>
      </w:tr>
      <w:tr w:rsidR="004B09F3" w:rsidRPr="006B19C5" w14:paraId="42297B6E" w14:textId="77777777" w:rsidTr="00110CD6">
        <w:trPr>
          <w:trHeight w:val="620"/>
        </w:trPr>
        <w:tc>
          <w:tcPr>
            <w:tcW w:w="4320" w:type="dxa"/>
            <w:tcBorders>
              <w:top w:val="single" w:sz="8" w:space="0" w:color="000000"/>
              <w:left w:val="single" w:sz="8" w:space="0" w:color="000000"/>
              <w:bottom w:val="nil"/>
              <w:right w:val="single" w:sz="8" w:space="0" w:color="000000"/>
            </w:tcBorders>
          </w:tcPr>
          <w:p w14:paraId="7BA9522C" w14:textId="77777777" w:rsidR="004B09F3" w:rsidRPr="006B19C5" w:rsidRDefault="00000000" w:rsidP="00110CD6">
            <w:pPr>
              <w:spacing w:after="4" w:line="259" w:lineRule="auto"/>
              <w:ind w:left="0" w:firstLine="0"/>
              <w:jc w:val="left"/>
              <w:rPr>
                <w:sz w:val="28"/>
                <w:szCs w:val="28"/>
              </w:rPr>
            </w:pPr>
            <w:r w:rsidRPr="006B19C5">
              <w:rPr>
                <w:b/>
                <w:sz w:val="28"/>
                <w:szCs w:val="28"/>
              </w:rPr>
              <w:t>Skin and subcutaneous tissue disorders</w:t>
            </w:r>
          </w:p>
          <w:p w14:paraId="29C25D65" w14:textId="77777777" w:rsidR="004B09F3" w:rsidRPr="006B19C5" w:rsidRDefault="00000000" w:rsidP="00110CD6">
            <w:pPr>
              <w:spacing w:after="0" w:line="259" w:lineRule="auto"/>
              <w:ind w:left="0" w:firstLine="0"/>
              <w:jc w:val="left"/>
              <w:rPr>
                <w:sz w:val="28"/>
                <w:szCs w:val="28"/>
              </w:rPr>
            </w:pPr>
            <w:r w:rsidRPr="006B19C5">
              <w:rPr>
                <w:sz w:val="28"/>
                <w:szCs w:val="28"/>
              </w:rPr>
              <w:t>Common</w:t>
            </w:r>
          </w:p>
        </w:tc>
        <w:tc>
          <w:tcPr>
            <w:tcW w:w="4320" w:type="dxa"/>
            <w:tcBorders>
              <w:top w:val="single" w:sz="8" w:space="0" w:color="000000"/>
              <w:left w:val="single" w:sz="8" w:space="0" w:color="000000"/>
              <w:bottom w:val="nil"/>
              <w:right w:val="single" w:sz="8" w:space="0" w:color="000000"/>
            </w:tcBorders>
          </w:tcPr>
          <w:p w14:paraId="0D47015F" w14:textId="77777777" w:rsidR="00110CD6" w:rsidRDefault="00110CD6" w:rsidP="00110CD6">
            <w:pPr>
              <w:spacing w:after="0" w:line="259" w:lineRule="auto"/>
              <w:ind w:left="0" w:firstLine="0"/>
              <w:jc w:val="left"/>
              <w:rPr>
                <w:sz w:val="28"/>
                <w:szCs w:val="28"/>
              </w:rPr>
            </w:pPr>
          </w:p>
          <w:p w14:paraId="0D791A7D" w14:textId="77777777" w:rsidR="00110CD6" w:rsidRDefault="00110CD6" w:rsidP="00110CD6">
            <w:pPr>
              <w:spacing w:after="0" w:line="259" w:lineRule="auto"/>
              <w:ind w:left="0" w:firstLine="0"/>
              <w:jc w:val="left"/>
              <w:rPr>
                <w:sz w:val="28"/>
                <w:szCs w:val="28"/>
              </w:rPr>
            </w:pPr>
          </w:p>
          <w:p w14:paraId="2085A577" w14:textId="780C5DD8" w:rsidR="004B09F3" w:rsidRPr="006B19C5" w:rsidRDefault="00000000" w:rsidP="00110CD6">
            <w:pPr>
              <w:spacing w:after="0" w:line="259" w:lineRule="auto"/>
              <w:ind w:left="0" w:firstLine="0"/>
              <w:jc w:val="left"/>
              <w:rPr>
                <w:sz w:val="28"/>
                <w:szCs w:val="28"/>
              </w:rPr>
            </w:pPr>
            <w:r w:rsidRPr="006B19C5">
              <w:rPr>
                <w:sz w:val="28"/>
                <w:szCs w:val="28"/>
              </w:rPr>
              <w:t>Eczema, rash</w:t>
            </w:r>
          </w:p>
        </w:tc>
      </w:tr>
      <w:tr w:rsidR="004B09F3" w:rsidRPr="006B19C5" w14:paraId="201C38CD" w14:textId="77777777" w:rsidTr="00110CD6">
        <w:trPr>
          <w:trHeight w:val="820"/>
        </w:trPr>
        <w:tc>
          <w:tcPr>
            <w:tcW w:w="4320" w:type="dxa"/>
            <w:tcBorders>
              <w:top w:val="nil"/>
              <w:left w:val="single" w:sz="8" w:space="0" w:color="000000"/>
              <w:bottom w:val="single" w:sz="8" w:space="0" w:color="000000"/>
              <w:right w:val="single" w:sz="8" w:space="0" w:color="000000"/>
            </w:tcBorders>
          </w:tcPr>
          <w:p w14:paraId="4C710373" w14:textId="77777777"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nil"/>
              <w:left w:val="single" w:sz="8" w:space="0" w:color="000000"/>
              <w:bottom w:val="single" w:sz="8" w:space="0" w:color="000000"/>
              <w:right w:val="single" w:sz="8" w:space="0" w:color="000000"/>
            </w:tcBorders>
          </w:tcPr>
          <w:p w14:paraId="269E4079" w14:textId="77777777" w:rsidR="004B09F3" w:rsidRPr="006B19C5" w:rsidRDefault="00000000" w:rsidP="00110CD6">
            <w:pPr>
              <w:spacing w:after="0" w:line="259" w:lineRule="auto"/>
              <w:ind w:left="0" w:firstLine="0"/>
              <w:jc w:val="left"/>
              <w:rPr>
                <w:sz w:val="28"/>
                <w:szCs w:val="28"/>
              </w:rPr>
            </w:pPr>
            <w:r w:rsidRPr="006B19C5">
              <w:rPr>
                <w:sz w:val="28"/>
                <w:szCs w:val="28"/>
              </w:rPr>
              <w:t>Angioedema, dermatitis exfoliative, urticaria, dermatitis,</w:t>
            </w:r>
            <w:r w:rsidRPr="006B19C5">
              <w:rPr>
                <w:sz w:val="28"/>
                <w:szCs w:val="28"/>
              </w:rPr>
              <w:tab/>
              <w:t>alopecia,</w:t>
            </w:r>
            <w:r w:rsidRPr="006B19C5">
              <w:rPr>
                <w:sz w:val="28"/>
                <w:szCs w:val="28"/>
              </w:rPr>
              <w:tab/>
              <w:t>photosensitivity reaction, pruritus</w:t>
            </w:r>
          </w:p>
        </w:tc>
      </w:tr>
      <w:tr w:rsidR="004B09F3" w:rsidRPr="006B19C5" w14:paraId="29D16D5B" w14:textId="77777777" w:rsidTr="00110CD6">
        <w:trPr>
          <w:trHeight w:val="1360"/>
        </w:trPr>
        <w:tc>
          <w:tcPr>
            <w:tcW w:w="4320" w:type="dxa"/>
            <w:tcBorders>
              <w:top w:val="single" w:sz="8" w:space="0" w:color="000000"/>
              <w:left w:val="single" w:sz="8" w:space="0" w:color="000000"/>
              <w:bottom w:val="single" w:sz="8" w:space="0" w:color="000000"/>
              <w:right w:val="single" w:sz="8" w:space="0" w:color="000000"/>
            </w:tcBorders>
          </w:tcPr>
          <w:p w14:paraId="75BBD7F4" w14:textId="77777777" w:rsidR="004B09F3" w:rsidRPr="006B19C5" w:rsidRDefault="00000000" w:rsidP="00110CD6">
            <w:pPr>
              <w:spacing w:after="0" w:line="243" w:lineRule="auto"/>
              <w:ind w:left="0" w:firstLine="0"/>
              <w:jc w:val="left"/>
              <w:rPr>
                <w:sz w:val="28"/>
                <w:szCs w:val="28"/>
              </w:rPr>
            </w:pPr>
            <w:r w:rsidRPr="006B19C5">
              <w:rPr>
                <w:b/>
                <w:sz w:val="28"/>
                <w:szCs w:val="28"/>
              </w:rPr>
              <w:t>Musculoskeletal and connective tissue disorders</w:t>
            </w:r>
          </w:p>
          <w:p w14:paraId="4258906B" w14:textId="77777777"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single" w:sz="8" w:space="0" w:color="000000"/>
              <w:left w:val="single" w:sz="8" w:space="0" w:color="000000"/>
              <w:bottom w:val="single" w:sz="8" w:space="0" w:color="000000"/>
              <w:right w:val="single" w:sz="8" w:space="0" w:color="000000"/>
            </w:tcBorders>
          </w:tcPr>
          <w:p w14:paraId="012CC20A" w14:textId="77777777" w:rsidR="00110CD6" w:rsidRDefault="00110CD6" w:rsidP="00110CD6">
            <w:pPr>
              <w:spacing w:after="0" w:line="259" w:lineRule="auto"/>
              <w:ind w:left="0" w:firstLine="0"/>
              <w:jc w:val="left"/>
              <w:rPr>
                <w:sz w:val="28"/>
                <w:szCs w:val="28"/>
              </w:rPr>
            </w:pPr>
          </w:p>
          <w:p w14:paraId="3F6C2561" w14:textId="77777777" w:rsidR="00110CD6" w:rsidRDefault="00110CD6" w:rsidP="00110CD6">
            <w:pPr>
              <w:spacing w:after="0" w:line="259" w:lineRule="auto"/>
              <w:ind w:left="0" w:firstLine="0"/>
              <w:jc w:val="left"/>
              <w:rPr>
                <w:sz w:val="28"/>
                <w:szCs w:val="28"/>
              </w:rPr>
            </w:pPr>
          </w:p>
          <w:p w14:paraId="5AA93E8C" w14:textId="2D1CA82A" w:rsidR="004B09F3" w:rsidRPr="006B19C5" w:rsidRDefault="00000000" w:rsidP="00110CD6">
            <w:pPr>
              <w:spacing w:after="0" w:line="259" w:lineRule="auto"/>
              <w:ind w:left="0" w:firstLine="0"/>
              <w:jc w:val="left"/>
              <w:rPr>
                <w:sz w:val="28"/>
                <w:szCs w:val="28"/>
              </w:rPr>
            </w:pPr>
            <w:r w:rsidRPr="006B19C5">
              <w:rPr>
                <w:sz w:val="28"/>
                <w:szCs w:val="28"/>
              </w:rPr>
              <w:t>Rhabdomyolysis, myopathy, myositis, muscular weakness, synovitis, myalgia, arthralgia, pain in extremity</w:t>
            </w:r>
          </w:p>
        </w:tc>
      </w:tr>
      <w:tr w:rsidR="004B09F3" w:rsidRPr="006B19C5" w14:paraId="6A0EDAB6" w14:textId="77777777" w:rsidTr="00110CD6">
        <w:trPr>
          <w:trHeight w:val="600"/>
        </w:trPr>
        <w:tc>
          <w:tcPr>
            <w:tcW w:w="4320" w:type="dxa"/>
            <w:tcBorders>
              <w:top w:val="single" w:sz="8" w:space="0" w:color="000000"/>
              <w:left w:val="single" w:sz="8" w:space="0" w:color="000000"/>
              <w:bottom w:val="single" w:sz="8" w:space="0" w:color="000000"/>
              <w:right w:val="single" w:sz="8" w:space="0" w:color="000000"/>
            </w:tcBorders>
          </w:tcPr>
          <w:p w14:paraId="625D167F" w14:textId="77777777" w:rsidR="004B09F3" w:rsidRPr="006B19C5" w:rsidRDefault="00000000" w:rsidP="00110CD6">
            <w:pPr>
              <w:spacing w:after="4" w:line="259" w:lineRule="auto"/>
              <w:ind w:left="0" w:firstLine="0"/>
              <w:jc w:val="left"/>
              <w:rPr>
                <w:sz w:val="28"/>
                <w:szCs w:val="28"/>
              </w:rPr>
            </w:pPr>
            <w:r w:rsidRPr="006B19C5">
              <w:rPr>
                <w:b/>
                <w:sz w:val="28"/>
                <w:szCs w:val="28"/>
              </w:rPr>
              <w:t>Reproductive system and breast disorder</w:t>
            </w:r>
          </w:p>
          <w:p w14:paraId="2834E932" w14:textId="77777777"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single" w:sz="8" w:space="0" w:color="000000"/>
              <w:left w:val="single" w:sz="8" w:space="0" w:color="000000"/>
              <w:bottom w:val="single" w:sz="8" w:space="0" w:color="000000"/>
              <w:right w:val="single" w:sz="8" w:space="0" w:color="000000"/>
            </w:tcBorders>
          </w:tcPr>
          <w:p w14:paraId="451B0BF3" w14:textId="77777777" w:rsidR="00110CD6" w:rsidRDefault="00110CD6" w:rsidP="00110CD6">
            <w:pPr>
              <w:spacing w:after="0" w:line="259" w:lineRule="auto"/>
              <w:ind w:left="0" w:firstLine="0"/>
              <w:jc w:val="left"/>
              <w:rPr>
                <w:sz w:val="28"/>
                <w:szCs w:val="28"/>
              </w:rPr>
            </w:pPr>
          </w:p>
          <w:p w14:paraId="3C18D42C" w14:textId="77777777" w:rsidR="00110CD6" w:rsidRDefault="00110CD6" w:rsidP="00110CD6">
            <w:pPr>
              <w:spacing w:after="0" w:line="259" w:lineRule="auto"/>
              <w:ind w:left="0" w:firstLine="0"/>
              <w:jc w:val="left"/>
              <w:rPr>
                <w:sz w:val="28"/>
                <w:szCs w:val="28"/>
              </w:rPr>
            </w:pPr>
          </w:p>
          <w:p w14:paraId="10E2DB97" w14:textId="39A64E5B" w:rsidR="004B09F3" w:rsidRPr="006B19C5" w:rsidRDefault="00000000" w:rsidP="00110CD6">
            <w:pPr>
              <w:spacing w:after="0" w:line="259" w:lineRule="auto"/>
              <w:ind w:left="0" w:firstLine="0"/>
              <w:jc w:val="left"/>
              <w:rPr>
                <w:sz w:val="28"/>
                <w:szCs w:val="28"/>
              </w:rPr>
            </w:pPr>
            <w:r w:rsidRPr="006B19C5">
              <w:rPr>
                <w:sz w:val="28"/>
                <w:szCs w:val="28"/>
              </w:rPr>
              <w:t>Erectile dysfunction</w:t>
            </w:r>
          </w:p>
        </w:tc>
      </w:tr>
      <w:tr w:rsidR="004B09F3" w:rsidRPr="006B19C5" w14:paraId="46D25AA8" w14:textId="77777777" w:rsidTr="00110CD6">
        <w:trPr>
          <w:trHeight w:val="820"/>
        </w:trPr>
        <w:tc>
          <w:tcPr>
            <w:tcW w:w="4320" w:type="dxa"/>
            <w:tcBorders>
              <w:top w:val="single" w:sz="8" w:space="0" w:color="000000"/>
              <w:left w:val="single" w:sz="8" w:space="0" w:color="000000"/>
              <w:bottom w:val="single" w:sz="8" w:space="0" w:color="000000"/>
              <w:right w:val="single" w:sz="8" w:space="0" w:color="000000"/>
            </w:tcBorders>
          </w:tcPr>
          <w:p w14:paraId="56E9746C" w14:textId="77777777" w:rsidR="004B09F3" w:rsidRPr="006B19C5" w:rsidRDefault="00000000" w:rsidP="00110CD6">
            <w:pPr>
              <w:spacing w:after="0" w:line="243" w:lineRule="auto"/>
              <w:ind w:left="0" w:firstLine="0"/>
              <w:jc w:val="left"/>
              <w:rPr>
                <w:sz w:val="28"/>
                <w:szCs w:val="28"/>
              </w:rPr>
            </w:pPr>
            <w:r w:rsidRPr="006B19C5">
              <w:rPr>
                <w:b/>
                <w:sz w:val="28"/>
                <w:szCs w:val="28"/>
              </w:rPr>
              <w:t>General disorders and administration site conditions</w:t>
            </w:r>
          </w:p>
          <w:p w14:paraId="55243A2F" w14:textId="77777777" w:rsidR="004B09F3" w:rsidRPr="006B19C5" w:rsidRDefault="00000000" w:rsidP="00110CD6">
            <w:pPr>
              <w:spacing w:after="0" w:line="259" w:lineRule="auto"/>
              <w:ind w:left="0" w:firstLine="0"/>
              <w:jc w:val="left"/>
              <w:rPr>
                <w:sz w:val="28"/>
                <w:szCs w:val="28"/>
              </w:rPr>
            </w:pPr>
            <w:r w:rsidRPr="006B19C5">
              <w:rPr>
                <w:sz w:val="28"/>
                <w:szCs w:val="28"/>
              </w:rPr>
              <w:t>Common</w:t>
            </w:r>
          </w:p>
        </w:tc>
        <w:tc>
          <w:tcPr>
            <w:tcW w:w="4320" w:type="dxa"/>
            <w:tcBorders>
              <w:top w:val="single" w:sz="8" w:space="0" w:color="000000"/>
              <w:left w:val="single" w:sz="8" w:space="0" w:color="000000"/>
              <w:bottom w:val="single" w:sz="8" w:space="0" w:color="000000"/>
              <w:right w:val="single" w:sz="8" w:space="0" w:color="000000"/>
            </w:tcBorders>
          </w:tcPr>
          <w:p w14:paraId="034CF99B" w14:textId="77777777" w:rsidR="00110CD6" w:rsidRDefault="00110CD6" w:rsidP="00110CD6">
            <w:pPr>
              <w:spacing w:after="0" w:line="259" w:lineRule="auto"/>
              <w:ind w:left="0" w:firstLine="0"/>
              <w:jc w:val="left"/>
              <w:rPr>
                <w:sz w:val="28"/>
                <w:szCs w:val="28"/>
              </w:rPr>
            </w:pPr>
          </w:p>
          <w:p w14:paraId="7DE153BE" w14:textId="77777777" w:rsidR="00110CD6" w:rsidRDefault="00110CD6" w:rsidP="00110CD6">
            <w:pPr>
              <w:spacing w:after="0" w:line="259" w:lineRule="auto"/>
              <w:ind w:left="0" w:firstLine="0"/>
              <w:jc w:val="left"/>
              <w:rPr>
                <w:sz w:val="28"/>
                <w:szCs w:val="28"/>
              </w:rPr>
            </w:pPr>
          </w:p>
          <w:p w14:paraId="69D90CF1" w14:textId="3B105D8A" w:rsidR="004B09F3" w:rsidRPr="006B19C5" w:rsidRDefault="00000000" w:rsidP="00110CD6">
            <w:pPr>
              <w:spacing w:after="0" w:line="259" w:lineRule="auto"/>
              <w:ind w:left="0" w:firstLine="0"/>
              <w:jc w:val="left"/>
              <w:rPr>
                <w:sz w:val="28"/>
                <w:szCs w:val="28"/>
              </w:rPr>
            </w:pPr>
            <w:r w:rsidRPr="006B19C5">
              <w:rPr>
                <w:sz w:val="28"/>
                <w:szCs w:val="28"/>
              </w:rPr>
              <w:t>Fatigue</w:t>
            </w:r>
          </w:p>
        </w:tc>
      </w:tr>
      <w:tr w:rsidR="004B09F3" w:rsidRPr="006B19C5" w14:paraId="13093A22" w14:textId="77777777" w:rsidTr="00110CD6">
        <w:trPr>
          <w:trHeight w:val="1140"/>
        </w:trPr>
        <w:tc>
          <w:tcPr>
            <w:tcW w:w="4320" w:type="dxa"/>
            <w:tcBorders>
              <w:top w:val="single" w:sz="8" w:space="0" w:color="000000"/>
              <w:left w:val="single" w:sz="8" w:space="0" w:color="000000"/>
              <w:bottom w:val="single" w:sz="8" w:space="0" w:color="000000"/>
              <w:right w:val="single" w:sz="8" w:space="0" w:color="000000"/>
            </w:tcBorders>
          </w:tcPr>
          <w:p w14:paraId="0EECC875" w14:textId="77777777" w:rsidR="004B09F3" w:rsidRPr="006B19C5" w:rsidRDefault="00000000" w:rsidP="00110CD6">
            <w:pPr>
              <w:spacing w:after="0" w:line="259" w:lineRule="auto"/>
              <w:ind w:left="0" w:firstLine="0"/>
              <w:jc w:val="left"/>
              <w:rPr>
                <w:sz w:val="28"/>
                <w:szCs w:val="28"/>
              </w:rPr>
            </w:pPr>
            <w:r w:rsidRPr="006B19C5">
              <w:rPr>
                <w:b/>
                <w:sz w:val="28"/>
                <w:szCs w:val="28"/>
              </w:rPr>
              <w:t>Investigations</w:t>
            </w:r>
          </w:p>
          <w:p w14:paraId="2CD2F9C9" w14:textId="77777777" w:rsidR="004B09F3" w:rsidRPr="006B19C5" w:rsidRDefault="00000000" w:rsidP="00110CD6">
            <w:pPr>
              <w:spacing w:after="0" w:line="259" w:lineRule="auto"/>
              <w:ind w:left="0" w:firstLine="0"/>
              <w:jc w:val="left"/>
              <w:rPr>
                <w:sz w:val="28"/>
                <w:szCs w:val="28"/>
              </w:rPr>
            </w:pPr>
            <w:r w:rsidRPr="006B19C5">
              <w:rPr>
                <w:sz w:val="28"/>
                <w:szCs w:val="28"/>
              </w:rPr>
              <w:t>Rare</w:t>
            </w:r>
          </w:p>
        </w:tc>
        <w:tc>
          <w:tcPr>
            <w:tcW w:w="4320" w:type="dxa"/>
            <w:tcBorders>
              <w:top w:val="single" w:sz="8" w:space="0" w:color="000000"/>
              <w:left w:val="single" w:sz="8" w:space="0" w:color="000000"/>
              <w:bottom w:val="single" w:sz="8" w:space="0" w:color="000000"/>
              <w:right w:val="single" w:sz="8" w:space="0" w:color="000000"/>
            </w:tcBorders>
          </w:tcPr>
          <w:p w14:paraId="3EEBBBA1" w14:textId="77777777" w:rsidR="00110CD6" w:rsidRDefault="00110CD6" w:rsidP="00110CD6">
            <w:pPr>
              <w:spacing w:after="0" w:line="259" w:lineRule="auto"/>
              <w:ind w:left="0" w:firstLine="0"/>
              <w:jc w:val="left"/>
              <w:rPr>
                <w:sz w:val="28"/>
                <w:szCs w:val="28"/>
              </w:rPr>
            </w:pPr>
          </w:p>
          <w:p w14:paraId="34C56039" w14:textId="4856A459" w:rsidR="004B09F3" w:rsidRPr="006B19C5" w:rsidRDefault="00000000" w:rsidP="00110CD6">
            <w:pPr>
              <w:spacing w:after="0" w:line="259" w:lineRule="auto"/>
              <w:ind w:left="0" w:firstLine="0"/>
              <w:jc w:val="left"/>
              <w:rPr>
                <w:sz w:val="28"/>
                <w:szCs w:val="28"/>
              </w:rPr>
            </w:pPr>
            <w:r w:rsidRPr="006B19C5">
              <w:rPr>
                <w:sz w:val="28"/>
                <w:szCs w:val="28"/>
              </w:rPr>
              <w:t>Haemoglobin decreased, haematocrit decreased, white blood cell count decreased, blood creatine phosphokinase increased</w:t>
            </w:r>
          </w:p>
        </w:tc>
      </w:tr>
    </w:tbl>
    <w:p w14:paraId="5D17FABE" w14:textId="77777777" w:rsidR="00110CD6" w:rsidRDefault="00000000" w:rsidP="00110CD6">
      <w:pPr>
        <w:pStyle w:val="Heading3"/>
        <w:spacing w:before="240" w:after="240" w:line="360" w:lineRule="auto"/>
        <w:ind w:left="714" w:hanging="11"/>
        <w:rPr>
          <w:sz w:val="28"/>
          <w:szCs w:val="28"/>
        </w:rPr>
      </w:pPr>
      <w:r w:rsidRPr="006B19C5">
        <w:rPr>
          <w:sz w:val="28"/>
          <w:szCs w:val="28"/>
        </w:rPr>
        <w:lastRenderedPageBreak/>
        <w:t>Reporting of suspected adverse reactions</w:t>
      </w:r>
    </w:p>
    <w:p w14:paraId="1FEF3BFF" w14:textId="133E6E3E" w:rsidR="004B09F3" w:rsidRPr="00110CD6" w:rsidRDefault="00000000" w:rsidP="00110CD6">
      <w:pPr>
        <w:pStyle w:val="Heading3"/>
        <w:spacing w:before="240" w:after="240" w:line="360" w:lineRule="auto"/>
        <w:ind w:left="714" w:hanging="11"/>
        <w:jc w:val="thaiDistribute"/>
        <w:rPr>
          <w:sz w:val="28"/>
          <w:szCs w:val="28"/>
          <w:u w:val="none"/>
        </w:rPr>
      </w:pPr>
      <w:r w:rsidRPr="00110CD6">
        <w:rPr>
          <w:sz w:val="28"/>
          <w:szCs w:val="28"/>
          <w:u w:val="none"/>
        </w:rPr>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p>
    <w:p w14:paraId="7BBA38C4" w14:textId="77777777" w:rsidR="00110CD6" w:rsidRDefault="00000000" w:rsidP="00110CD6">
      <w:pPr>
        <w:pStyle w:val="Heading2"/>
        <w:numPr>
          <w:ilvl w:val="1"/>
          <w:numId w:val="4"/>
        </w:numPr>
        <w:tabs>
          <w:tab w:val="center" w:pos="1215"/>
        </w:tabs>
        <w:spacing w:after="240" w:line="264" w:lineRule="auto"/>
        <w:ind w:left="788" w:hanging="431"/>
        <w:rPr>
          <w:sz w:val="28"/>
          <w:szCs w:val="28"/>
        </w:rPr>
      </w:pPr>
      <w:r w:rsidRPr="006B19C5">
        <w:rPr>
          <w:sz w:val="28"/>
          <w:szCs w:val="28"/>
        </w:rPr>
        <w:t>Overdose</w:t>
      </w:r>
    </w:p>
    <w:p w14:paraId="43A4A8B4" w14:textId="28C7A962" w:rsidR="004B09F3" w:rsidRPr="00110CD6" w:rsidRDefault="00000000" w:rsidP="00110CD6">
      <w:pPr>
        <w:pStyle w:val="Heading2"/>
        <w:tabs>
          <w:tab w:val="center" w:pos="1215"/>
        </w:tabs>
        <w:spacing w:after="240" w:line="360" w:lineRule="auto"/>
        <w:ind w:left="788" w:firstLine="0"/>
        <w:jc w:val="thaiDistribute"/>
        <w:rPr>
          <w:b w:val="0"/>
          <w:bCs/>
          <w:sz w:val="28"/>
          <w:szCs w:val="28"/>
        </w:rPr>
      </w:pPr>
      <w:r w:rsidRPr="00110CD6">
        <w:rPr>
          <w:b w:val="0"/>
          <w:bCs/>
          <w:sz w:val="28"/>
          <w:szCs w:val="28"/>
        </w:rPr>
        <w:t>Overdose has been reported. Symptoms reported with overdosage were abdominal cramps, abnormal LFT’s, diarrhea, increased CPK, joint and muscle pain, nausea and vomiting. The patients fully recovered. Symptomatic supportive measures should be taken if overdose occurs.</w:t>
      </w:r>
    </w:p>
    <w:p w14:paraId="2C63DA7A" w14:textId="77777777" w:rsidR="00110CD6" w:rsidRDefault="00000000" w:rsidP="00110CD6">
      <w:pPr>
        <w:pStyle w:val="Heading1"/>
        <w:numPr>
          <w:ilvl w:val="0"/>
          <w:numId w:val="4"/>
        </w:numPr>
        <w:tabs>
          <w:tab w:val="center" w:pos="3150"/>
        </w:tabs>
        <w:spacing w:after="240" w:line="264" w:lineRule="auto"/>
        <w:ind w:left="357" w:hanging="357"/>
        <w:rPr>
          <w:szCs w:val="28"/>
        </w:rPr>
      </w:pPr>
      <w:r w:rsidRPr="006B19C5">
        <w:rPr>
          <w:szCs w:val="28"/>
        </w:rPr>
        <w:t>PHARMACOLOGICAL PROPERTIES</w:t>
      </w:r>
    </w:p>
    <w:p w14:paraId="486B7661" w14:textId="77777777" w:rsidR="00110CD6" w:rsidRDefault="00000000" w:rsidP="00110CD6">
      <w:pPr>
        <w:pStyle w:val="Heading1"/>
        <w:numPr>
          <w:ilvl w:val="1"/>
          <w:numId w:val="4"/>
        </w:numPr>
        <w:tabs>
          <w:tab w:val="center" w:pos="3150"/>
        </w:tabs>
        <w:spacing w:after="240" w:line="264" w:lineRule="auto"/>
        <w:ind w:left="788" w:hanging="431"/>
        <w:rPr>
          <w:szCs w:val="28"/>
        </w:rPr>
      </w:pPr>
      <w:r w:rsidRPr="00110CD6">
        <w:rPr>
          <w:szCs w:val="28"/>
        </w:rPr>
        <w:t>Pharmacodynamic properties</w:t>
      </w:r>
    </w:p>
    <w:p w14:paraId="42EF1C8A" w14:textId="77777777" w:rsidR="00110CD6" w:rsidRPr="00110CD6" w:rsidRDefault="00000000" w:rsidP="00110CD6">
      <w:pPr>
        <w:pStyle w:val="Heading1"/>
        <w:tabs>
          <w:tab w:val="center" w:pos="3150"/>
        </w:tabs>
        <w:spacing w:after="240" w:line="360" w:lineRule="auto"/>
        <w:ind w:left="788" w:firstLine="0"/>
        <w:rPr>
          <w:b w:val="0"/>
          <w:bCs/>
          <w:szCs w:val="28"/>
        </w:rPr>
      </w:pPr>
      <w:r w:rsidRPr="00110CD6">
        <w:rPr>
          <w:b w:val="0"/>
          <w:bCs/>
          <w:szCs w:val="28"/>
        </w:rPr>
        <w:t>Pharmacotherapeutic group: Serum-lipid lowering agent</w:t>
      </w:r>
    </w:p>
    <w:p w14:paraId="65690D74" w14:textId="77777777" w:rsidR="00110CD6" w:rsidRPr="00110CD6" w:rsidRDefault="00000000" w:rsidP="00110CD6">
      <w:pPr>
        <w:pStyle w:val="Heading1"/>
        <w:tabs>
          <w:tab w:val="center" w:pos="3150"/>
        </w:tabs>
        <w:spacing w:after="240" w:line="360" w:lineRule="auto"/>
        <w:ind w:left="788" w:firstLine="0"/>
        <w:rPr>
          <w:b w:val="0"/>
          <w:bCs/>
          <w:szCs w:val="28"/>
        </w:rPr>
      </w:pPr>
      <w:r w:rsidRPr="00110CD6">
        <w:rPr>
          <w:b w:val="0"/>
          <w:bCs/>
          <w:szCs w:val="28"/>
        </w:rPr>
        <w:t>Chemical subgroup: Fibrate</w:t>
      </w:r>
    </w:p>
    <w:p w14:paraId="46F03A93" w14:textId="608B91E6" w:rsidR="004B09F3" w:rsidRPr="00110CD6" w:rsidRDefault="00000000" w:rsidP="00110CD6">
      <w:pPr>
        <w:pStyle w:val="Heading1"/>
        <w:tabs>
          <w:tab w:val="center" w:pos="3150"/>
        </w:tabs>
        <w:spacing w:after="240" w:line="360" w:lineRule="auto"/>
        <w:ind w:left="788" w:firstLine="0"/>
        <w:rPr>
          <w:b w:val="0"/>
          <w:bCs/>
          <w:szCs w:val="28"/>
        </w:rPr>
      </w:pPr>
      <w:r w:rsidRPr="00110CD6">
        <w:rPr>
          <w:b w:val="0"/>
          <w:bCs/>
          <w:szCs w:val="28"/>
        </w:rPr>
        <w:t>ATC code: C10A B04</w:t>
      </w:r>
    </w:p>
    <w:p w14:paraId="0903E6F5" w14:textId="77777777" w:rsidR="004B09F3" w:rsidRPr="006B19C5" w:rsidRDefault="00000000" w:rsidP="00110CD6">
      <w:pPr>
        <w:spacing w:after="240" w:line="360" w:lineRule="auto"/>
        <w:ind w:left="737" w:firstLine="0"/>
        <w:rPr>
          <w:sz w:val="28"/>
          <w:szCs w:val="28"/>
        </w:rPr>
      </w:pPr>
      <w:r w:rsidRPr="006B19C5">
        <w:rPr>
          <w:sz w:val="28"/>
          <w:szCs w:val="28"/>
        </w:rPr>
        <w:t>Gemfibrozil is a non-halogenated phenoxypentanoic acid. Gemfibrozil is a lipid regulating agent which regulates lipid fractions.</w:t>
      </w:r>
    </w:p>
    <w:p w14:paraId="75BFF867" w14:textId="77777777" w:rsidR="004B09F3" w:rsidRPr="006B19C5" w:rsidRDefault="00000000" w:rsidP="00110CD6">
      <w:pPr>
        <w:spacing w:after="240" w:line="360" w:lineRule="auto"/>
        <w:ind w:left="737" w:firstLine="0"/>
        <w:rPr>
          <w:sz w:val="28"/>
          <w:szCs w:val="28"/>
        </w:rPr>
      </w:pPr>
      <w:r w:rsidRPr="006B19C5">
        <w:rPr>
          <w:sz w:val="28"/>
          <w:szCs w:val="28"/>
        </w:rPr>
        <w:t xml:space="preserve">Gemfibrozil's mechanism of action has not been definitively established. In man, gemfibrozil stimulates the peripheral lipolysis of triglyceride rich lipoproteins such as VLDL and cholymicrons (by stimulation of LPL). Gemfibrozil also inhibits synthesis of VLDL in the liver. </w:t>
      </w:r>
      <w:r w:rsidRPr="006B19C5">
        <w:rPr>
          <w:sz w:val="28"/>
          <w:szCs w:val="28"/>
        </w:rPr>
        <w:lastRenderedPageBreak/>
        <w:t>Gemfibrozil increases the HDL</w:t>
      </w:r>
      <w:r w:rsidRPr="006B19C5">
        <w:rPr>
          <w:sz w:val="28"/>
          <w:szCs w:val="28"/>
          <w:vertAlign w:val="subscript"/>
        </w:rPr>
        <w:t xml:space="preserve">2 </w:t>
      </w:r>
      <w:r w:rsidRPr="006B19C5">
        <w:rPr>
          <w:sz w:val="28"/>
          <w:szCs w:val="28"/>
        </w:rPr>
        <w:t>and HDL</w:t>
      </w:r>
      <w:r w:rsidRPr="006B19C5">
        <w:rPr>
          <w:sz w:val="28"/>
          <w:szCs w:val="28"/>
          <w:vertAlign w:val="subscript"/>
        </w:rPr>
        <w:t xml:space="preserve">3 </w:t>
      </w:r>
      <w:r w:rsidRPr="006B19C5">
        <w:rPr>
          <w:sz w:val="28"/>
          <w:szCs w:val="28"/>
        </w:rPr>
        <w:t>subfractions as well as apolipoprotein A-I and A-II.</w:t>
      </w:r>
    </w:p>
    <w:p w14:paraId="60A9787C" w14:textId="77777777" w:rsidR="004B09F3" w:rsidRPr="006B19C5" w:rsidRDefault="00000000" w:rsidP="00110CD6">
      <w:pPr>
        <w:spacing w:after="240" w:line="360" w:lineRule="auto"/>
        <w:ind w:left="737" w:firstLine="0"/>
        <w:rPr>
          <w:sz w:val="28"/>
          <w:szCs w:val="28"/>
        </w:rPr>
      </w:pPr>
      <w:r w:rsidRPr="006B19C5">
        <w:rPr>
          <w:sz w:val="28"/>
          <w:szCs w:val="28"/>
        </w:rPr>
        <w:t>Animal studies suggest that the turnover and removal of cholesterol from the liver is increased by gemfibrozil.</w:t>
      </w:r>
    </w:p>
    <w:p w14:paraId="36F65D17" w14:textId="77777777" w:rsidR="00110CD6" w:rsidRDefault="00000000" w:rsidP="00110CD6">
      <w:pPr>
        <w:spacing w:after="240" w:line="360" w:lineRule="auto"/>
        <w:ind w:left="737" w:firstLine="0"/>
        <w:rPr>
          <w:sz w:val="28"/>
          <w:szCs w:val="28"/>
        </w:rPr>
      </w:pPr>
      <w:r w:rsidRPr="006B19C5">
        <w:rPr>
          <w:sz w:val="28"/>
          <w:szCs w:val="28"/>
        </w:rPr>
        <w:t>There is evidence that treatment with fibrates may reduce coronary heart disease events but they have not been shown to decrease all cause mortality in the primary or secondary prevention of cardiovascular disease.</w:t>
      </w:r>
    </w:p>
    <w:p w14:paraId="2B24BDAC" w14:textId="6C028006" w:rsidR="004B09F3" w:rsidRPr="006B19C5" w:rsidRDefault="00000000" w:rsidP="00110CD6">
      <w:pPr>
        <w:spacing w:before="240" w:after="240" w:line="360" w:lineRule="auto"/>
        <w:ind w:left="737" w:firstLine="0"/>
        <w:rPr>
          <w:sz w:val="28"/>
          <w:szCs w:val="28"/>
        </w:rPr>
      </w:pPr>
      <w:r w:rsidRPr="006B19C5">
        <w:rPr>
          <w:sz w:val="28"/>
          <w:szCs w:val="28"/>
        </w:rPr>
        <w:t xml:space="preserve">In the Helsinki Heart Study, which was a large placebo-controlled study with 4081 male subjects, 40 to 55 years of age, with primary dyslipidaemia (predominantly raised non-HDL cholesterol +/- hypertriglyceridaemia), but no previous history of coronary heart disease, gemfibrozil 600 mg twice daily, produced a significant reduction in total plasma triglycerides, total and low density lipoprotein cholesterol and a significant increase in high density lipoprotein cholesterol. The cumulative rate of cardiac end-points (cardiac death and non-fatal myocardial infarction) during a 5 year follow-up was 27.3/1,000 in the gemfibrozil group (56 subjects) and 41.4/1000 in the placebo group (84 subjects) showing a relative risk reduction of 34.0% (95% confidence interval 8.2 to 52.6, p&lt;0.02) and an absolute risk reduction of 1.4% in the gemfibrozil group compared to placebo. There was a 37% reduction in non-fatal myocardial infarction and a 26% reduction in cardiac deaths. The number of deaths from all causes was, however, not different (44 in the gemfibrozil group and 43 in the placebo group). Diabetes patients </w:t>
      </w:r>
      <w:r w:rsidRPr="006B19C5">
        <w:rPr>
          <w:sz w:val="28"/>
          <w:szCs w:val="28"/>
        </w:rPr>
        <w:lastRenderedPageBreak/>
        <w:t>and patients with severe lipid fraction deviations showed a 68% and 71% reduction of CHD endpoints, respectively.</w:t>
      </w:r>
    </w:p>
    <w:p w14:paraId="3B8D3AA3" w14:textId="77777777" w:rsidR="004B09F3" w:rsidRPr="006B19C5" w:rsidRDefault="00000000" w:rsidP="00110CD6">
      <w:pPr>
        <w:spacing w:after="240" w:line="360" w:lineRule="auto"/>
        <w:ind w:left="737" w:firstLine="0"/>
        <w:rPr>
          <w:sz w:val="28"/>
          <w:szCs w:val="28"/>
        </w:rPr>
      </w:pPr>
      <w:r w:rsidRPr="006B19C5">
        <w:rPr>
          <w:sz w:val="28"/>
          <w:szCs w:val="28"/>
        </w:rPr>
        <w:t>The VA-HIT study was a double-blind study comparing gemfibrozil (1200 mg per day) with placebo in 2531 men with a history of coronary heart disease, HDL-C levels of &lt; 40 mg/dL (1.0 mmol/L), and normal LDL C levels. After one year, the mean HDL-C level was 6% higher and the mean triglyceride level was 31% lower in the gemfibrozil group than in the placebo group. The primary event of non-fatal myocardial infarction or cardiac death occurred in 17.3% of gemfibrozil-treated and 21.7% of placebo-treated patients (reduction in relative risk 22%; 95% CI, 7 to 35 %; P=0.006). Among secondary outcomes, patients treated with gemfibrozil experienced relative risk reductions of 25% (95% CI–6-47%, p=0.10) for stroke, 24% (95% CI 1136%, p&lt; 0.001) for the combined outcome of death from CHD, non-fatal myocardial infarction, or confirmed stroke, 59% (95% CI 33-75%, p&lt;0.001) for transient ischaemic attack, and 65% (95% CI 37-80%, p&lt; 0.001) for carotid endarterectomy.</w:t>
      </w:r>
    </w:p>
    <w:p w14:paraId="340F602C" w14:textId="070AF95C" w:rsidR="004B09F3" w:rsidRPr="006B19C5" w:rsidRDefault="00000000" w:rsidP="00110CD6">
      <w:pPr>
        <w:pStyle w:val="Heading2"/>
        <w:numPr>
          <w:ilvl w:val="1"/>
          <w:numId w:val="4"/>
        </w:numPr>
        <w:tabs>
          <w:tab w:val="center" w:pos="2160"/>
        </w:tabs>
        <w:spacing w:after="240" w:line="264" w:lineRule="auto"/>
        <w:ind w:left="788" w:hanging="431"/>
        <w:rPr>
          <w:sz w:val="28"/>
          <w:szCs w:val="28"/>
        </w:rPr>
      </w:pPr>
      <w:r w:rsidRPr="006B19C5">
        <w:rPr>
          <w:sz w:val="28"/>
          <w:szCs w:val="28"/>
        </w:rPr>
        <w:t>Pharmacokinetic properties</w:t>
      </w:r>
    </w:p>
    <w:p w14:paraId="4CE95379" w14:textId="77777777" w:rsidR="004B09F3" w:rsidRPr="006B19C5" w:rsidRDefault="00000000" w:rsidP="00110CD6">
      <w:pPr>
        <w:pStyle w:val="Heading3"/>
        <w:spacing w:after="240"/>
        <w:ind w:left="714" w:hanging="11"/>
        <w:rPr>
          <w:sz w:val="28"/>
          <w:szCs w:val="28"/>
        </w:rPr>
      </w:pPr>
      <w:r w:rsidRPr="006B19C5">
        <w:rPr>
          <w:sz w:val="28"/>
          <w:szCs w:val="28"/>
        </w:rPr>
        <w:t>Absorption</w:t>
      </w:r>
    </w:p>
    <w:p w14:paraId="2E341A7B" w14:textId="77777777" w:rsidR="004B09F3" w:rsidRPr="006B19C5" w:rsidRDefault="00000000" w:rsidP="00110CD6">
      <w:pPr>
        <w:spacing w:after="240" w:line="360" w:lineRule="auto"/>
        <w:ind w:left="737" w:firstLine="726"/>
        <w:rPr>
          <w:sz w:val="28"/>
          <w:szCs w:val="28"/>
        </w:rPr>
      </w:pPr>
      <w:r w:rsidRPr="006B19C5">
        <w:rPr>
          <w:sz w:val="28"/>
          <w:szCs w:val="28"/>
        </w:rPr>
        <w:t>Gemfibrozil is well absorbed from the gastro-intestinal tract after oral administration with a bioavailability close to 100%. As the presence of food alters the bioavailability slightly gemfibrozil should be taken 30 minutes before a meal. Peak plasma levels occur in one to two hours. After administration of 600 mg twice daily a C</w:t>
      </w:r>
      <w:r w:rsidRPr="006B19C5">
        <w:rPr>
          <w:sz w:val="28"/>
          <w:szCs w:val="28"/>
          <w:vertAlign w:val="subscript"/>
        </w:rPr>
        <w:t xml:space="preserve">max </w:t>
      </w:r>
      <w:r w:rsidRPr="006B19C5">
        <w:rPr>
          <w:sz w:val="28"/>
          <w:szCs w:val="28"/>
        </w:rPr>
        <w:t>in the range 15 to 25 mg/L is obtained.</w:t>
      </w:r>
    </w:p>
    <w:p w14:paraId="1FE8AC23" w14:textId="77777777" w:rsidR="004B09F3" w:rsidRPr="006B19C5" w:rsidRDefault="00000000" w:rsidP="00110CD6">
      <w:pPr>
        <w:pStyle w:val="Heading3"/>
        <w:spacing w:after="240"/>
        <w:ind w:left="714" w:hanging="11"/>
        <w:rPr>
          <w:sz w:val="28"/>
          <w:szCs w:val="28"/>
        </w:rPr>
      </w:pPr>
      <w:r w:rsidRPr="006B19C5">
        <w:rPr>
          <w:sz w:val="28"/>
          <w:szCs w:val="28"/>
        </w:rPr>
        <w:lastRenderedPageBreak/>
        <w:t>Distribution</w:t>
      </w:r>
    </w:p>
    <w:p w14:paraId="3C20912F" w14:textId="77777777" w:rsidR="004B09F3" w:rsidRPr="006B19C5" w:rsidRDefault="00000000" w:rsidP="00110CD6">
      <w:pPr>
        <w:spacing w:after="240" w:line="360" w:lineRule="auto"/>
        <w:ind w:left="737" w:firstLine="0"/>
        <w:rPr>
          <w:sz w:val="28"/>
          <w:szCs w:val="28"/>
        </w:rPr>
      </w:pPr>
      <w:r w:rsidRPr="006B19C5">
        <w:rPr>
          <w:sz w:val="28"/>
          <w:szCs w:val="28"/>
        </w:rPr>
        <w:t>Volume of distribution at steady state is 9-13 l. The plasma protein binding of gemfibrozil and its main metabolite are at least 97%.</w:t>
      </w:r>
    </w:p>
    <w:p w14:paraId="486E8314" w14:textId="77777777" w:rsidR="004B09F3" w:rsidRPr="006B19C5" w:rsidRDefault="00000000" w:rsidP="00110CD6">
      <w:pPr>
        <w:pStyle w:val="Heading3"/>
        <w:spacing w:after="240"/>
        <w:ind w:left="714" w:hanging="11"/>
        <w:rPr>
          <w:sz w:val="28"/>
          <w:szCs w:val="28"/>
        </w:rPr>
      </w:pPr>
      <w:r w:rsidRPr="006B19C5">
        <w:rPr>
          <w:sz w:val="28"/>
          <w:szCs w:val="28"/>
        </w:rPr>
        <w:t>Biotransformation</w:t>
      </w:r>
    </w:p>
    <w:p w14:paraId="52A76949" w14:textId="77777777" w:rsidR="004B09F3" w:rsidRPr="006B19C5" w:rsidRDefault="00000000" w:rsidP="00110CD6">
      <w:pPr>
        <w:spacing w:after="240" w:line="360" w:lineRule="auto"/>
        <w:ind w:left="737" w:firstLine="0"/>
        <w:rPr>
          <w:sz w:val="28"/>
          <w:szCs w:val="28"/>
        </w:rPr>
      </w:pPr>
      <w:r w:rsidRPr="006B19C5">
        <w:rPr>
          <w:sz w:val="28"/>
          <w:szCs w:val="28"/>
        </w:rPr>
        <w:t>Gemfibrozil undergoes oxidation of a ring methyl group to form successively a hydroxymethyl and a carboxyl metabolite (the main metabolite). This metabolite has a low activity compared to the mother compound gemfibrozil and an elimination halflife of approximately 20 hours. Glucuronidation to gemfibrozil 1-O-</w:t>
      </w:r>
      <w:r w:rsidRPr="006B19C5">
        <w:rPr>
          <w:rFonts w:eastAsia="Arial"/>
          <w:sz w:val="28"/>
          <w:szCs w:val="28"/>
        </w:rPr>
        <w:t>β</w:t>
      </w:r>
      <w:r w:rsidRPr="006B19C5">
        <w:rPr>
          <w:sz w:val="28"/>
          <w:szCs w:val="28"/>
        </w:rPr>
        <w:t>-glucuronide is another important elimination pathway for gemfibrozil in man.</w:t>
      </w:r>
    </w:p>
    <w:p w14:paraId="412801AD" w14:textId="15299A22" w:rsidR="004B09F3" w:rsidRPr="006B19C5" w:rsidRDefault="00000000" w:rsidP="00110CD6">
      <w:pPr>
        <w:spacing w:after="240" w:line="360" w:lineRule="auto"/>
        <w:ind w:left="737" w:firstLine="0"/>
        <w:jc w:val="thaiDistribute"/>
        <w:rPr>
          <w:sz w:val="28"/>
          <w:szCs w:val="28"/>
        </w:rPr>
      </w:pPr>
      <w:r w:rsidRPr="006B19C5">
        <w:rPr>
          <w:sz w:val="28"/>
          <w:szCs w:val="28"/>
        </w:rPr>
        <w:t>The enzymes involved in the metabolism of gemfibrozil are not known. The interaction profile of gemfibrozil and its metabolites is complex (see sections 4.3, 4.4 and 4.5). In vitro and in vivo studies have shown that gemfibrozil inhibits CYP2C8,</w:t>
      </w:r>
      <w:r w:rsidR="00110CD6">
        <w:rPr>
          <w:sz w:val="28"/>
          <w:szCs w:val="28"/>
        </w:rPr>
        <w:t xml:space="preserve"> </w:t>
      </w:r>
      <w:r w:rsidRPr="006B19C5">
        <w:rPr>
          <w:sz w:val="28"/>
          <w:szCs w:val="28"/>
        </w:rPr>
        <w:t>CYP2C9,</w:t>
      </w:r>
      <w:r w:rsidRPr="006B19C5">
        <w:rPr>
          <w:sz w:val="28"/>
          <w:szCs w:val="28"/>
        </w:rPr>
        <w:tab/>
        <w:t>CYP2C19,</w:t>
      </w:r>
      <w:r w:rsidRPr="006B19C5">
        <w:rPr>
          <w:sz w:val="28"/>
          <w:szCs w:val="28"/>
        </w:rPr>
        <w:tab/>
        <w:t>CYP1A2,</w:t>
      </w:r>
      <w:r w:rsidR="00110CD6">
        <w:rPr>
          <w:sz w:val="28"/>
          <w:szCs w:val="28"/>
        </w:rPr>
        <w:t xml:space="preserve"> </w:t>
      </w:r>
      <w:r w:rsidRPr="006B19C5">
        <w:rPr>
          <w:sz w:val="28"/>
          <w:szCs w:val="28"/>
        </w:rPr>
        <w:t>UGTA1,</w:t>
      </w:r>
      <w:r w:rsidR="00110CD6">
        <w:rPr>
          <w:sz w:val="28"/>
          <w:szCs w:val="28"/>
        </w:rPr>
        <w:t xml:space="preserve"> </w:t>
      </w:r>
      <w:r w:rsidRPr="006B19C5">
        <w:rPr>
          <w:sz w:val="28"/>
          <w:szCs w:val="28"/>
        </w:rPr>
        <w:t>UGTA3</w:t>
      </w:r>
      <w:r w:rsidR="00110CD6">
        <w:rPr>
          <w:sz w:val="28"/>
          <w:szCs w:val="28"/>
        </w:rPr>
        <w:t xml:space="preserve"> </w:t>
      </w:r>
      <w:r w:rsidRPr="006B19C5">
        <w:rPr>
          <w:sz w:val="28"/>
          <w:szCs w:val="28"/>
        </w:rPr>
        <w:t>and</w:t>
      </w:r>
      <w:r w:rsidR="00110CD6">
        <w:rPr>
          <w:sz w:val="28"/>
          <w:szCs w:val="28"/>
        </w:rPr>
        <w:t xml:space="preserve"> </w:t>
      </w:r>
      <w:r w:rsidRPr="006B19C5">
        <w:rPr>
          <w:sz w:val="28"/>
          <w:szCs w:val="28"/>
        </w:rPr>
        <w:t>OATP1B1.</w:t>
      </w:r>
      <w:r w:rsidR="00110CD6">
        <w:rPr>
          <w:sz w:val="28"/>
          <w:szCs w:val="28"/>
        </w:rPr>
        <w:t xml:space="preserve"> </w:t>
      </w:r>
      <w:r w:rsidRPr="006B19C5">
        <w:rPr>
          <w:sz w:val="28"/>
          <w:szCs w:val="28"/>
        </w:rPr>
        <w:t>Gemfibrozil</w:t>
      </w:r>
      <w:r w:rsidR="00110CD6">
        <w:rPr>
          <w:sz w:val="28"/>
          <w:szCs w:val="28"/>
        </w:rPr>
        <w:t xml:space="preserve"> </w:t>
      </w:r>
      <w:r w:rsidRPr="006B19C5">
        <w:rPr>
          <w:sz w:val="28"/>
          <w:szCs w:val="28"/>
        </w:rPr>
        <w:t>1-O-</w:t>
      </w:r>
      <w:r w:rsidRPr="006B19C5">
        <w:rPr>
          <w:rFonts w:eastAsia="Arial"/>
          <w:sz w:val="28"/>
          <w:szCs w:val="28"/>
        </w:rPr>
        <w:t>β</w:t>
      </w:r>
      <w:r w:rsidRPr="006B19C5">
        <w:rPr>
          <w:sz w:val="28"/>
          <w:szCs w:val="28"/>
        </w:rPr>
        <w:t>glucuronide also inhibits CYP2C8 and OATP1B1.</w:t>
      </w:r>
    </w:p>
    <w:p w14:paraId="36D5232A" w14:textId="77777777" w:rsidR="004B09F3" w:rsidRPr="006B19C5" w:rsidRDefault="00000000" w:rsidP="00110CD6">
      <w:pPr>
        <w:pStyle w:val="Heading3"/>
        <w:spacing w:after="240"/>
        <w:ind w:left="714" w:hanging="11"/>
        <w:rPr>
          <w:sz w:val="28"/>
          <w:szCs w:val="28"/>
        </w:rPr>
      </w:pPr>
      <w:r w:rsidRPr="006B19C5">
        <w:rPr>
          <w:sz w:val="28"/>
          <w:szCs w:val="28"/>
        </w:rPr>
        <w:t>Elimination</w:t>
      </w:r>
    </w:p>
    <w:p w14:paraId="29B2C984" w14:textId="77777777" w:rsidR="004B09F3" w:rsidRPr="006B19C5" w:rsidRDefault="00000000" w:rsidP="00110CD6">
      <w:pPr>
        <w:spacing w:after="240" w:line="360" w:lineRule="auto"/>
        <w:ind w:left="737" w:firstLine="0"/>
        <w:rPr>
          <w:sz w:val="28"/>
          <w:szCs w:val="28"/>
        </w:rPr>
      </w:pPr>
      <w:r w:rsidRPr="006B19C5">
        <w:rPr>
          <w:sz w:val="28"/>
          <w:szCs w:val="28"/>
        </w:rPr>
        <w:t>Gemfibrozil is eliminated mainly by metabolism. Approximately 70% of the administered human dose is excreted in the urine, mainly as conjugates of gemfibrozil and its metabolites. Less than 6% of the dose is excreted unchanged in the urine. Six percent of the dose is found in faeces. The total clearance of gemfibrozil is in the range 100 to 160 ml/min, and the elimination half-life is in the range 1.3 to 1.5 hours. The pharmacokinetics is linear within the therapeutic dose range.</w:t>
      </w:r>
    </w:p>
    <w:p w14:paraId="4AE99CD4" w14:textId="77777777" w:rsidR="004B09F3" w:rsidRPr="006B19C5" w:rsidRDefault="00000000" w:rsidP="00110CD6">
      <w:pPr>
        <w:pStyle w:val="Heading3"/>
        <w:spacing w:after="240"/>
        <w:ind w:left="714" w:hanging="11"/>
        <w:rPr>
          <w:sz w:val="28"/>
          <w:szCs w:val="28"/>
        </w:rPr>
      </w:pPr>
      <w:r w:rsidRPr="006B19C5">
        <w:rPr>
          <w:sz w:val="28"/>
          <w:szCs w:val="28"/>
        </w:rPr>
        <w:lastRenderedPageBreak/>
        <w:t>Special patient groups</w:t>
      </w:r>
    </w:p>
    <w:p w14:paraId="7F323C9D" w14:textId="719EA6C8" w:rsidR="004B09F3" w:rsidRPr="006B19C5" w:rsidRDefault="00000000" w:rsidP="00110CD6">
      <w:pPr>
        <w:spacing w:after="240" w:line="360" w:lineRule="auto"/>
        <w:ind w:left="737" w:firstLine="0"/>
        <w:rPr>
          <w:sz w:val="28"/>
          <w:szCs w:val="28"/>
        </w:rPr>
      </w:pPr>
      <w:r w:rsidRPr="006B19C5">
        <w:rPr>
          <w:sz w:val="28"/>
          <w:szCs w:val="28"/>
        </w:rPr>
        <w:t>No pharmacokinetic studies have been performed in patients with impaired hepatic function.</w:t>
      </w:r>
    </w:p>
    <w:p w14:paraId="454C5DCD" w14:textId="77777777" w:rsidR="004B09F3" w:rsidRPr="006B19C5" w:rsidRDefault="00000000" w:rsidP="00110CD6">
      <w:pPr>
        <w:spacing w:after="240" w:line="360" w:lineRule="auto"/>
        <w:ind w:left="737" w:firstLine="0"/>
        <w:rPr>
          <w:sz w:val="28"/>
          <w:szCs w:val="28"/>
        </w:rPr>
      </w:pPr>
      <w:r w:rsidRPr="006B19C5">
        <w:rPr>
          <w:sz w:val="28"/>
          <w:szCs w:val="28"/>
        </w:rPr>
        <w:t>There are limited data on patients with mild, moderate and non-dialysed severe renal impairment. The limited data support the use of up to 1200 mg a day in patients with mild to moderate renal failure not receiving another lipid lowering drug.</w:t>
      </w:r>
    </w:p>
    <w:p w14:paraId="4414398E" w14:textId="77777777" w:rsidR="00110CD6" w:rsidRDefault="00000000" w:rsidP="00110CD6">
      <w:pPr>
        <w:pStyle w:val="Heading2"/>
        <w:numPr>
          <w:ilvl w:val="1"/>
          <w:numId w:val="4"/>
        </w:numPr>
        <w:tabs>
          <w:tab w:val="center" w:pos="1875"/>
        </w:tabs>
        <w:spacing w:after="240" w:line="264" w:lineRule="auto"/>
        <w:ind w:left="788" w:hanging="431"/>
        <w:rPr>
          <w:sz w:val="28"/>
          <w:szCs w:val="28"/>
        </w:rPr>
      </w:pPr>
      <w:r w:rsidRPr="006B19C5">
        <w:rPr>
          <w:sz w:val="28"/>
          <w:szCs w:val="28"/>
        </w:rPr>
        <w:t>Preclinical safety data</w:t>
      </w:r>
    </w:p>
    <w:p w14:paraId="2EF40095" w14:textId="77777777" w:rsidR="00110CD6" w:rsidRPr="00110CD6" w:rsidRDefault="00000000" w:rsidP="00110CD6">
      <w:pPr>
        <w:pStyle w:val="Heading2"/>
        <w:tabs>
          <w:tab w:val="center" w:pos="1875"/>
        </w:tabs>
        <w:spacing w:after="240" w:line="360" w:lineRule="auto"/>
        <w:ind w:left="794" w:firstLine="0"/>
        <w:jc w:val="thaiDistribute"/>
        <w:rPr>
          <w:b w:val="0"/>
          <w:bCs/>
          <w:sz w:val="28"/>
          <w:szCs w:val="28"/>
        </w:rPr>
      </w:pPr>
      <w:r w:rsidRPr="00110CD6">
        <w:rPr>
          <w:b w:val="0"/>
          <w:bCs/>
          <w:sz w:val="28"/>
          <w:szCs w:val="28"/>
        </w:rPr>
        <w:t>In a 2-year study of gemfibrozil, subcapsular bilateral cataracts occurred in</w:t>
      </w:r>
      <w:r w:rsidR="00110CD6" w:rsidRPr="00110CD6">
        <w:rPr>
          <w:b w:val="0"/>
          <w:bCs/>
          <w:sz w:val="28"/>
          <w:szCs w:val="28"/>
        </w:rPr>
        <w:t xml:space="preserve"> </w:t>
      </w:r>
      <w:r w:rsidRPr="00110CD6">
        <w:rPr>
          <w:b w:val="0"/>
          <w:bCs/>
          <w:sz w:val="28"/>
          <w:szCs w:val="28"/>
        </w:rPr>
        <w:t>10%, and unilateral in</w:t>
      </w:r>
      <w:r w:rsidR="00110CD6" w:rsidRPr="00110CD6">
        <w:rPr>
          <w:b w:val="0"/>
          <w:bCs/>
          <w:sz w:val="28"/>
          <w:szCs w:val="28"/>
        </w:rPr>
        <w:t xml:space="preserve"> </w:t>
      </w:r>
      <w:r w:rsidRPr="00110CD6">
        <w:rPr>
          <w:b w:val="0"/>
          <w:bCs/>
          <w:sz w:val="28"/>
          <w:szCs w:val="28"/>
        </w:rPr>
        <w:t>6.3%, of male rats treated at 10 times the human dose.</w:t>
      </w:r>
    </w:p>
    <w:p w14:paraId="52051292" w14:textId="625A27D0" w:rsidR="004B09F3" w:rsidRDefault="00000000" w:rsidP="00110CD6">
      <w:pPr>
        <w:pStyle w:val="Heading2"/>
        <w:tabs>
          <w:tab w:val="center" w:pos="1875"/>
        </w:tabs>
        <w:spacing w:after="240" w:line="360" w:lineRule="auto"/>
        <w:ind w:left="794" w:firstLine="0"/>
        <w:jc w:val="thaiDistribute"/>
        <w:rPr>
          <w:b w:val="0"/>
          <w:bCs/>
          <w:sz w:val="28"/>
          <w:szCs w:val="28"/>
        </w:rPr>
      </w:pPr>
      <w:r w:rsidRPr="00110CD6">
        <w:rPr>
          <w:b w:val="0"/>
          <w:bCs/>
          <w:sz w:val="28"/>
          <w:szCs w:val="28"/>
        </w:rPr>
        <w:t>In a mouse carcinogenicity study at dosages corresponding to 0.1 and 0.7 times the clinical exposure</w:t>
      </w:r>
      <w:r w:rsidR="00110CD6" w:rsidRPr="00110CD6">
        <w:rPr>
          <w:b w:val="0"/>
          <w:bCs/>
          <w:sz w:val="28"/>
          <w:szCs w:val="28"/>
        </w:rPr>
        <w:t xml:space="preserve"> </w:t>
      </w:r>
      <w:r w:rsidRPr="00110CD6">
        <w:rPr>
          <w:b w:val="0"/>
          <w:bCs/>
          <w:sz w:val="28"/>
          <w:szCs w:val="28"/>
        </w:rPr>
        <w:t>(based on AUC), there were no significant differences from controls in the incidence of tumours. In a rat carcinogenicity study at dosages corresponding to 0.2 and 1.3 times the clinical exposure (based on</w:t>
      </w:r>
      <w:r w:rsidR="00110CD6" w:rsidRPr="00110CD6">
        <w:rPr>
          <w:b w:val="0"/>
          <w:bCs/>
          <w:sz w:val="28"/>
          <w:szCs w:val="28"/>
        </w:rPr>
        <w:t xml:space="preserve"> </w:t>
      </w:r>
      <w:r w:rsidRPr="00110CD6">
        <w:rPr>
          <w:b w:val="0"/>
          <w:bCs/>
          <w:sz w:val="28"/>
          <w:szCs w:val="28"/>
        </w:rPr>
        <w:t>AUC), the incidence of benign liver nodules and liver carcinomas was significantly increased in high dose males, and the incidence of liver carcinomas increased also in the low dose males, but this increase was not statistically significant.</w:t>
      </w:r>
    </w:p>
    <w:p w14:paraId="47F21DAD" w14:textId="77777777" w:rsidR="00110CD6" w:rsidRDefault="00110CD6" w:rsidP="00110CD6">
      <w:pPr>
        <w:spacing w:after="240" w:line="360" w:lineRule="auto"/>
        <w:ind w:left="709" w:firstLine="0"/>
        <w:jc w:val="thaiDistribute"/>
        <w:rPr>
          <w:sz w:val="28"/>
          <w:szCs w:val="28"/>
        </w:rPr>
      </w:pPr>
      <w:r w:rsidRPr="00110CD6">
        <w:rPr>
          <w:sz w:val="28"/>
          <w:szCs w:val="28"/>
        </w:rPr>
        <w:t>Liver tumours induced by gemfibrozil and other fibrates in small rodents are generally considered to be related to the extensive proliferation of peroxisomes in these species and, consequently, of minor clinical relevance.</w:t>
      </w:r>
    </w:p>
    <w:p w14:paraId="063FD9A8" w14:textId="77777777" w:rsidR="00110CD6" w:rsidRDefault="00000000" w:rsidP="00110CD6">
      <w:pPr>
        <w:spacing w:after="240" w:line="360" w:lineRule="auto"/>
        <w:ind w:left="709" w:firstLine="0"/>
        <w:jc w:val="thaiDistribute"/>
        <w:rPr>
          <w:sz w:val="28"/>
          <w:szCs w:val="28"/>
        </w:rPr>
      </w:pPr>
      <w:r w:rsidRPr="006B19C5">
        <w:rPr>
          <w:sz w:val="28"/>
          <w:szCs w:val="28"/>
        </w:rPr>
        <w:lastRenderedPageBreak/>
        <w:t>In the male rat, gemfibrozil also induced benign Leydig cell tumours. The clinical relevance of this finding is minimal.</w:t>
      </w:r>
    </w:p>
    <w:p w14:paraId="4B41A46E" w14:textId="77777777" w:rsidR="00110CD6" w:rsidRDefault="00000000" w:rsidP="00110CD6">
      <w:pPr>
        <w:spacing w:after="240" w:line="360" w:lineRule="auto"/>
        <w:ind w:left="709" w:firstLine="0"/>
        <w:jc w:val="thaiDistribute"/>
        <w:rPr>
          <w:sz w:val="28"/>
          <w:szCs w:val="28"/>
        </w:rPr>
      </w:pPr>
      <w:r w:rsidRPr="006B19C5">
        <w:rPr>
          <w:sz w:val="28"/>
          <w:szCs w:val="28"/>
        </w:rPr>
        <w:t>In reproductive toxicity studies, administration of gemfibrozil at approximately 2 times the human dose (based on body surface area) to male rats for 10 weeks resulted in decreased fertility. Fertility was restored after a drug-free period of 8 weeks. Gemfibrozil was not teratogenic in either rats or rabbits. Administration of 1 and 3 times the human dose (based on body surface area) of gemfibrozil to female rabbits during organogenesis caused a dose-related decrease in litter size.</w:t>
      </w:r>
    </w:p>
    <w:p w14:paraId="421F08EB" w14:textId="61C468C7" w:rsidR="004B09F3" w:rsidRPr="006B19C5" w:rsidRDefault="00000000" w:rsidP="00110CD6">
      <w:pPr>
        <w:spacing w:after="240" w:line="360" w:lineRule="auto"/>
        <w:ind w:left="709" w:firstLine="0"/>
        <w:jc w:val="thaiDistribute"/>
        <w:rPr>
          <w:sz w:val="28"/>
          <w:szCs w:val="28"/>
        </w:rPr>
      </w:pPr>
      <w:r w:rsidRPr="006B19C5">
        <w:rPr>
          <w:sz w:val="28"/>
          <w:szCs w:val="28"/>
        </w:rPr>
        <w:t>Administration of</w:t>
      </w:r>
      <w:r w:rsidR="00110CD6">
        <w:rPr>
          <w:sz w:val="28"/>
          <w:szCs w:val="28"/>
        </w:rPr>
        <w:t xml:space="preserve"> </w:t>
      </w:r>
      <w:r w:rsidRPr="006B19C5">
        <w:rPr>
          <w:sz w:val="28"/>
          <w:szCs w:val="28"/>
        </w:rPr>
        <w:t>0.6 and 2 times the human dose (based on body surface area) of gemfibrozil to female rats from gestation Day 15 through weaning caused dose-related decreases in birth weight and suppression of pup growth during lactation. Maternal toxicity was observed in both species and the clinical relevance of decreases in rabbit litter size and rat pup weight is uncertain.</w:t>
      </w:r>
    </w:p>
    <w:p w14:paraId="1AB3124E" w14:textId="77777777" w:rsidR="00110CD6" w:rsidRPr="00110CD6" w:rsidRDefault="00000000" w:rsidP="00110CD6">
      <w:pPr>
        <w:pStyle w:val="Heading3"/>
        <w:numPr>
          <w:ilvl w:val="0"/>
          <w:numId w:val="4"/>
        </w:numPr>
        <w:spacing w:after="294" w:line="265" w:lineRule="auto"/>
        <w:rPr>
          <w:sz w:val="28"/>
          <w:szCs w:val="28"/>
        </w:rPr>
      </w:pPr>
      <w:r w:rsidRPr="006B19C5">
        <w:rPr>
          <w:b/>
          <w:sz w:val="28"/>
          <w:szCs w:val="28"/>
          <w:u w:val="none"/>
        </w:rPr>
        <w:t>PHARMACEUTICAL PARTICULARS</w:t>
      </w:r>
    </w:p>
    <w:p w14:paraId="7CDA7037" w14:textId="77777777" w:rsidR="00110CD6" w:rsidRDefault="00000000" w:rsidP="00110CD6">
      <w:pPr>
        <w:pStyle w:val="Heading3"/>
        <w:numPr>
          <w:ilvl w:val="1"/>
          <w:numId w:val="4"/>
        </w:numPr>
        <w:spacing w:after="240" w:line="264" w:lineRule="auto"/>
        <w:ind w:left="788" w:hanging="431"/>
        <w:rPr>
          <w:b/>
          <w:sz w:val="28"/>
          <w:szCs w:val="28"/>
          <w:u w:val="none"/>
        </w:rPr>
      </w:pPr>
      <w:r w:rsidRPr="00110CD6">
        <w:rPr>
          <w:b/>
          <w:sz w:val="28"/>
          <w:szCs w:val="28"/>
          <w:u w:val="none"/>
        </w:rPr>
        <w:t>List of excipients</w:t>
      </w:r>
    </w:p>
    <w:p w14:paraId="777A087C" w14:textId="77777777" w:rsidR="00110CD6" w:rsidRDefault="00000000" w:rsidP="00110CD6">
      <w:pPr>
        <w:pStyle w:val="Heading3"/>
        <w:spacing w:after="240" w:line="264" w:lineRule="auto"/>
        <w:ind w:left="794" w:firstLine="0"/>
        <w:rPr>
          <w:color w:val="FF0000"/>
          <w:sz w:val="28"/>
          <w:szCs w:val="28"/>
          <w:u w:val="none"/>
        </w:rPr>
      </w:pPr>
      <w:r w:rsidRPr="00110CD6">
        <w:rPr>
          <w:color w:val="FF0000"/>
          <w:sz w:val="28"/>
          <w:szCs w:val="28"/>
          <w:u w:val="none"/>
        </w:rPr>
        <w:t>&lt;REGARDING THE APPROVAL&gt;</w:t>
      </w:r>
    </w:p>
    <w:p w14:paraId="2A97BFA2" w14:textId="77777777" w:rsidR="00110CD6" w:rsidRPr="00110CD6" w:rsidRDefault="00000000" w:rsidP="00110CD6">
      <w:pPr>
        <w:pStyle w:val="Heading3"/>
        <w:numPr>
          <w:ilvl w:val="1"/>
          <w:numId w:val="4"/>
        </w:numPr>
        <w:spacing w:after="240" w:line="264" w:lineRule="auto"/>
        <w:rPr>
          <w:color w:val="FF0000"/>
          <w:sz w:val="28"/>
          <w:szCs w:val="28"/>
          <w:u w:val="none"/>
        </w:rPr>
      </w:pPr>
      <w:r w:rsidRPr="00110CD6">
        <w:rPr>
          <w:b/>
          <w:sz w:val="28"/>
          <w:szCs w:val="28"/>
          <w:u w:val="none"/>
        </w:rPr>
        <w:t>Incompatibilities</w:t>
      </w:r>
    </w:p>
    <w:p w14:paraId="2737A722" w14:textId="77777777" w:rsidR="00110CD6" w:rsidRDefault="00000000" w:rsidP="00110CD6">
      <w:pPr>
        <w:pStyle w:val="Heading3"/>
        <w:spacing w:after="240" w:line="264" w:lineRule="auto"/>
        <w:ind w:left="794" w:firstLine="0"/>
        <w:rPr>
          <w:color w:val="FF0000"/>
          <w:sz w:val="28"/>
          <w:szCs w:val="28"/>
          <w:u w:val="none"/>
        </w:rPr>
      </w:pPr>
      <w:r w:rsidRPr="00110CD6">
        <w:rPr>
          <w:color w:val="FF0000"/>
          <w:sz w:val="28"/>
          <w:szCs w:val="28"/>
          <w:u w:val="none"/>
        </w:rPr>
        <w:t>&lt;REGARDING THE APPROVAL&gt;</w:t>
      </w:r>
    </w:p>
    <w:p w14:paraId="36288595" w14:textId="06C0A2F1" w:rsidR="004B09F3" w:rsidRPr="00110CD6" w:rsidRDefault="00000000" w:rsidP="00110CD6">
      <w:pPr>
        <w:pStyle w:val="Heading3"/>
        <w:numPr>
          <w:ilvl w:val="1"/>
          <w:numId w:val="4"/>
        </w:numPr>
        <w:spacing w:after="240" w:line="264" w:lineRule="auto"/>
        <w:ind w:left="788" w:hanging="431"/>
        <w:rPr>
          <w:color w:val="FF0000"/>
          <w:sz w:val="28"/>
          <w:szCs w:val="28"/>
          <w:u w:val="none"/>
        </w:rPr>
      </w:pPr>
      <w:r w:rsidRPr="00110CD6">
        <w:rPr>
          <w:b/>
          <w:sz w:val="28"/>
          <w:szCs w:val="28"/>
          <w:u w:val="none"/>
        </w:rPr>
        <w:t>Shelf life</w:t>
      </w:r>
    </w:p>
    <w:p w14:paraId="4B9976F3" w14:textId="77777777" w:rsidR="004B09F3" w:rsidRPr="006B19C5" w:rsidRDefault="00000000" w:rsidP="00110CD6">
      <w:pPr>
        <w:spacing w:after="240" w:line="264" w:lineRule="auto"/>
        <w:ind w:left="0" w:firstLine="720"/>
        <w:rPr>
          <w:sz w:val="28"/>
          <w:szCs w:val="28"/>
        </w:rPr>
      </w:pPr>
      <w:r w:rsidRPr="006B19C5">
        <w:rPr>
          <w:color w:val="FF0000"/>
          <w:sz w:val="28"/>
          <w:szCs w:val="28"/>
        </w:rPr>
        <w:t>&lt;REGARDING THE APPROVAL&gt;</w:t>
      </w:r>
    </w:p>
    <w:p w14:paraId="13C8371D" w14:textId="77777777" w:rsidR="00110CD6" w:rsidRPr="00110CD6" w:rsidRDefault="00000000" w:rsidP="00110CD6">
      <w:pPr>
        <w:pStyle w:val="ListParagraph"/>
        <w:numPr>
          <w:ilvl w:val="1"/>
          <w:numId w:val="4"/>
        </w:numPr>
        <w:tabs>
          <w:tab w:val="center" w:pos="2310"/>
        </w:tabs>
        <w:spacing w:after="240" w:line="264" w:lineRule="auto"/>
        <w:ind w:left="788" w:hanging="431"/>
        <w:contextualSpacing w:val="0"/>
        <w:jc w:val="left"/>
        <w:rPr>
          <w:sz w:val="28"/>
          <w:szCs w:val="28"/>
        </w:rPr>
      </w:pPr>
      <w:r w:rsidRPr="00110CD6">
        <w:rPr>
          <w:b/>
          <w:sz w:val="28"/>
          <w:szCs w:val="28"/>
        </w:rPr>
        <w:lastRenderedPageBreak/>
        <w:t>Special precautions for storage</w:t>
      </w:r>
    </w:p>
    <w:p w14:paraId="7FB0134A" w14:textId="69B65AD9" w:rsidR="004B09F3" w:rsidRPr="00110CD6" w:rsidRDefault="00000000" w:rsidP="00110CD6">
      <w:pPr>
        <w:pStyle w:val="ListParagraph"/>
        <w:tabs>
          <w:tab w:val="center" w:pos="2310"/>
        </w:tabs>
        <w:spacing w:after="240" w:line="264" w:lineRule="auto"/>
        <w:ind w:left="794" w:firstLine="0"/>
        <w:contextualSpacing w:val="0"/>
        <w:jc w:val="left"/>
        <w:rPr>
          <w:sz w:val="28"/>
          <w:szCs w:val="28"/>
        </w:rPr>
      </w:pPr>
      <w:r w:rsidRPr="00110CD6">
        <w:rPr>
          <w:color w:val="FF0000"/>
          <w:sz w:val="28"/>
          <w:szCs w:val="28"/>
        </w:rPr>
        <w:t>&lt;REGARDING THE APPROVAL&gt;</w:t>
      </w:r>
    </w:p>
    <w:p w14:paraId="6833B70C" w14:textId="77777777" w:rsidR="00110CD6" w:rsidRPr="00110CD6" w:rsidRDefault="00000000" w:rsidP="00110CD6">
      <w:pPr>
        <w:pStyle w:val="ListParagraph"/>
        <w:numPr>
          <w:ilvl w:val="1"/>
          <w:numId w:val="4"/>
        </w:numPr>
        <w:tabs>
          <w:tab w:val="center" w:pos="2415"/>
        </w:tabs>
        <w:spacing w:after="240" w:line="264" w:lineRule="auto"/>
        <w:ind w:left="788" w:hanging="431"/>
        <w:contextualSpacing w:val="0"/>
        <w:jc w:val="left"/>
        <w:rPr>
          <w:sz w:val="28"/>
          <w:szCs w:val="28"/>
        </w:rPr>
      </w:pPr>
      <w:r w:rsidRPr="00110CD6">
        <w:rPr>
          <w:b/>
          <w:sz w:val="28"/>
          <w:szCs w:val="28"/>
        </w:rPr>
        <w:t>Nature and contents of container</w:t>
      </w:r>
    </w:p>
    <w:p w14:paraId="1A1B7DB0" w14:textId="77777777" w:rsidR="00110CD6" w:rsidRDefault="00000000" w:rsidP="00110CD6">
      <w:pPr>
        <w:pStyle w:val="ListParagraph"/>
        <w:tabs>
          <w:tab w:val="center" w:pos="2415"/>
        </w:tabs>
        <w:spacing w:after="240" w:line="264" w:lineRule="auto"/>
        <w:ind w:left="794" w:firstLine="0"/>
        <w:contextualSpacing w:val="0"/>
        <w:jc w:val="left"/>
        <w:rPr>
          <w:color w:val="FF0000"/>
          <w:sz w:val="28"/>
          <w:szCs w:val="28"/>
        </w:rPr>
      </w:pPr>
      <w:r w:rsidRPr="00110CD6">
        <w:rPr>
          <w:color w:val="FF0000"/>
          <w:sz w:val="28"/>
          <w:szCs w:val="28"/>
        </w:rPr>
        <w:t>&lt;REGARDING THE APPROVAL&gt;</w:t>
      </w:r>
    </w:p>
    <w:p w14:paraId="4E5AAD59" w14:textId="77777777" w:rsidR="00110CD6" w:rsidRPr="00110CD6" w:rsidRDefault="00000000" w:rsidP="00110CD6">
      <w:pPr>
        <w:pStyle w:val="ListParagraph"/>
        <w:numPr>
          <w:ilvl w:val="1"/>
          <w:numId w:val="4"/>
        </w:numPr>
        <w:tabs>
          <w:tab w:val="center" w:pos="2415"/>
        </w:tabs>
        <w:spacing w:after="240" w:line="264" w:lineRule="auto"/>
        <w:ind w:left="788" w:hanging="431"/>
        <w:contextualSpacing w:val="0"/>
        <w:jc w:val="left"/>
        <w:rPr>
          <w:sz w:val="28"/>
          <w:szCs w:val="28"/>
        </w:rPr>
      </w:pPr>
      <w:r w:rsidRPr="006B19C5">
        <w:rPr>
          <w:rFonts w:cs="Times New Roman"/>
          <w:b/>
          <w:sz w:val="28"/>
          <w:szCs w:val="28"/>
        </w:rPr>
        <w:t>Special precautions for disposal</w:t>
      </w:r>
    </w:p>
    <w:p w14:paraId="0534E86D" w14:textId="77777777" w:rsidR="00110CD6" w:rsidRDefault="00000000" w:rsidP="00110CD6">
      <w:pPr>
        <w:pStyle w:val="ListParagraph"/>
        <w:tabs>
          <w:tab w:val="center" w:pos="2415"/>
        </w:tabs>
        <w:spacing w:after="240" w:line="264" w:lineRule="auto"/>
        <w:ind w:left="794" w:firstLine="0"/>
        <w:contextualSpacing w:val="0"/>
        <w:jc w:val="left"/>
        <w:rPr>
          <w:color w:val="FF0000"/>
          <w:sz w:val="28"/>
          <w:szCs w:val="28"/>
        </w:rPr>
      </w:pPr>
      <w:r w:rsidRPr="00110CD6">
        <w:rPr>
          <w:color w:val="FF0000"/>
          <w:sz w:val="28"/>
          <w:szCs w:val="28"/>
        </w:rPr>
        <w:t>&lt;REGARDING THE APPROVAL&gt;</w:t>
      </w:r>
    </w:p>
    <w:p w14:paraId="5FFB0A3D" w14:textId="77777777" w:rsidR="00110CD6" w:rsidRPr="00110CD6" w:rsidRDefault="00000000" w:rsidP="00110CD6">
      <w:pPr>
        <w:pStyle w:val="ListParagraph"/>
        <w:numPr>
          <w:ilvl w:val="0"/>
          <w:numId w:val="4"/>
        </w:numPr>
        <w:tabs>
          <w:tab w:val="center" w:pos="2415"/>
        </w:tabs>
        <w:spacing w:after="240" w:line="264" w:lineRule="auto"/>
        <w:ind w:left="357" w:hanging="357"/>
        <w:contextualSpacing w:val="0"/>
        <w:jc w:val="left"/>
        <w:rPr>
          <w:sz w:val="28"/>
          <w:szCs w:val="28"/>
        </w:rPr>
      </w:pPr>
      <w:r w:rsidRPr="00110CD6">
        <w:rPr>
          <w:b/>
          <w:sz w:val="28"/>
          <w:szCs w:val="28"/>
        </w:rPr>
        <w:t>MARKETING AUTHORISATION HOLDER</w:t>
      </w:r>
    </w:p>
    <w:p w14:paraId="77547C9E" w14:textId="77777777" w:rsidR="00110CD6" w:rsidRDefault="00000000" w:rsidP="00110CD6">
      <w:pPr>
        <w:pStyle w:val="ListParagraph"/>
        <w:tabs>
          <w:tab w:val="center" w:pos="2415"/>
        </w:tabs>
        <w:spacing w:after="240" w:line="264" w:lineRule="auto"/>
        <w:ind w:left="357" w:firstLine="0"/>
        <w:contextualSpacing w:val="0"/>
        <w:jc w:val="left"/>
        <w:rPr>
          <w:color w:val="FF0000"/>
          <w:sz w:val="28"/>
          <w:szCs w:val="28"/>
        </w:rPr>
      </w:pPr>
      <w:r w:rsidRPr="00110CD6">
        <w:rPr>
          <w:color w:val="FF0000"/>
          <w:sz w:val="28"/>
          <w:szCs w:val="28"/>
        </w:rPr>
        <w:t>&lt;REGARDING THE APPROVAL&gt;</w:t>
      </w:r>
    </w:p>
    <w:p w14:paraId="7675EAD3" w14:textId="77777777" w:rsidR="00110CD6" w:rsidRPr="00110CD6" w:rsidRDefault="00000000" w:rsidP="00110CD6">
      <w:pPr>
        <w:pStyle w:val="ListParagraph"/>
        <w:numPr>
          <w:ilvl w:val="0"/>
          <w:numId w:val="4"/>
        </w:numPr>
        <w:tabs>
          <w:tab w:val="center" w:pos="2415"/>
        </w:tabs>
        <w:spacing w:after="240" w:line="264" w:lineRule="auto"/>
        <w:ind w:left="357" w:hanging="357"/>
        <w:contextualSpacing w:val="0"/>
        <w:jc w:val="left"/>
        <w:rPr>
          <w:b/>
          <w:bCs/>
          <w:sz w:val="28"/>
          <w:szCs w:val="28"/>
        </w:rPr>
      </w:pPr>
      <w:r w:rsidRPr="00110CD6">
        <w:rPr>
          <w:rFonts w:cs="Times New Roman"/>
          <w:b/>
          <w:bCs/>
          <w:sz w:val="28"/>
          <w:szCs w:val="28"/>
        </w:rPr>
        <w:t>MARKETING AUTHORISATION NUMBER</w:t>
      </w:r>
    </w:p>
    <w:p w14:paraId="444A2433" w14:textId="77777777" w:rsidR="00110CD6" w:rsidRDefault="00000000" w:rsidP="00110CD6">
      <w:pPr>
        <w:pStyle w:val="ListParagraph"/>
        <w:tabs>
          <w:tab w:val="center" w:pos="2415"/>
        </w:tabs>
        <w:spacing w:after="240" w:line="264" w:lineRule="auto"/>
        <w:ind w:left="357" w:firstLine="0"/>
        <w:contextualSpacing w:val="0"/>
        <w:jc w:val="left"/>
        <w:rPr>
          <w:color w:val="FF0000"/>
          <w:sz w:val="28"/>
          <w:szCs w:val="28"/>
        </w:rPr>
      </w:pPr>
      <w:r w:rsidRPr="00110CD6">
        <w:rPr>
          <w:color w:val="FF0000"/>
          <w:sz w:val="28"/>
          <w:szCs w:val="28"/>
        </w:rPr>
        <w:t>&lt;REGARDING THE APPROVAL&gt;</w:t>
      </w:r>
    </w:p>
    <w:p w14:paraId="1EB3623A" w14:textId="77777777" w:rsidR="00110CD6" w:rsidRPr="00110CD6" w:rsidRDefault="00000000" w:rsidP="00110CD6">
      <w:pPr>
        <w:pStyle w:val="ListParagraph"/>
        <w:numPr>
          <w:ilvl w:val="0"/>
          <w:numId w:val="4"/>
        </w:numPr>
        <w:tabs>
          <w:tab w:val="center" w:pos="2415"/>
        </w:tabs>
        <w:spacing w:after="240" w:line="360" w:lineRule="auto"/>
        <w:ind w:left="357" w:hanging="357"/>
        <w:contextualSpacing w:val="0"/>
        <w:jc w:val="left"/>
        <w:rPr>
          <w:sz w:val="28"/>
          <w:szCs w:val="28"/>
        </w:rPr>
      </w:pPr>
      <w:r w:rsidRPr="006B19C5">
        <w:rPr>
          <w:rFonts w:cs="Times New Roman"/>
          <w:b/>
          <w:sz w:val="28"/>
          <w:szCs w:val="28"/>
        </w:rPr>
        <w:t>DATE OF FIRST AUTHORISATION/RENEWAL OF</w:t>
      </w:r>
      <w:r w:rsidR="00110CD6">
        <w:rPr>
          <w:rFonts w:cs="Times New Roman"/>
          <w:b/>
          <w:sz w:val="28"/>
          <w:szCs w:val="28"/>
        </w:rPr>
        <w:t xml:space="preserve"> </w:t>
      </w:r>
      <w:r w:rsidRPr="00110CD6">
        <w:rPr>
          <w:b/>
          <w:sz w:val="28"/>
          <w:szCs w:val="28"/>
        </w:rPr>
        <w:t>T</w:t>
      </w:r>
      <w:r w:rsidR="00110CD6">
        <w:rPr>
          <w:b/>
          <w:sz w:val="28"/>
          <w:szCs w:val="28"/>
        </w:rPr>
        <w:t xml:space="preserve">HE </w:t>
      </w:r>
      <w:r w:rsidRPr="00110CD6">
        <w:rPr>
          <w:b/>
          <w:sz w:val="28"/>
          <w:szCs w:val="28"/>
        </w:rPr>
        <w:t>AUTHORISATION</w:t>
      </w:r>
    </w:p>
    <w:p w14:paraId="7EA5659C" w14:textId="77777777" w:rsidR="00110CD6" w:rsidRDefault="00000000" w:rsidP="00110CD6">
      <w:pPr>
        <w:pStyle w:val="ListParagraph"/>
        <w:tabs>
          <w:tab w:val="center" w:pos="2415"/>
        </w:tabs>
        <w:spacing w:after="240" w:line="264" w:lineRule="auto"/>
        <w:ind w:left="357" w:firstLine="0"/>
        <w:contextualSpacing w:val="0"/>
        <w:jc w:val="left"/>
        <w:rPr>
          <w:color w:val="FF0000"/>
          <w:sz w:val="28"/>
          <w:szCs w:val="28"/>
        </w:rPr>
      </w:pPr>
      <w:r w:rsidRPr="00110CD6">
        <w:rPr>
          <w:color w:val="FF0000"/>
          <w:sz w:val="28"/>
          <w:szCs w:val="28"/>
        </w:rPr>
        <w:t>&lt;REGARDING THE APPROVAL&gt;</w:t>
      </w:r>
    </w:p>
    <w:p w14:paraId="204A1A1F" w14:textId="2FFE65F5" w:rsidR="00110CD6" w:rsidRPr="00110CD6" w:rsidRDefault="00000000" w:rsidP="00110CD6">
      <w:pPr>
        <w:pStyle w:val="ListParagraph"/>
        <w:numPr>
          <w:ilvl w:val="0"/>
          <w:numId w:val="4"/>
        </w:numPr>
        <w:tabs>
          <w:tab w:val="center" w:pos="2415"/>
        </w:tabs>
        <w:spacing w:after="240" w:line="264" w:lineRule="auto"/>
        <w:contextualSpacing w:val="0"/>
        <w:jc w:val="left"/>
        <w:rPr>
          <w:b/>
          <w:bCs/>
          <w:sz w:val="28"/>
          <w:szCs w:val="28"/>
        </w:rPr>
      </w:pPr>
      <w:r w:rsidRPr="00110CD6">
        <w:rPr>
          <w:rFonts w:cs="Times New Roman"/>
          <w:b/>
          <w:bCs/>
          <w:sz w:val="28"/>
          <w:szCs w:val="28"/>
        </w:rPr>
        <w:t>DATE OF REVISION OF THE TEXT</w:t>
      </w:r>
      <w:r w:rsidR="00110CD6">
        <w:rPr>
          <w:rFonts w:cs="Times New Roman"/>
          <w:b/>
          <w:bCs/>
          <w:sz w:val="28"/>
          <w:szCs w:val="28"/>
          <w:vertAlign w:val="superscript"/>
        </w:rPr>
        <w:t>1</w:t>
      </w:r>
    </w:p>
    <w:p w14:paraId="630A826E" w14:textId="5EBD53F0" w:rsidR="004B09F3" w:rsidRDefault="00000000" w:rsidP="00110CD6">
      <w:pPr>
        <w:pStyle w:val="ListParagraph"/>
        <w:tabs>
          <w:tab w:val="center" w:pos="2415"/>
        </w:tabs>
        <w:spacing w:after="240" w:line="264" w:lineRule="auto"/>
        <w:ind w:left="360" w:firstLine="0"/>
        <w:contextualSpacing w:val="0"/>
        <w:jc w:val="left"/>
        <w:rPr>
          <w:color w:val="FF0000"/>
          <w:sz w:val="28"/>
          <w:szCs w:val="28"/>
        </w:rPr>
      </w:pPr>
      <w:r w:rsidRPr="00110CD6">
        <w:rPr>
          <w:color w:val="FF0000"/>
          <w:sz w:val="28"/>
          <w:szCs w:val="28"/>
        </w:rPr>
        <w:t>&lt;REGARDING THE APPROVAL&gt;</w:t>
      </w:r>
    </w:p>
    <w:p w14:paraId="31519C04" w14:textId="77777777" w:rsidR="00110CD6" w:rsidRDefault="00110CD6" w:rsidP="00110CD6">
      <w:pPr>
        <w:pStyle w:val="ListParagraph"/>
        <w:tabs>
          <w:tab w:val="center" w:pos="2415"/>
        </w:tabs>
        <w:spacing w:after="240" w:line="264" w:lineRule="auto"/>
        <w:ind w:left="360" w:firstLine="0"/>
        <w:contextualSpacing w:val="0"/>
        <w:jc w:val="left"/>
        <w:rPr>
          <w:color w:val="FF0000"/>
          <w:sz w:val="28"/>
          <w:szCs w:val="28"/>
        </w:rPr>
      </w:pPr>
    </w:p>
    <w:p w14:paraId="4B26F399" w14:textId="77777777" w:rsidR="00110CD6" w:rsidRDefault="00110CD6" w:rsidP="00110CD6">
      <w:pPr>
        <w:pStyle w:val="ListParagraph"/>
        <w:tabs>
          <w:tab w:val="center" w:pos="2415"/>
        </w:tabs>
        <w:spacing w:after="240" w:line="264" w:lineRule="auto"/>
        <w:ind w:left="360" w:firstLine="0"/>
        <w:contextualSpacing w:val="0"/>
        <w:jc w:val="left"/>
        <w:rPr>
          <w:color w:val="FF0000"/>
          <w:sz w:val="28"/>
          <w:szCs w:val="28"/>
        </w:rPr>
      </w:pPr>
    </w:p>
    <w:p w14:paraId="58D85D6E" w14:textId="77777777" w:rsidR="00110CD6" w:rsidRDefault="00110CD6" w:rsidP="00110CD6">
      <w:pPr>
        <w:pStyle w:val="ListParagraph"/>
        <w:tabs>
          <w:tab w:val="center" w:pos="2415"/>
        </w:tabs>
        <w:spacing w:after="240" w:line="264" w:lineRule="auto"/>
        <w:ind w:left="360" w:firstLine="0"/>
        <w:contextualSpacing w:val="0"/>
        <w:jc w:val="left"/>
        <w:rPr>
          <w:color w:val="FF0000"/>
          <w:sz w:val="28"/>
          <w:szCs w:val="28"/>
        </w:rPr>
      </w:pPr>
    </w:p>
    <w:p w14:paraId="2FFB9BA8" w14:textId="77777777" w:rsidR="00110CD6" w:rsidRDefault="00110CD6" w:rsidP="00110CD6">
      <w:pPr>
        <w:pStyle w:val="ListParagraph"/>
        <w:tabs>
          <w:tab w:val="center" w:pos="2415"/>
        </w:tabs>
        <w:spacing w:after="240" w:line="264" w:lineRule="auto"/>
        <w:ind w:left="360" w:firstLine="0"/>
        <w:contextualSpacing w:val="0"/>
        <w:jc w:val="left"/>
        <w:rPr>
          <w:color w:val="FF0000"/>
          <w:sz w:val="28"/>
          <w:szCs w:val="28"/>
        </w:rPr>
      </w:pPr>
    </w:p>
    <w:p w14:paraId="2D48FB6E" w14:textId="77777777" w:rsidR="00110CD6" w:rsidRDefault="00110CD6" w:rsidP="00110CD6">
      <w:pPr>
        <w:pStyle w:val="ListParagraph"/>
        <w:tabs>
          <w:tab w:val="center" w:pos="2415"/>
        </w:tabs>
        <w:spacing w:after="240" w:line="264" w:lineRule="auto"/>
        <w:ind w:left="360" w:firstLine="0"/>
        <w:contextualSpacing w:val="0"/>
        <w:jc w:val="left"/>
        <w:rPr>
          <w:color w:val="FF0000"/>
          <w:sz w:val="28"/>
          <w:szCs w:val="28"/>
        </w:rPr>
      </w:pPr>
    </w:p>
    <w:p w14:paraId="3746C8B3" w14:textId="21CB0144" w:rsidR="00110CD6" w:rsidRPr="00110CD6" w:rsidRDefault="00110CD6" w:rsidP="00110CD6">
      <w:pPr>
        <w:pStyle w:val="ListParagraph"/>
        <w:tabs>
          <w:tab w:val="center" w:pos="2415"/>
        </w:tabs>
        <w:spacing w:after="240" w:line="264" w:lineRule="auto"/>
        <w:ind w:left="360" w:firstLine="0"/>
        <w:contextualSpacing w:val="0"/>
        <w:jc w:val="left"/>
        <w:rPr>
          <w:b/>
          <w:bCs/>
          <w:color w:val="000000" w:themeColor="text1"/>
          <w:sz w:val="28"/>
          <w:szCs w:val="28"/>
        </w:rPr>
      </w:pPr>
      <w:r w:rsidRPr="00110CD6">
        <w:rPr>
          <w:color w:val="000000" w:themeColor="text1"/>
          <w:sz w:val="28"/>
          <w:szCs w:val="28"/>
        </w:rPr>
        <w:t>____________________________________</w:t>
      </w:r>
    </w:p>
    <w:p w14:paraId="13C1AE63" w14:textId="4D09749D" w:rsidR="004B09F3" w:rsidRPr="006B19C5" w:rsidRDefault="00000000" w:rsidP="00110CD6">
      <w:pPr>
        <w:spacing w:after="11666" w:line="259" w:lineRule="auto"/>
        <w:ind w:left="0" w:firstLine="0"/>
        <w:jc w:val="left"/>
        <w:rPr>
          <w:sz w:val="28"/>
          <w:szCs w:val="28"/>
        </w:rPr>
      </w:pPr>
      <w:r w:rsidRPr="006B19C5">
        <w:rPr>
          <w:sz w:val="28"/>
          <w:szCs w:val="28"/>
          <w:vertAlign w:val="superscript"/>
        </w:rPr>
        <w:t xml:space="preserve">1 </w:t>
      </w:r>
      <w:r w:rsidRPr="006B19C5">
        <w:rPr>
          <w:sz w:val="28"/>
          <w:szCs w:val="28"/>
        </w:rPr>
        <w:t>Ref: Gemfibrozil, MHRA, 14/04/2021</w:t>
      </w:r>
    </w:p>
    <w:sectPr w:rsidR="004B09F3" w:rsidRPr="006B19C5" w:rsidSect="006B19C5">
      <w:pgSz w:w="11920" w:h="16840"/>
      <w:pgMar w:top="1985" w:right="1418" w:bottom="1985"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6787D"/>
    <w:multiLevelType w:val="multilevel"/>
    <w:tmpl w:val="18B2D33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47AB0"/>
    <w:multiLevelType w:val="multilevel"/>
    <w:tmpl w:val="E15C143A"/>
    <w:lvl w:ilvl="0">
      <w:start w:val="1"/>
      <w:numFmt w:val="decimal"/>
      <w:lvlText w:val="%1."/>
      <w:lvlJc w:val="left"/>
      <w:pPr>
        <w:ind w:left="360" w:hanging="360"/>
      </w:pPr>
      <w:rPr>
        <w:b/>
        <w:bCs/>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6F5220"/>
    <w:multiLevelType w:val="hybridMultilevel"/>
    <w:tmpl w:val="9AFC57D0"/>
    <w:lvl w:ilvl="0" w:tplc="53E62102">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2041E">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022A0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E2D38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8CF54">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FAF83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481EF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20E7C">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079D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040AD1"/>
    <w:multiLevelType w:val="hybridMultilevel"/>
    <w:tmpl w:val="667872C2"/>
    <w:lvl w:ilvl="0" w:tplc="147063DA">
      <w:start w:val="1"/>
      <w:numFmt w:val="bullet"/>
      <w:lvlText w:val="-"/>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284040">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725BE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C4DA5C">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4EE6C0">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9672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52C21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F06F90">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E8E55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F33C3C"/>
    <w:multiLevelType w:val="multilevel"/>
    <w:tmpl w:val="CFFC86B2"/>
    <w:lvl w:ilvl="0">
      <w:start w:val="1"/>
      <w:numFmt w:val="decimal"/>
      <w:lvlText w:val="%1."/>
      <w:lvlJc w:val="left"/>
      <w:pPr>
        <w:ind w:left="1065" w:hanging="360"/>
      </w:pPr>
    </w:lvl>
    <w:lvl w:ilvl="1">
      <w:start w:val="1"/>
      <w:numFmt w:val="decimal"/>
      <w:lvlText w:val="%1.%2."/>
      <w:lvlJc w:val="left"/>
      <w:pPr>
        <w:ind w:left="1497" w:hanging="432"/>
      </w:pPr>
      <w:rPr>
        <w:b/>
        <w:bCs/>
      </w:r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5" w15:restartNumberingAfterBreak="0">
    <w:nsid w:val="426D1EB2"/>
    <w:multiLevelType w:val="hybridMultilevel"/>
    <w:tmpl w:val="A0AC6122"/>
    <w:lvl w:ilvl="0" w:tplc="E774EF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AA9266">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D09668">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149B60">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0DD72">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DEF99C">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88371C">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66937A">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E5FF2">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7A505D"/>
    <w:multiLevelType w:val="hybridMultilevel"/>
    <w:tmpl w:val="672C749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5EB805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F45FCE"/>
    <w:multiLevelType w:val="multilevel"/>
    <w:tmpl w:val="18B2D33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B6101A"/>
    <w:multiLevelType w:val="hybridMultilevel"/>
    <w:tmpl w:val="DF3E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8334A9"/>
    <w:multiLevelType w:val="hybridMultilevel"/>
    <w:tmpl w:val="FD08D9A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36729971">
    <w:abstractNumId w:val="3"/>
  </w:num>
  <w:num w:numId="2" w16cid:durableId="761679155">
    <w:abstractNumId w:val="2"/>
  </w:num>
  <w:num w:numId="3" w16cid:durableId="1051152972">
    <w:abstractNumId w:val="5"/>
  </w:num>
  <w:num w:numId="4" w16cid:durableId="470680436">
    <w:abstractNumId w:val="1"/>
  </w:num>
  <w:num w:numId="5" w16cid:durableId="1364136546">
    <w:abstractNumId w:val="9"/>
  </w:num>
  <w:num w:numId="6" w16cid:durableId="1680891482">
    <w:abstractNumId w:val="7"/>
  </w:num>
  <w:num w:numId="7" w16cid:durableId="989023586">
    <w:abstractNumId w:val="10"/>
  </w:num>
  <w:num w:numId="8" w16cid:durableId="1738435272">
    <w:abstractNumId w:val="6"/>
  </w:num>
  <w:num w:numId="9" w16cid:durableId="1736664822">
    <w:abstractNumId w:val="4"/>
  </w:num>
  <w:num w:numId="10" w16cid:durableId="1421755301">
    <w:abstractNumId w:val="8"/>
  </w:num>
  <w:num w:numId="11" w16cid:durableId="108260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F3"/>
    <w:rsid w:val="00110CD6"/>
    <w:rsid w:val="004B09F3"/>
    <w:rsid w:val="006B19C5"/>
    <w:rsid w:val="00800F90"/>
    <w:rsid w:val="00D47A75"/>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462651C4"/>
  <w15:docId w15:val="{8097A68C-62FA-D74C-BA1D-C878602F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line="271" w:lineRule="auto"/>
      <w:ind w:left="735" w:firstLine="725"/>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413" w:line="265" w:lineRule="auto"/>
      <w:ind w:left="74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606" w:line="265"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30" w:line="259" w:lineRule="auto"/>
      <w:ind w:left="730" w:hanging="10"/>
      <w:outlineLvl w:val="2"/>
    </w:pPr>
    <w:rPr>
      <w:rFonts w:ascii="Times New Roman" w:eastAsia="Times New Roman" w:hAnsi="Times New Roman" w:cs="Times New Roman"/>
      <w:color w:val="000000"/>
      <w:sz w:val="22"/>
      <w:u w:val="single" w:color="000000"/>
    </w:rPr>
  </w:style>
  <w:style w:type="paragraph" w:styleId="Heading4">
    <w:name w:val="heading 4"/>
    <w:next w:val="Normal"/>
    <w:link w:val="Heading4Char"/>
    <w:uiPriority w:val="9"/>
    <w:unhideWhenUsed/>
    <w:qFormat/>
    <w:pPr>
      <w:keepNext/>
      <w:keepLines/>
      <w:spacing w:after="294" w:line="265" w:lineRule="auto"/>
      <w:ind w:left="25" w:hanging="10"/>
      <w:outlineLvl w:val="3"/>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B19C5"/>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1</TotalTime>
  <Pages>22</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6907_1_gemfibrozil_capsule_smpc_MHRA.docx</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6907_1_gemfibrozil_capsule_smpc_MHRA.docx</dc:title>
  <dc:subject/>
  <dc:creator>PIYATIDA PANITSUPAKAMOL</dc:creator>
  <cp:keywords/>
  <cp:lastModifiedBy>PIYATIDA PANITSUPAKAMOL</cp:lastModifiedBy>
  <cp:revision>2</cp:revision>
  <dcterms:created xsi:type="dcterms:W3CDTF">2024-09-05T16:37:00Z</dcterms:created>
  <dcterms:modified xsi:type="dcterms:W3CDTF">2024-09-05T16:37:00Z</dcterms:modified>
</cp:coreProperties>
</file>