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6E6C0975" w:rsidR="00227FD4" w:rsidRPr="00E641A1" w:rsidRDefault="00F86B1A" w:rsidP="00AF212D">
      <w:pPr>
        <w:pStyle w:val="BodyTextSMPC"/>
        <w:rPr>
          <w:rFonts w:cstheme="minorBidi"/>
        </w:rPr>
      </w:pPr>
      <w:r>
        <w:t>M</w:t>
      </w:r>
      <w:r w:rsidRPr="00F86B1A">
        <w:t>ebendazole</w:t>
      </w:r>
      <w:r>
        <w:rPr>
          <w:color w:val="FF0000"/>
        </w:rPr>
        <w:t xml:space="preserve"> </w:t>
      </w:r>
      <w:r w:rsidR="00C069FE" w:rsidRPr="005574FA">
        <w:rPr>
          <w:color w:val="FF0000"/>
        </w:rPr>
        <w:t>&lt;TRADE NAME&gt; &lt;STRENGTH&gt;</w:t>
      </w:r>
      <w:r w:rsidR="00A10233">
        <w:rPr>
          <w:color w:val="FF0000"/>
        </w:rPr>
        <w:t xml:space="preserve"> </w:t>
      </w:r>
      <w:r w:rsidRPr="00F86B1A">
        <w:t>oral suspension</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1BEE903F" w:rsidR="00A10233" w:rsidRDefault="00F86B1A" w:rsidP="00391F2E">
      <w:pPr>
        <w:pStyle w:val="BodyTextSMPC"/>
      </w:pPr>
      <w:r w:rsidRPr="00F86B1A">
        <w:t>Each 5 ml of suspension contains</w:t>
      </w:r>
      <w:r w:rsidR="008639E1" w:rsidRPr="008639E1">
        <w:t xml:space="preserve"> </w:t>
      </w:r>
      <w:r w:rsidR="00A10233" w:rsidRPr="005574FA">
        <w:rPr>
          <w:color w:val="FF0000"/>
        </w:rPr>
        <w:t>&lt;STRENGTH&gt;</w:t>
      </w:r>
      <w:r w:rsidR="008C0C75">
        <w:rPr>
          <w:color w:val="FF0000"/>
        </w:rPr>
        <w:t xml:space="preserve"> </w:t>
      </w:r>
      <w:r w:rsidR="008C0C75" w:rsidRPr="008C0C75">
        <w:t>of</w:t>
      </w:r>
      <w:r w:rsidR="00A10233">
        <w:rPr>
          <w:color w:val="FF0000"/>
        </w:rPr>
        <w:t xml:space="preserve"> </w:t>
      </w:r>
      <w:r w:rsidRPr="00F86B1A">
        <w:t>mebendazole</w:t>
      </w:r>
      <w:r>
        <w:t>.</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58D2E7E4" w:rsidR="00227FD4" w:rsidRPr="00070173" w:rsidRDefault="00F86B1A" w:rsidP="00AF212D">
      <w:pPr>
        <w:pStyle w:val="BodyTextSMPC"/>
        <w:rPr>
          <w:rFonts w:cs="Angsana New"/>
          <w:szCs w:val="35"/>
        </w:rPr>
      </w:pPr>
      <w:r>
        <w:t>O</w:t>
      </w:r>
      <w:r w:rsidRPr="00F86B1A">
        <w:t xml:space="preserve">ral suspension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7284D24D" w14:textId="77777777" w:rsidR="00F86B1A" w:rsidRPr="00F86B1A" w:rsidRDefault="00F86B1A" w:rsidP="00F86B1A">
      <w:pPr>
        <w:pStyle w:val="BodyTextSMPC"/>
        <w:rPr>
          <w:rFonts w:cstheme="minorBidi"/>
        </w:rPr>
      </w:pPr>
      <w:r w:rsidRPr="00F86B1A">
        <w:rPr>
          <w:rFonts w:cstheme="minorBidi"/>
        </w:rPr>
        <w:t xml:space="preserve">Broad spectrum gastrointestinal anthelmintic indicated for the treatment of: </w:t>
      </w:r>
    </w:p>
    <w:p w14:paraId="6C84BDC5" w14:textId="77777777" w:rsidR="00F86B1A" w:rsidRPr="00F86B1A" w:rsidRDefault="00F86B1A" w:rsidP="00F86B1A">
      <w:pPr>
        <w:pStyle w:val="BodyTextSMPC"/>
        <w:rPr>
          <w:rFonts w:cstheme="minorBidi"/>
        </w:rPr>
      </w:pPr>
      <w:r w:rsidRPr="00F86B1A">
        <w:rPr>
          <w:rFonts w:cstheme="minorBidi"/>
          <w:i/>
          <w:iCs/>
        </w:rPr>
        <w:t>Enterobius vermicularis</w:t>
      </w:r>
      <w:r w:rsidRPr="00F86B1A">
        <w:rPr>
          <w:rFonts w:cstheme="minorBidi"/>
        </w:rPr>
        <w:t xml:space="preserve"> (threadworm/pinworm) </w:t>
      </w:r>
    </w:p>
    <w:p w14:paraId="3B711AB0" w14:textId="77777777" w:rsidR="00F86B1A" w:rsidRPr="00F86B1A" w:rsidRDefault="00F86B1A" w:rsidP="00F86B1A">
      <w:pPr>
        <w:pStyle w:val="BodyTextSMPC"/>
        <w:rPr>
          <w:rFonts w:cstheme="minorBidi"/>
          <w:i/>
          <w:iCs/>
        </w:rPr>
      </w:pPr>
      <w:proofErr w:type="spellStart"/>
      <w:r w:rsidRPr="00F86B1A">
        <w:rPr>
          <w:rFonts w:cstheme="minorBidi"/>
          <w:i/>
          <w:iCs/>
        </w:rPr>
        <w:t>Oxyuris</w:t>
      </w:r>
      <w:proofErr w:type="spellEnd"/>
      <w:r w:rsidRPr="00F86B1A">
        <w:rPr>
          <w:rFonts w:cstheme="minorBidi"/>
          <w:i/>
          <w:iCs/>
        </w:rPr>
        <w:t xml:space="preserve"> vermicularis </w:t>
      </w:r>
    </w:p>
    <w:p w14:paraId="7D19AFF8" w14:textId="77777777" w:rsidR="00F86B1A" w:rsidRPr="00F86B1A" w:rsidRDefault="00F86B1A" w:rsidP="00F86B1A">
      <w:pPr>
        <w:pStyle w:val="BodyTextSMPC"/>
        <w:rPr>
          <w:rFonts w:cstheme="minorBidi"/>
        </w:rPr>
      </w:pPr>
      <w:r w:rsidRPr="00F86B1A">
        <w:rPr>
          <w:rFonts w:cstheme="minorBidi"/>
          <w:i/>
          <w:iCs/>
        </w:rPr>
        <w:t xml:space="preserve">Trichuris </w:t>
      </w:r>
      <w:proofErr w:type="spellStart"/>
      <w:r w:rsidRPr="00F86B1A">
        <w:rPr>
          <w:rFonts w:cstheme="minorBidi"/>
          <w:i/>
          <w:iCs/>
        </w:rPr>
        <w:t>trichuria</w:t>
      </w:r>
      <w:proofErr w:type="spellEnd"/>
      <w:r w:rsidRPr="00F86B1A">
        <w:rPr>
          <w:rFonts w:cstheme="minorBidi"/>
        </w:rPr>
        <w:t xml:space="preserve"> (whipworm) </w:t>
      </w:r>
    </w:p>
    <w:p w14:paraId="5D80BBB9" w14:textId="77777777" w:rsidR="00F86B1A" w:rsidRPr="00F86B1A" w:rsidRDefault="00F86B1A" w:rsidP="00F86B1A">
      <w:pPr>
        <w:pStyle w:val="BodyTextSMPC"/>
        <w:rPr>
          <w:rFonts w:cstheme="minorBidi"/>
        </w:rPr>
      </w:pPr>
      <w:r w:rsidRPr="00F86B1A">
        <w:rPr>
          <w:rFonts w:cstheme="minorBidi"/>
          <w:i/>
          <w:iCs/>
        </w:rPr>
        <w:t>Ascaris lumbricoides</w:t>
      </w:r>
      <w:r w:rsidRPr="00F86B1A">
        <w:rPr>
          <w:rFonts w:cstheme="minorBidi"/>
        </w:rPr>
        <w:t xml:space="preserve"> (large roundworm) </w:t>
      </w:r>
    </w:p>
    <w:p w14:paraId="2EAE8126" w14:textId="77777777" w:rsidR="00F86B1A" w:rsidRPr="00F86B1A" w:rsidRDefault="00F86B1A" w:rsidP="00F86B1A">
      <w:pPr>
        <w:pStyle w:val="BodyTextSMPC"/>
        <w:rPr>
          <w:rFonts w:cstheme="minorBidi"/>
        </w:rPr>
      </w:pPr>
      <w:proofErr w:type="spellStart"/>
      <w:r w:rsidRPr="00F86B1A">
        <w:rPr>
          <w:rFonts w:cstheme="minorBidi"/>
          <w:i/>
          <w:iCs/>
        </w:rPr>
        <w:t>Ancylostoma</w:t>
      </w:r>
      <w:proofErr w:type="spellEnd"/>
      <w:r w:rsidRPr="00F86B1A">
        <w:rPr>
          <w:rFonts w:cstheme="minorBidi"/>
          <w:i/>
          <w:iCs/>
        </w:rPr>
        <w:t xml:space="preserve"> duodenale</w:t>
      </w:r>
      <w:r w:rsidRPr="00F86B1A">
        <w:rPr>
          <w:rFonts w:cstheme="minorBidi"/>
        </w:rPr>
        <w:t xml:space="preserve"> (common hookworm) </w:t>
      </w:r>
    </w:p>
    <w:p w14:paraId="779D5994" w14:textId="77777777" w:rsidR="00F86B1A" w:rsidRPr="00F86B1A" w:rsidRDefault="00F86B1A" w:rsidP="00F86B1A">
      <w:pPr>
        <w:pStyle w:val="BodyTextSMPC"/>
        <w:rPr>
          <w:rFonts w:cstheme="minorBidi"/>
        </w:rPr>
      </w:pPr>
      <w:proofErr w:type="spellStart"/>
      <w:r w:rsidRPr="00F86B1A">
        <w:rPr>
          <w:rFonts w:cstheme="minorBidi"/>
          <w:i/>
          <w:iCs/>
        </w:rPr>
        <w:t>Necator</w:t>
      </w:r>
      <w:proofErr w:type="spellEnd"/>
      <w:r w:rsidRPr="00F86B1A">
        <w:rPr>
          <w:rFonts w:cstheme="minorBidi"/>
          <w:i/>
          <w:iCs/>
        </w:rPr>
        <w:t xml:space="preserve"> americanus</w:t>
      </w:r>
      <w:r w:rsidRPr="00F86B1A">
        <w:rPr>
          <w:rFonts w:cstheme="minorBidi"/>
        </w:rPr>
        <w:t xml:space="preserve"> (American hookworm) </w:t>
      </w:r>
    </w:p>
    <w:p w14:paraId="2BCE2209" w14:textId="5492D370" w:rsidR="00C864CB" w:rsidRDefault="00F86B1A" w:rsidP="00F86B1A">
      <w:pPr>
        <w:pStyle w:val="BodyTextSMPC"/>
        <w:rPr>
          <w:rFonts w:cstheme="minorBidi"/>
        </w:rPr>
      </w:pPr>
      <w:r w:rsidRPr="00F86B1A">
        <w:rPr>
          <w:rFonts w:cstheme="minorBidi"/>
        </w:rPr>
        <w:t xml:space="preserve">There is no evidence that </w:t>
      </w:r>
      <w:r w:rsidR="001937E4">
        <w:rPr>
          <w:rFonts w:cstheme="minorBidi"/>
        </w:rPr>
        <w:t>Mebendazole</w:t>
      </w:r>
      <w:r w:rsidRPr="00F86B1A">
        <w:rPr>
          <w:rFonts w:cstheme="minorBidi"/>
        </w:rPr>
        <w:t xml:space="preserve"> is effective in the treatment of cysticercosis.</w:t>
      </w:r>
    </w:p>
    <w:p w14:paraId="361392E9" w14:textId="0F394946" w:rsidR="00732389" w:rsidRPr="00C864CB" w:rsidRDefault="00000000" w:rsidP="00C864CB">
      <w:pPr>
        <w:pStyle w:val="SubHeafingSMPC"/>
      </w:pPr>
      <w:r w:rsidRPr="008F5678">
        <w:t>Posology and method of administration</w:t>
      </w:r>
    </w:p>
    <w:p w14:paraId="6CB3B931" w14:textId="77777777" w:rsidR="00F86B1A" w:rsidRDefault="00F86B1A" w:rsidP="00F86B1A">
      <w:pPr>
        <w:pStyle w:val="BodyTextSMPC"/>
      </w:pPr>
      <w:r w:rsidRPr="00F86B1A">
        <w:rPr>
          <w:b/>
          <w:bCs/>
        </w:rPr>
        <w:lastRenderedPageBreak/>
        <w:t>Adults and children over 2 years</w:t>
      </w:r>
      <w:r>
        <w:t xml:space="preserve">: </w:t>
      </w:r>
    </w:p>
    <w:p w14:paraId="45D4900A" w14:textId="77777777" w:rsidR="00F86B1A" w:rsidRDefault="00F86B1A" w:rsidP="00F86B1A">
      <w:pPr>
        <w:pStyle w:val="BodyTextSMPC"/>
      </w:pPr>
      <w:proofErr w:type="spellStart"/>
      <w:r>
        <w:t>Enterobiasis</w:t>
      </w:r>
      <w:proofErr w:type="spellEnd"/>
      <w:r>
        <w:t xml:space="preserve">: </w:t>
      </w:r>
    </w:p>
    <w:p w14:paraId="06A69BD7" w14:textId="74A67E14" w:rsidR="00F86B1A" w:rsidRDefault="00F86B1A" w:rsidP="00F86B1A">
      <w:pPr>
        <w:pStyle w:val="BodyTextSMPC"/>
      </w:pPr>
      <w:r>
        <w:t xml:space="preserve">1 x </w:t>
      </w:r>
      <w:r w:rsidR="0043388D">
        <w:t>100 mg</w:t>
      </w:r>
      <w:r>
        <w:t xml:space="preserve">. </w:t>
      </w:r>
    </w:p>
    <w:p w14:paraId="0205A9C8" w14:textId="323FC46C" w:rsidR="00F86B1A" w:rsidRDefault="00F86B1A" w:rsidP="0043388D">
      <w:pPr>
        <w:pStyle w:val="BodyTextSMPC"/>
      </w:pPr>
      <w:r>
        <w:t xml:space="preserve">It is highly recommended that a second dose is taken after 2 weeks, if reinfection is suspected. </w:t>
      </w:r>
    </w:p>
    <w:p w14:paraId="2E4F0E10" w14:textId="77777777" w:rsidR="00F86B1A" w:rsidRDefault="00F86B1A" w:rsidP="00F86B1A">
      <w:pPr>
        <w:pStyle w:val="BodyTextSMPC"/>
      </w:pPr>
      <w:r>
        <w:t xml:space="preserve">Ascariasis, </w:t>
      </w:r>
      <w:proofErr w:type="spellStart"/>
      <w:r>
        <w:t>trichuriasis</w:t>
      </w:r>
      <w:proofErr w:type="spellEnd"/>
      <w:r>
        <w:t xml:space="preserve">, ancylostomiasis, </w:t>
      </w:r>
      <w:proofErr w:type="spellStart"/>
      <w:r>
        <w:t>necatoriasis</w:t>
      </w:r>
      <w:proofErr w:type="spellEnd"/>
      <w:r>
        <w:t xml:space="preserve"> and mixed infections: </w:t>
      </w:r>
    </w:p>
    <w:p w14:paraId="29DB3C54" w14:textId="7B54B37A" w:rsidR="00F86B1A" w:rsidRDefault="00F86B1A" w:rsidP="00F86B1A">
      <w:pPr>
        <w:pStyle w:val="BodyTextSMPC"/>
      </w:pPr>
      <w:r>
        <w:t xml:space="preserve">1 x </w:t>
      </w:r>
      <w:r w:rsidR="0043388D">
        <w:t>100 mg</w:t>
      </w:r>
      <w:r>
        <w:t xml:space="preserve"> bd for three days. </w:t>
      </w:r>
    </w:p>
    <w:p w14:paraId="5AA63C0E" w14:textId="77777777" w:rsidR="00F86B1A" w:rsidRDefault="00F86B1A" w:rsidP="00F86B1A">
      <w:pPr>
        <w:pStyle w:val="BodyTextSMPC"/>
      </w:pPr>
      <w:r w:rsidRPr="0043388D">
        <w:rPr>
          <w:b/>
          <w:bCs/>
        </w:rPr>
        <w:t>Children under 2 years</w:t>
      </w:r>
      <w:r>
        <w:t xml:space="preserve">: </w:t>
      </w:r>
    </w:p>
    <w:p w14:paraId="21F5CDEE" w14:textId="158C6B61" w:rsidR="0043388D" w:rsidRDefault="001937E4" w:rsidP="0043388D">
      <w:pPr>
        <w:pStyle w:val="BodyTextSMPC"/>
      </w:pPr>
      <w:r>
        <w:t>Mebendazole</w:t>
      </w:r>
      <w:r w:rsidR="00F86B1A">
        <w:t xml:space="preserve"> has not been extensively studied in children below the age of 2 years. </w:t>
      </w:r>
    </w:p>
    <w:p w14:paraId="70634090" w14:textId="0F17DFEA" w:rsidR="00F86B1A" w:rsidRDefault="00F86B1A" w:rsidP="0043388D">
      <w:pPr>
        <w:pStyle w:val="BodyTextSMPC"/>
      </w:pPr>
      <w:r>
        <w:t xml:space="preserve">Currently available data are described in section 4.4, 4.8 and 5.2, but no recommendations on a posology can be made. </w:t>
      </w:r>
    </w:p>
    <w:p w14:paraId="691D875E" w14:textId="6E5E7D2B" w:rsidR="00BD1BD1" w:rsidRPr="00BD1BD1" w:rsidRDefault="00F86B1A" w:rsidP="0043388D">
      <w:pPr>
        <w:pStyle w:val="BodyTextSMPC"/>
      </w:pPr>
      <w:r>
        <w:t xml:space="preserve">Because of the lack of sufficient safety data, </w:t>
      </w:r>
      <w:r w:rsidR="001937E4">
        <w:t>Mebendazole</w:t>
      </w:r>
      <w:r>
        <w:t xml:space="preserve"> should not be used in children below the age of 1 year (see section 4.4, 4.8 and 5.2)</w:t>
      </w:r>
      <w:r w:rsidR="00BD1BD1">
        <w:t>.</w:t>
      </w:r>
    </w:p>
    <w:p w14:paraId="6E4D95D4" w14:textId="5225F1A9" w:rsidR="00D511A4" w:rsidRPr="00D511A4" w:rsidRDefault="00D511A4" w:rsidP="00C864CB">
      <w:pPr>
        <w:pStyle w:val="BodyTextSMPC"/>
        <w:rPr>
          <w:b/>
          <w:bCs/>
        </w:rPr>
      </w:pPr>
      <w:r w:rsidRPr="00D511A4">
        <w:rPr>
          <w:b/>
          <w:bCs/>
        </w:rPr>
        <w:t>Method of administration</w:t>
      </w:r>
    </w:p>
    <w:p w14:paraId="6135128F" w14:textId="77777777" w:rsidR="00D511A4" w:rsidRDefault="00D511A4" w:rsidP="00D511A4">
      <w:pPr>
        <w:pStyle w:val="BodyTextSMPC"/>
      </w:pPr>
      <w:r>
        <w:t xml:space="preserve">For oral administration. </w:t>
      </w:r>
    </w:p>
    <w:p w14:paraId="6B255F2A" w14:textId="0241F968" w:rsidR="00D511A4" w:rsidRDefault="001937E4" w:rsidP="0043388D">
      <w:pPr>
        <w:pStyle w:val="BodyTextSMPC"/>
      </w:pPr>
      <w:r>
        <w:t>Mebendazole</w:t>
      </w:r>
      <w:r w:rsidR="0043388D">
        <w:t xml:space="preserve"> oral suspension should be considered for patients such as young children who are unable to swallow the tablet.</w:t>
      </w:r>
    </w:p>
    <w:p w14:paraId="5B05A77F" w14:textId="77777777" w:rsidR="00671E86" w:rsidRPr="008F5678" w:rsidRDefault="00000000" w:rsidP="00233A79">
      <w:pPr>
        <w:pStyle w:val="SubHeafingSMPC"/>
      </w:pPr>
      <w:r w:rsidRPr="008F5678">
        <w:t>Contraindications</w:t>
      </w:r>
    </w:p>
    <w:p w14:paraId="4D60939E" w14:textId="6664F7B6" w:rsidR="007B18D7" w:rsidRDefault="001937E4" w:rsidP="0043388D">
      <w:pPr>
        <w:pStyle w:val="BodyTextSMPC"/>
      </w:pPr>
      <w:r>
        <w:t>Mebendazole</w:t>
      </w:r>
      <w:r w:rsidR="0043388D">
        <w:t xml:space="preserve"> is contra-indicated in pregnancy and in patients who have shown hypersensitivity to the product or any components</w:t>
      </w:r>
      <w:r w:rsidR="00C864CB">
        <w:t>.</w:t>
      </w:r>
    </w:p>
    <w:p w14:paraId="6955ACE4" w14:textId="77777777" w:rsidR="00A144D2" w:rsidRPr="008F5678" w:rsidRDefault="00000000" w:rsidP="00671E86">
      <w:pPr>
        <w:pStyle w:val="SubHeafingSMPC"/>
      </w:pPr>
      <w:r w:rsidRPr="008F5678">
        <w:t xml:space="preserve">Special warnings and precautions for use </w:t>
      </w:r>
    </w:p>
    <w:p w14:paraId="186E7322" w14:textId="77777777" w:rsidR="00F139D3" w:rsidRDefault="00F139D3" w:rsidP="00F139D3">
      <w:pPr>
        <w:pStyle w:val="BodyTextSMPC"/>
      </w:pPr>
      <w:r>
        <w:t xml:space="preserve">Not recommended in the treatment of children under 2 years </w:t>
      </w:r>
    </w:p>
    <w:p w14:paraId="124285D2" w14:textId="03D8793D" w:rsidR="00F139D3" w:rsidRDefault="00F139D3" w:rsidP="00F139D3">
      <w:pPr>
        <w:pStyle w:val="BodyTextSMPC"/>
      </w:pPr>
      <w:r>
        <w:t xml:space="preserve">There have been rare reports of reversible liver function disturbances, hepatitis and neutropenia described in patients who were treated with mebendazole at recommended dosages for indicated conditions (see </w:t>
      </w:r>
      <w:r>
        <w:lastRenderedPageBreak/>
        <w:t xml:space="preserve">section 4.8 ‘Undesirable effects’). Agranulocytosis and glomerulonephritis have also been reported in patients treated for Echinococcosis. </w:t>
      </w:r>
    </w:p>
    <w:p w14:paraId="3CDCA200" w14:textId="46E32CB3" w:rsidR="00F139D3" w:rsidRDefault="00F139D3" w:rsidP="00F139D3">
      <w:pPr>
        <w:pStyle w:val="BodyTextSMPC"/>
      </w:pPr>
      <w:r>
        <w:t xml:space="preserve">A case-control study of a single outbreak of Stevens-Johnson syndrome /toxic epidermal necrolysis (SJS/TEN) suggested a possible association with the concomitant use of metronidazole with mebendazole. Although there are no additional data on this potential interaction, concomitant use of mebendazole and metronidazole should be avoided. </w:t>
      </w:r>
    </w:p>
    <w:p w14:paraId="2E30BD6E" w14:textId="59CBCEC8" w:rsidR="00F139D3" w:rsidRDefault="00F139D3" w:rsidP="00F139D3">
      <w:pPr>
        <w:pStyle w:val="BodyTextSMPC"/>
      </w:pPr>
      <w:r>
        <w:t xml:space="preserve">Convulsions in children, including in infants below 1 year of age, have been reported very rarely during post-marketing experience (see section 4.8 ‘Undesirable effects’). </w:t>
      </w:r>
      <w:r w:rsidR="001937E4">
        <w:t>Mebendazole</w:t>
      </w:r>
      <w:r>
        <w:t xml:space="preserve"> has not been extensively studied in children below the age of 2 years. Therefore, </w:t>
      </w:r>
      <w:r w:rsidR="001937E4">
        <w:t>Mebendazole</w:t>
      </w:r>
      <w:r>
        <w:t xml:space="preserve"> should be used in children aged 1-2 years only if the potential benefit justifies the potential risk. Because of the lack of sufficient safety data, </w:t>
      </w:r>
      <w:r w:rsidR="001937E4">
        <w:t>Mebendazole</w:t>
      </w:r>
      <w:r>
        <w:t xml:space="preserve"> should not be used in children below the age of 1 year. </w:t>
      </w:r>
    </w:p>
    <w:p w14:paraId="01B9360E" w14:textId="02A97723" w:rsidR="00AF364C" w:rsidRPr="006101D5" w:rsidRDefault="001937E4" w:rsidP="00F139D3">
      <w:pPr>
        <w:pStyle w:val="BodyTextSMPC"/>
      </w:pPr>
      <w:r>
        <w:t>Mebendazole</w:t>
      </w:r>
      <w:r w:rsidR="00F139D3">
        <w:t xml:space="preserve"> should only be given to very young children if their worm infestation interferes significantly with their nutritional status and physical development</w:t>
      </w:r>
      <w:r w:rsidR="00E26333">
        <w:t>.</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21EF518B" w14:textId="65A9EC0E" w:rsidR="00F139D3" w:rsidRDefault="00F139D3" w:rsidP="00F139D3">
      <w:pPr>
        <w:pStyle w:val="BodyTextSMPC"/>
      </w:pPr>
      <w:r>
        <w:t xml:space="preserve">Concomitant treatment with cimetidine may inhibit the metabolism of mebendazole in the liver, resulting in increased plasma concentrations of the drug. </w:t>
      </w:r>
    </w:p>
    <w:p w14:paraId="671F337F" w14:textId="42D1CE3F" w:rsidR="003B51C2" w:rsidRDefault="00F139D3" w:rsidP="00F139D3">
      <w:pPr>
        <w:pStyle w:val="BodyTextSMPC"/>
      </w:pPr>
      <w:r>
        <w:t>Concomitant use of mebendazole and metronidazole should be avoided (see section 4.4)</w:t>
      </w:r>
      <w:r w:rsidR="00364ADF">
        <w:t>.</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3BBEE802" w14:textId="14C82100" w:rsidR="003B16FC" w:rsidRDefault="00F139D3" w:rsidP="00F139D3">
      <w:pPr>
        <w:pStyle w:val="BodyTextSMPC"/>
      </w:pPr>
      <w:r>
        <w:t xml:space="preserve">Since </w:t>
      </w:r>
      <w:r w:rsidR="001937E4">
        <w:t>Mebendazole</w:t>
      </w:r>
      <w:r>
        <w:t xml:space="preserve"> is contraindicated in pregnancy, patients who think they are, or may be, pregnant should not take this preparation</w:t>
      </w:r>
      <w:r w:rsidR="003B16FC">
        <w:t>.</w:t>
      </w:r>
    </w:p>
    <w:p w14:paraId="0F6D438F" w14:textId="21009765" w:rsidR="00D32C40" w:rsidRPr="00D32C40" w:rsidRDefault="00D32C40" w:rsidP="00D32C40">
      <w:pPr>
        <w:pStyle w:val="BodyTextSMPC"/>
        <w:rPr>
          <w:b/>
          <w:bCs/>
        </w:rPr>
      </w:pPr>
      <w:r w:rsidRPr="00D32C40">
        <w:rPr>
          <w:b/>
          <w:bCs/>
        </w:rPr>
        <w:lastRenderedPageBreak/>
        <w:t>Breast-feeding</w:t>
      </w:r>
    </w:p>
    <w:p w14:paraId="00C7C5F6" w14:textId="0173EE01" w:rsidR="001678C4" w:rsidRDefault="00F139D3" w:rsidP="00F139D3">
      <w:pPr>
        <w:pStyle w:val="BodyTextSMPC"/>
      </w:pPr>
      <w:r>
        <w:t xml:space="preserve">Limited data from case reports demonstrate that a small amount of mebendazole is present in human milk following oral administration. Therefore, caution should be exercised when </w:t>
      </w:r>
      <w:r w:rsidR="001937E4">
        <w:t>Mebendazole</w:t>
      </w:r>
      <w:r>
        <w:t xml:space="preserve"> is administered to breast-feeding women</w:t>
      </w:r>
      <w:r w:rsidR="00BA0700" w:rsidRPr="00BA0700">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259E47B3" w:rsidR="00227FD4" w:rsidRPr="009D6FFD" w:rsidRDefault="001937E4" w:rsidP="009A1A64">
      <w:pPr>
        <w:pStyle w:val="BodyTextSMPC"/>
      </w:pPr>
      <w:r>
        <w:t>Mebendazole</w:t>
      </w:r>
      <w:r w:rsidR="00F139D3" w:rsidRPr="00F139D3">
        <w:t xml:space="preserve"> has no influence on the ability to drive and use machines</w:t>
      </w:r>
      <w:r w:rsidR="00EB692F">
        <w:t>.</w:t>
      </w:r>
    </w:p>
    <w:p w14:paraId="071D62C3" w14:textId="1176E362" w:rsidR="00227FD4" w:rsidRPr="008F5678" w:rsidRDefault="00000000" w:rsidP="00671E86">
      <w:pPr>
        <w:pStyle w:val="SubHeafingSMPC"/>
      </w:pPr>
      <w:r w:rsidRPr="008F5678">
        <w:t xml:space="preserve">Undesirable effects </w:t>
      </w:r>
    </w:p>
    <w:p w14:paraId="6EC6791A" w14:textId="0CC84BD3" w:rsidR="00C11279" w:rsidRDefault="00C11279" w:rsidP="00DF04FD">
      <w:pPr>
        <w:pStyle w:val="BodyTextSMPC"/>
      </w:pPr>
      <w:r>
        <w:t xml:space="preserve">Throughout this section adverse reactions are reported. Adverse reactions are adverse events that were considered to be reasonably associated with the use of </w:t>
      </w:r>
      <w:r w:rsidR="001937E4">
        <w:t>Mebendazole</w:t>
      </w:r>
      <w:r>
        <w:t xml:space="preserve"> based on the comprehensive assessment of the available adverse event information. A causal relationship with </w:t>
      </w:r>
      <w:r w:rsidR="001937E4">
        <w:t>Mebendazole</w:t>
      </w:r>
      <w:r>
        <w:t xml:space="preserve"> cannot be reliably established in individual cases. Further, because clinical trials are conducted under widely varying conditions, adverse reaction rates observed in the clinical trials of a drug cannot be directly compared to rates in the clinical trials of another drug and may not reflect the rates observed in clinical practice. </w:t>
      </w:r>
    </w:p>
    <w:p w14:paraId="7B821F41" w14:textId="46018375" w:rsidR="00C11279" w:rsidRDefault="00C11279" w:rsidP="00C11279">
      <w:pPr>
        <w:pStyle w:val="BodyTextSMPC"/>
        <w:spacing w:before="240"/>
      </w:pPr>
      <w:r>
        <w:t xml:space="preserve">The safety of </w:t>
      </w:r>
      <w:r w:rsidR="001937E4">
        <w:t>Mebendazole</w:t>
      </w:r>
      <w:r>
        <w:t xml:space="preserve"> was evaluated in 6276 subjects who participated in 39 clinical trials for the treatment of single or mixed parasitic infestations of the gastrointestinal tract. In these 39 clinical trials, no adverse drug reactions (ADRs) occurred in ≥1% of </w:t>
      </w:r>
      <w:r w:rsidR="001937E4">
        <w:t>Mebendazole</w:t>
      </w:r>
      <w:r>
        <w:t xml:space="preserve">-treated subjects. </w:t>
      </w:r>
    </w:p>
    <w:p w14:paraId="6CEC3F60" w14:textId="724C42C4" w:rsidR="00652313" w:rsidRDefault="00C11279" w:rsidP="00C11279">
      <w:pPr>
        <w:pStyle w:val="BodyTextSMPC"/>
        <w:spacing w:before="240"/>
      </w:pPr>
      <w:r>
        <w:t xml:space="preserve">ADRs identified from clinical trials and post-marketing experience with </w:t>
      </w:r>
      <w:r w:rsidR="001937E4">
        <w:t>Mebendazole</w:t>
      </w:r>
      <w:r>
        <w:t xml:space="preserve"> are included in Table 1. The displayed frequency categories use the following convention:</w:t>
      </w:r>
      <w:r w:rsidR="006852E2">
        <w:t xml:space="preserve"> </w:t>
      </w:r>
      <w:r>
        <w:t xml:space="preserve">Very common (≥1/10); Common (≥1/100 to &lt;1/10); Uncommon (≥1/1000 to &lt;1/100); Rare (≥1/10,000 to &lt;1/1000); Very rare (&lt;1/10,000), Not known (cannot be estimated from the available data). </w:t>
      </w:r>
      <w:r w:rsidR="00652313">
        <w:t xml:space="preserve"> </w:t>
      </w:r>
    </w:p>
    <w:p w14:paraId="79AF7DA1" w14:textId="072A9126" w:rsidR="00C11279" w:rsidRDefault="00C11279" w:rsidP="00C11279">
      <w:pPr>
        <w:pStyle w:val="BodyTextSMPC"/>
        <w:spacing w:before="240"/>
      </w:pPr>
      <w:r w:rsidRPr="00C11279">
        <w:t>Table 1: Adverse Drug Reactions Reported in Clinical Trials and Post</w:t>
      </w:r>
      <w:r>
        <w:t>-</w:t>
      </w:r>
      <w:r w:rsidRPr="00C11279">
        <w:t xml:space="preserve">marketing Experience for </w:t>
      </w:r>
      <w:r>
        <w:t>Mebendazole</w:t>
      </w:r>
    </w:p>
    <w:tbl>
      <w:tblPr>
        <w:tblW w:w="8647"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985"/>
        <w:gridCol w:w="1702"/>
        <w:gridCol w:w="2407"/>
        <w:gridCol w:w="2553"/>
      </w:tblGrid>
      <w:tr w:rsidR="00494A26" w:rsidRPr="00C11279" w14:paraId="3956098F" w14:textId="77777777" w:rsidTr="00494A26">
        <w:trPr>
          <w:tblCellSpacing w:w="0" w:type="dxa"/>
        </w:trPr>
        <w:tc>
          <w:tcPr>
            <w:tcW w:w="1148"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6878C32" w14:textId="02E62BA9" w:rsidR="00C11279" w:rsidRPr="00C11279" w:rsidRDefault="00C11279" w:rsidP="00494A26">
            <w:pPr>
              <w:pStyle w:val="BodyTextSMPC"/>
              <w:spacing w:after="0"/>
              <w:ind w:left="0"/>
              <w:jc w:val="left"/>
              <w:rPr>
                <w:sz w:val="24"/>
                <w:szCs w:val="24"/>
              </w:rPr>
            </w:pPr>
            <w:r>
              <w:rPr>
                <w:b/>
                <w:bCs/>
                <w:sz w:val="24"/>
                <w:szCs w:val="24"/>
              </w:rPr>
              <w:t>S</w:t>
            </w:r>
            <w:r w:rsidRPr="00C11279">
              <w:rPr>
                <w:b/>
                <w:bCs/>
                <w:sz w:val="24"/>
                <w:szCs w:val="24"/>
              </w:rPr>
              <w:t>ystem Organ Class</w:t>
            </w:r>
          </w:p>
        </w:tc>
        <w:tc>
          <w:tcPr>
            <w:tcW w:w="3852"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391A19A1" w14:textId="77777777" w:rsidR="00C11279" w:rsidRPr="00C11279" w:rsidRDefault="00C11279" w:rsidP="00494A26">
            <w:pPr>
              <w:pStyle w:val="BodyTextSMPC"/>
              <w:spacing w:after="0"/>
              <w:ind w:left="0"/>
              <w:jc w:val="center"/>
              <w:rPr>
                <w:sz w:val="24"/>
                <w:szCs w:val="24"/>
              </w:rPr>
            </w:pPr>
            <w:r w:rsidRPr="00C11279">
              <w:rPr>
                <w:b/>
                <w:bCs/>
                <w:sz w:val="24"/>
                <w:szCs w:val="24"/>
              </w:rPr>
              <w:t>Adverse Drug Reactions</w:t>
            </w:r>
          </w:p>
        </w:tc>
      </w:tr>
      <w:tr w:rsidR="00494A26" w:rsidRPr="00C11279" w14:paraId="451D08A1" w14:textId="77777777" w:rsidTr="00494A26">
        <w:trPr>
          <w:tblCellSpacing w:w="0" w:type="dxa"/>
        </w:trPr>
        <w:tc>
          <w:tcPr>
            <w:tcW w:w="1148" w:type="pct"/>
            <w:vMerge/>
            <w:tcBorders>
              <w:top w:val="outset" w:sz="6" w:space="0" w:color="auto"/>
              <w:left w:val="outset" w:sz="6" w:space="0" w:color="auto"/>
              <w:bottom w:val="outset" w:sz="6" w:space="0" w:color="auto"/>
              <w:right w:val="outset" w:sz="6" w:space="0" w:color="auto"/>
            </w:tcBorders>
            <w:shd w:val="clear" w:color="auto" w:fill="FFFFFF"/>
            <w:hideMark/>
          </w:tcPr>
          <w:p w14:paraId="34B98526" w14:textId="77777777" w:rsidR="00C11279" w:rsidRPr="00C11279" w:rsidRDefault="00C11279" w:rsidP="00494A26">
            <w:pPr>
              <w:pStyle w:val="BodyTextSMPC"/>
              <w:spacing w:after="0"/>
              <w:ind w:left="0"/>
              <w:jc w:val="left"/>
              <w:rPr>
                <w:sz w:val="24"/>
                <w:szCs w:val="24"/>
              </w:rPr>
            </w:pPr>
          </w:p>
        </w:tc>
        <w:tc>
          <w:tcPr>
            <w:tcW w:w="3852"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4C35C03F" w14:textId="77777777" w:rsidR="00C11279" w:rsidRPr="00C11279" w:rsidRDefault="00C11279" w:rsidP="00494A26">
            <w:pPr>
              <w:pStyle w:val="BodyTextSMPC"/>
              <w:spacing w:after="0"/>
              <w:ind w:left="0"/>
              <w:jc w:val="center"/>
              <w:rPr>
                <w:sz w:val="24"/>
                <w:szCs w:val="24"/>
              </w:rPr>
            </w:pPr>
            <w:r w:rsidRPr="00C11279">
              <w:rPr>
                <w:b/>
                <w:bCs/>
                <w:sz w:val="24"/>
                <w:szCs w:val="24"/>
              </w:rPr>
              <w:t>Frequency Category</w:t>
            </w:r>
          </w:p>
        </w:tc>
      </w:tr>
      <w:tr w:rsidR="00C11279" w:rsidRPr="00C11279" w14:paraId="7CDC510F" w14:textId="77777777" w:rsidTr="00494A26">
        <w:trPr>
          <w:tblCellSpacing w:w="0" w:type="dxa"/>
        </w:trPr>
        <w:tc>
          <w:tcPr>
            <w:tcW w:w="1148" w:type="pct"/>
            <w:vMerge/>
            <w:tcBorders>
              <w:top w:val="outset" w:sz="6" w:space="0" w:color="auto"/>
              <w:left w:val="outset" w:sz="6" w:space="0" w:color="auto"/>
              <w:bottom w:val="outset" w:sz="6" w:space="0" w:color="auto"/>
              <w:right w:val="outset" w:sz="6" w:space="0" w:color="auto"/>
            </w:tcBorders>
            <w:shd w:val="clear" w:color="auto" w:fill="FFFFFF"/>
            <w:hideMark/>
          </w:tcPr>
          <w:p w14:paraId="05E0D6DE" w14:textId="77777777" w:rsidR="00C11279" w:rsidRPr="00C11279" w:rsidRDefault="00C11279" w:rsidP="00494A26">
            <w:pPr>
              <w:pStyle w:val="BodyTextSMPC"/>
              <w:spacing w:after="0"/>
              <w:ind w:left="0"/>
              <w:jc w:val="left"/>
              <w:rPr>
                <w:sz w:val="24"/>
                <w:szCs w:val="24"/>
              </w:rPr>
            </w:pPr>
          </w:p>
        </w:tc>
        <w:tc>
          <w:tcPr>
            <w:tcW w:w="984" w:type="pct"/>
            <w:tcBorders>
              <w:top w:val="outset" w:sz="6" w:space="0" w:color="auto"/>
              <w:left w:val="outset" w:sz="6" w:space="0" w:color="auto"/>
              <w:bottom w:val="outset" w:sz="6" w:space="0" w:color="auto"/>
              <w:right w:val="outset" w:sz="6" w:space="0" w:color="auto"/>
            </w:tcBorders>
            <w:shd w:val="clear" w:color="auto" w:fill="FFFFFF"/>
            <w:hideMark/>
          </w:tcPr>
          <w:p w14:paraId="1D9FB5FA" w14:textId="77777777" w:rsidR="00C11279" w:rsidRPr="00C11279" w:rsidRDefault="00C11279" w:rsidP="00494A26">
            <w:pPr>
              <w:pStyle w:val="BodyTextSMPC"/>
              <w:spacing w:after="0"/>
              <w:ind w:left="0"/>
              <w:jc w:val="center"/>
              <w:rPr>
                <w:sz w:val="24"/>
                <w:szCs w:val="24"/>
              </w:rPr>
            </w:pPr>
            <w:r w:rsidRPr="00C11279">
              <w:rPr>
                <w:b/>
                <w:bCs/>
                <w:sz w:val="24"/>
                <w:szCs w:val="24"/>
              </w:rPr>
              <w:t>Common</w:t>
            </w:r>
          </w:p>
          <w:p w14:paraId="1314FB8F" w14:textId="77777777" w:rsidR="00C11279" w:rsidRPr="00C11279" w:rsidRDefault="00C11279" w:rsidP="00494A26">
            <w:pPr>
              <w:pStyle w:val="BodyTextSMPC"/>
              <w:spacing w:after="0"/>
              <w:ind w:left="0"/>
              <w:jc w:val="center"/>
              <w:rPr>
                <w:sz w:val="24"/>
                <w:szCs w:val="24"/>
              </w:rPr>
            </w:pPr>
            <w:r w:rsidRPr="00C11279">
              <w:rPr>
                <w:sz w:val="24"/>
                <w:szCs w:val="24"/>
              </w:rPr>
              <w:t>(≥ 1/100 to &lt; 1/10)</w:t>
            </w:r>
          </w:p>
        </w:tc>
        <w:tc>
          <w:tcPr>
            <w:tcW w:w="1392" w:type="pct"/>
            <w:tcBorders>
              <w:top w:val="outset" w:sz="6" w:space="0" w:color="auto"/>
              <w:left w:val="outset" w:sz="6" w:space="0" w:color="auto"/>
              <w:bottom w:val="outset" w:sz="6" w:space="0" w:color="auto"/>
              <w:right w:val="outset" w:sz="6" w:space="0" w:color="auto"/>
            </w:tcBorders>
            <w:shd w:val="clear" w:color="auto" w:fill="FFFFFF"/>
            <w:hideMark/>
          </w:tcPr>
          <w:p w14:paraId="27035838" w14:textId="77777777" w:rsidR="00C11279" w:rsidRPr="00C11279" w:rsidRDefault="00C11279" w:rsidP="00494A26">
            <w:pPr>
              <w:pStyle w:val="BodyTextSMPC"/>
              <w:spacing w:after="0"/>
              <w:ind w:left="0"/>
              <w:jc w:val="center"/>
              <w:rPr>
                <w:sz w:val="24"/>
                <w:szCs w:val="24"/>
              </w:rPr>
            </w:pPr>
            <w:r w:rsidRPr="00C11279">
              <w:rPr>
                <w:b/>
                <w:bCs/>
                <w:sz w:val="24"/>
                <w:szCs w:val="24"/>
              </w:rPr>
              <w:t>Uncommon</w:t>
            </w:r>
          </w:p>
          <w:p w14:paraId="465C29D2" w14:textId="77777777" w:rsidR="00C11279" w:rsidRPr="00C11279" w:rsidRDefault="00C11279" w:rsidP="00494A26">
            <w:pPr>
              <w:pStyle w:val="BodyTextSMPC"/>
              <w:spacing w:after="0"/>
              <w:ind w:left="0"/>
              <w:jc w:val="center"/>
              <w:rPr>
                <w:sz w:val="24"/>
                <w:szCs w:val="24"/>
              </w:rPr>
            </w:pPr>
            <w:r w:rsidRPr="00C11279">
              <w:rPr>
                <w:sz w:val="24"/>
                <w:szCs w:val="24"/>
              </w:rPr>
              <w:t>(≥ 1/1000 to &lt; 1/100)</w:t>
            </w:r>
          </w:p>
        </w:tc>
        <w:tc>
          <w:tcPr>
            <w:tcW w:w="1476" w:type="pct"/>
            <w:tcBorders>
              <w:top w:val="outset" w:sz="6" w:space="0" w:color="auto"/>
              <w:left w:val="outset" w:sz="6" w:space="0" w:color="auto"/>
              <w:bottom w:val="outset" w:sz="6" w:space="0" w:color="auto"/>
              <w:right w:val="outset" w:sz="6" w:space="0" w:color="auto"/>
            </w:tcBorders>
            <w:shd w:val="clear" w:color="auto" w:fill="FFFFFF"/>
            <w:hideMark/>
          </w:tcPr>
          <w:p w14:paraId="58BD3015" w14:textId="77777777" w:rsidR="00C11279" w:rsidRPr="00C11279" w:rsidRDefault="00C11279" w:rsidP="00494A26">
            <w:pPr>
              <w:pStyle w:val="BodyTextSMPC"/>
              <w:spacing w:after="0"/>
              <w:ind w:left="0"/>
              <w:jc w:val="center"/>
              <w:rPr>
                <w:sz w:val="24"/>
                <w:szCs w:val="24"/>
              </w:rPr>
            </w:pPr>
            <w:r w:rsidRPr="00C11279">
              <w:rPr>
                <w:b/>
                <w:bCs/>
                <w:sz w:val="24"/>
                <w:szCs w:val="24"/>
              </w:rPr>
              <w:t>Rare</w:t>
            </w:r>
          </w:p>
          <w:p w14:paraId="6CEA8AD0" w14:textId="77777777" w:rsidR="00C11279" w:rsidRPr="00C11279" w:rsidRDefault="00C11279" w:rsidP="00494A26">
            <w:pPr>
              <w:pStyle w:val="BodyTextSMPC"/>
              <w:spacing w:after="0"/>
              <w:ind w:left="0"/>
              <w:jc w:val="center"/>
              <w:rPr>
                <w:sz w:val="24"/>
                <w:szCs w:val="24"/>
              </w:rPr>
            </w:pPr>
            <w:r w:rsidRPr="00C11279">
              <w:rPr>
                <w:sz w:val="24"/>
                <w:szCs w:val="24"/>
              </w:rPr>
              <w:t>(≥ 1/10,000 to &lt;1/1000)</w:t>
            </w:r>
          </w:p>
        </w:tc>
      </w:tr>
      <w:tr w:rsidR="00C11279" w:rsidRPr="00C11279" w14:paraId="69F20175" w14:textId="77777777" w:rsidTr="00494A26">
        <w:trPr>
          <w:tblCellSpacing w:w="0" w:type="dxa"/>
        </w:trPr>
        <w:tc>
          <w:tcPr>
            <w:tcW w:w="1148" w:type="pct"/>
            <w:tcBorders>
              <w:top w:val="outset" w:sz="6" w:space="0" w:color="auto"/>
              <w:left w:val="outset" w:sz="6" w:space="0" w:color="auto"/>
              <w:bottom w:val="outset" w:sz="6" w:space="0" w:color="auto"/>
              <w:right w:val="outset" w:sz="6" w:space="0" w:color="auto"/>
            </w:tcBorders>
            <w:shd w:val="clear" w:color="auto" w:fill="FFFFFF"/>
            <w:hideMark/>
          </w:tcPr>
          <w:p w14:paraId="2B1EA443" w14:textId="77777777" w:rsidR="00C11279" w:rsidRPr="00C11279" w:rsidRDefault="00C11279" w:rsidP="00494A26">
            <w:pPr>
              <w:pStyle w:val="BodyTextSMPC"/>
              <w:spacing w:after="0"/>
              <w:ind w:left="0"/>
              <w:jc w:val="left"/>
              <w:rPr>
                <w:sz w:val="24"/>
                <w:szCs w:val="24"/>
              </w:rPr>
            </w:pPr>
            <w:r w:rsidRPr="00C11279">
              <w:rPr>
                <w:b/>
                <w:bCs/>
                <w:sz w:val="24"/>
                <w:szCs w:val="24"/>
              </w:rPr>
              <w:t>Blood and Lymphatic System Disorders</w:t>
            </w:r>
          </w:p>
        </w:tc>
        <w:tc>
          <w:tcPr>
            <w:tcW w:w="984" w:type="pct"/>
            <w:tcBorders>
              <w:top w:val="outset" w:sz="6" w:space="0" w:color="auto"/>
              <w:left w:val="outset" w:sz="6" w:space="0" w:color="auto"/>
              <w:bottom w:val="outset" w:sz="6" w:space="0" w:color="auto"/>
              <w:right w:val="outset" w:sz="6" w:space="0" w:color="auto"/>
            </w:tcBorders>
            <w:shd w:val="clear" w:color="auto" w:fill="FFFFFF"/>
            <w:hideMark/>
          </w:tcPr>
          <w:p w14:paraId="519062E6" w14:textId="77777777" w:rsidR="00C11279" w:rsidRPr="00C11279" w:rsidRDefault="00C11279" w:rsidP="00494A26">
            <w:pPr>
              <w:pStyle w:val="BodyTextSMPC"/>
              <w:spacing w:after="0"/>
              <w:ind w:left="0"/>
              <w:jc w:val="left"/>
              <w:rPr>
                <w:sz w:val="24"/>
                <w:szCs w:val="24"/>
              </w:rPr>
            </w:pPr>
          </w:p>
        </w:tc>
        <w:tc>
          <w:tcPr>
            <w:tcW w:w="1392" w:type="pct"/>
            <w:tcBorders>
              <w:top w:val="outset" w:sz="6" w:space="0" w:color="auto"/>
              <w:left w:val="outset" w:sz="6" w:space="0" w:color="auto"/>
              <w:bottom w:val="outset" w:sz="6" w:space="0" w:color="auto"/>
              <w:right w:val="outset" w:sz="6" w:space="0" w:color="auto"/>
            </w:tcBorders>
            <w:shd w:val="clear" w:color="auto" w:fill="FFFFFF"/>
            <w:hideMark/>
          </w:tcPr>
          <w:p w14:paraId="2B2EF31D" w14:textId="77777777" w:rsidR="00C11279" w:rsidRPr="00C11279" w:rsidRDefault="00C11279" w:rsidP="00494A26">
            <w:pPr>
              <w:pStyle w:val="BodyTextSMPC"/>
              <w:spacing w:after="0"/>
              <w:ind w:left="0"/>
              <w:jc w:val="left"/>
              <w:rPr>
                <w:sz w:val="24"/>
                <w:szCs w:val="24"/>
              </w:rPr>
            </w:pPr>
          </w:p>
        </w:tc>
        <w:tc>
          <w:tcPr>
            <w:tcW w:w="1476" w:type="pct"/>
            <w:tcBorders>
              <w:top w:val="outset" w:sz="6" w:space="0" w:color="auto"/>
              <w:left w:val="outset" w:sz="6" w:space="0" w:color="auto"/>
              <w:bottom w:val="outset" w:sz="6" w:space="0" w:color="auto"/>
              <w:right w:val="outset" w:sz="6" w:space="0" w:color="auto"/>
            </w:tcBorders>
            <w:shd w:val="clear" w:color="auto" w:fill="FFFFFF"/>
            <w:hideMark/>
          </w:tcPr>
          <w:p w14:paraId="4331660B" w14:textId="77777777" w:rsidR="00C11279" w:rsidRPr="00C11279" w:rsidRDefault="00C11279" w:rsidP="00494A26">
            <w:pPr>
              <w:pStyle w:val="BodyTextSMPC"/>
              <w:spacing w:after="0"/>
              <w:ind w:left="0"/>
              <w:jc w:val="left"/>
              <w:rPr>
                <w:sz w:val="24"/>
                <w:szCs w:val="24"/>
              </w:rPr>
            </w:pPr>
            <w:proofErr w:type="spellStart"/>
            <w:r w:rsidRPr="00C11279">
              <w:rPr>
                <w:sz w:val="24"/>
                <w:szCs w:val="24"/>
              </w:rPr>
              <w:t>Neutropenia</w:t>
            </w:r>
            <w:r w:rsidRPr="00C11279">
              <w:rPr>
                <w:sz w:val="24"/>
                <w:szCs w:val="24"/>
                <w:vertAlign w:val="superscript"/>
              </w:rPr>
              <w:t>b</w:t>
            </w:r>
            <w:proofErr w:type="spellEnd"/>
          </w:p>
          <w:p w14:paraId="59248AE9" w14:textId="77777777" w:rsidR="00C11279" w:rsidRPr="00C11279" w:rsidRDefault="00C11279" w:rsidP="00494A26">
            <w:pPr>
              <w:pStyle w:val="BodyTextSMPC"/>
              <w:spacing w:after="0"/>
              <w:ind w:left="0"/>
              <w:jc w:val="left"/>
              <w:rPr>
                <w:sz w:val="24"/>
                <w:szCs w:val="24"/>
              </w:rPr>
            </w:pPr>
            <w:proofErr w:type="spellStart"/>
            <w:r w:rsidRPr="00C11279">
              <w:rPr>
                <w:sz w:val="24"/>
                <w:szCs w:val="24"/>
              </w:rPr>
              <w:t>Agranulocytosis</w:t>
            </w:r>
            <w:r w:rsidRPr="00C11279">
              <w:rPr>
                <w:sz w:val="24"/>
                <w:szCs w:val="24"/>
                <w:vertAlign w:val="superscript"/>
              </w:rPr>
              <w:t>b</w:t>
            </w:r>
            <w:proofErr w:type="spellEnd"/>
            <w:r w:rsidRPr="00C11279">
              <w:rPr>
                <w:sz w:val="24"/>
                <w:szCs w:val="24"/>
                <w:vertAlign w:val="superscript"/>
              </w:rPr>
              <w:t> </w:t>
            </w:r>
            <w:r w:rsidRPr="00C11279">
              <w:rPr>
                <w:sz w:val="24"/>
                <w:szCs w:val="24"/>
              </w:rPr>
              <w:t>*</w:t>
            </w:r>
          </w:p>
        </w:tc>
      </w:tr>
      <w:tr w:rsidR="00C11279" w:rsidRPr="00C11279" w14:paraId="0BA77C20" w14:textId="77777777" w:rsidTr="00494A26">
        <w:trPr>
          <w:tblCellSpacing w:w="0" w:type="dxa"/>
        </w:trPr>
        <w:tc>
          <w:tcPr>
            <w:tcW w:w="1148" w:type="pct"/>
            <w:tcBorders>
              <w:top w:val="outset" w:sz="6" w:space="0" w:color="auto"/>
              <w:left w:val="outset" w:sz="6" w:space="0" w:color="auto"/>
              <w:bottom w:val="outset" w:sz="6" w:space="0" w:color="auto"/>
              <w:right w:val="outset" w:sz="6" w:space="0" w:color="auto"/>
            </w:tcBorders>
            <w:shd w:val="clear" w:color="auto" w:fill="FFFFFF"/>
            <w:hideMark/>
          </w:tcPr>
          <w:p w14:paraId="042EC62A" w14:textId="77777777" w:rsidR="00C11279" w:rsidRPr="00C11279" w:rsidRDefault="00C11279" w:rsidP="00494A26">
            <w:pPr>
              <w:pStyle w:val="BodyTextSMPC"/>
              <w:spacing w:after="0"/>
              <w:ind w:left="0"/>
              <w:jc w:val="left"/>
              <w:rPr>
                <w:sz w:val="24"/>
                <w:szCs w:val="24"/>
              </w:rPr>
            </w:pPr>
            <w:r w:rsidRPr="00C11279">
              <w:rPr>
                <w:b/>
                <w:bCs/>
                <w:sz w:val="24"/>
                <w:szCs w:val="24"/>
              </w:rPr>
              <w:t>Immune System Disorders</w:t>
            </w:r>
          </w:p>
        </w:tc>
        <w:tc>
          <w:tcPr>
            <w:tcW w:w="984" w:type="pct"/>
            <w:tcBorders>
              <w:top w:val="outset" w:sz="6" w:space="0" w:color="auto"/>
              <w:left w:val="outset" w:sz="6" w:space="0" w:color="auto"/>
              <w:bottom w:val="outset" w:sz="6" w:space="0" w:color="auto"/>
              <w:right w:val="outset" w:sz="6" w:space="0" w:color="auto"/>
            </w:tcBorders>
            <w:shd w:val="clear" w:color="auto" w:fill="FFFFFF"/>
            <w:hideMark/>
          </w:tcPr>
          <w:p w14:paraId="1174F8E0" w14:textId="77777777" w:rsidR="00C11279" w:rsidRPr="00C11279" w:rsidRDefault="00C11279" w:rsidP="00494A26">
            <w:pPr>
              <w:pStyle w:val="BodyTextSMPC"/>
              <w:spacing w:after="0"/>
              <w:ind w:left="0"/>
              <w:jc w:val="left"/>
              <w:rPr>
                <w:sz w:val="24"/>
                <w:szCs w:val="24"/>
              </w:rPr>
            </w:pPr>
          </w:p>
        </w:tc>
        <w:tc>
          <w:tcPr>
            <w:tcW w:w="1392" w:type="pct"/>
            <w:tcBorders>
              <w:top w:val="outset" w:sz="6" w:space="0" w:color="auto"/>
              <w:left w:val="outset" w:sz="6" w:space="0" w:color="auto"/>
              <w:bottom w:val="outset" w:sz="6" w:space="0" w:color="auto"/>
              <w:right w:val="outset" w:sz="6" w:space="0" w:color="auto"/>
            </w:tcBorders>
            <w:shd w:val="clear" w:color="auto" w:fill="FFFFFF"/>
            <w:hideMark/>
          </w:tcPr>
          <w:p w14:paraId="4F7C6504" w14:textId="77777777" w:rsidR="00C11279" w:rsidRPr="00C11279" w:rsidRDefault="00C11279" w:rsidP="00494A26">
            <w:pPr>
              <w:pStyle w:val="BodyTextSMPC"/>
              <w:spacing w:after="0"/>
              <w:ind w:left="0"/>
              <w:jc w:val="left"/>
              <w:rPr>
                <w:sz w:val="24"/>
                <w:szCs w:val="24"/>
              </w:rPr>
            </w:pPr>
          </w:p>
        </w:tc>
        <w:tc>
          <w:tcPr>
            <w:tcW w:w="1476" w:type="pct"/>
            <w:tcBorders>
              <w:top w:val="outset" w:sz="6" w:space="0" w:color="auto"/>
              <w:left w:val="outset" w:sz="6" w:space="0" w:color="auto"/>
              <w:bottom w:val="outset" w:sz="6" w:space="0" w:color="auto"/>
              <w:right w:val="outset" w:sz="6" w:space="0" w:color="auto"/>
            </w:tcBorders>
            <w:shd w:val="clear" w:color="auto" w:fill="FFFFFF"/>
            <w:hideMark/>
          </w:tcPr>
          <w:p w14:paraId="723C3AC5" w14:textId="77777777" w:rsidR="00C11279" w:rsidRPr="00C11279" w:rsidRDefault="00C11279" w:rsidP="00494A26">
            <w:pPr>
              <w:pStyle w:val="BodyTextSMPC"/>
              <w:spacing w:after="0"/>
              <w:ind w:left="0"/>
              <w:jc w:val="left"/>
              <w:rPr>
                <w:sz w:val="24"/>
                <w:szCs w:val="24"/>
              </w:rPr>
            </w:pPr>
            <w:r w:rsidRPr="00C11279">
              <w:rPr>
                <w:sz w:val="24"/>
                <w:szCs w:val="24"/>
              </w:rPr>
              <w:t xml:space="preserve">Hypersensitivity including anaphylactic reaction and anaphylactoid </w:t>
            </w:r>
            <w:proofErr w:type="spellStart"/>
            <w:r w:rsidRPr="00C11279">
              <w:rPr>
                <w:sz w:val="24"/>
                <w:szCs w:val="24"/>
              </w:rPr>
              <w:t>reaction</w:t>
            </w:r>
            <w:r w:rsidRPr="00C11279">
              <w:rPr>
                <w:sz w:val="24"/>
                <w:szCs w:val="24"/>
                <w:vertAlign w:val="superscript"/>
              </w:rPr>
              <w:t>b</w:t>
            </w:r>
            <w:proofErr w:type="spellEnd"/>
          </w:p>
        </w:tc>
      </w:tr>
      <w:tr w:rsidR="00C11279" w:rsidRPr="00C11279" w14:paraId="77BD774D" w14:textId="77777777" w:rsidTr="00494A26">
        <w:trPr>
          <w:tblCellSpacing w:w="0" w:type="dxa"/>
        </w:trPr>
        <w:tc>
          <w:tcPr>
            <w:tcW w:w="1148" w:type="pct"/>
            <w:tcBorders>
              <w:top w:val="outset" w:sz="6" w:space="0" w:color="auto"/>
              <w:left w:val="outset" w:sz="6" w:space="0" w:color="auto"/>
              <w:bottom w:val="outset" w:sz="6" w:space="0" w:color="auto"/>
              <w:right w:val="outset" w:sz="6" w:space="0" w:color="auto"/>
            </w:tcBorders>
            <w:shd w:val="clear" w:color="auto" w:fill="FFFFFF"/>
            <w:hideMark/>
          </w:tcPr>
          <w:p w14:paraId="3351821C" w14:textId="77777777" w:rsidR="00C11279" w:rsidRPr="00C11279" w:rsidRDefault="00C11279" w:rsidP="00494A26">
            <w:pPr>
              <w:pStyle w:val="BodyTextSMPC"/>
              <w:spacing w:after="0"/>
              <w:ind w:left="0"/>
              <w:jc w:val="left"/>
              <w:rPr>
                <w:sz w:val="24"/>
                <w:szCs w:val="24"/>
              </w:rPr>
            </w:pPr>
            <w:r w:rsidRPr="00C11279">
              <w:rPr>
                <w:b/>
                <w:bCs/>
                <w:sz w:val="24"/>
                <w:szCs w:val="24"/>
              </w:rPr>
              <w:t>Nervous System Disorders</w:t>
            </w:r>
          </w:p>
        </w:tc>
        <w:tc>
          <w:tcPr>
            <w:tcW w:w="984" w:type="pct"/>
            <w:tcBorders>
              <w:top w:val="outset" w:sz="6" w:space="0" w:color="auto"/>
              <w:left w:val="outset" w:sz="6" w:space="0" w:color="auto"/>
              <w:bottom w:val="outset" w:sz="6" w:space="0" w:color="auto"/>
              <w:right w:val="outset" w:sz="6" w:space="0" w:color="auto"/>
            </w:tcBorders>
            <w:shd w:val="clear" w:color="auto" w:fill="FFFFFF"/>
            <w:hideMark/>
          </w:tcPr>
          <w:p w14:paraId="58F945A3" w14:textId="77777777" w:rsidR="00C11279" w:rsidRPr="00C11279" w:rsidRDefault="00C11279" w:rsidP="00494A26">
            <w:pPr>
              <w:pStyle w:val="BodyTextSMPC"/>
              <w:spacing w:after="0"/>
              <w:ind w:left="0"/>
              <w:jc w:val="left"/>
              <w:rPr>
                <w:sz w:val="24"/>
                <w:szCs w:val="24"/>
              </w:rPr>
            </w:pPr>
          </w:p>
        </w:tc>
        <w:tc>
          <w:tcPr>
            <w:tcW w:w="1392" w:type="pct"/>
            <w:tcBorders>
              <w:top w:val="outset" w:sz="6" w:space="0" w:color="auto"/>
              <w:left w:val="outset" w:sz="6" w:space="0" w:color="auto"/>
              <w:bottom w:val="outset" w:sz="6" w:space="0" w:color="auto"/>
              <w:right w:val="outset" w:sz="6" w:space="0" w:color="auto"/>
            </w:tcBorders>
            <w:shd w:val="clear" w:color="auto" w:fill="FFFFFF"/>
            <w:hideMark/>
          </w:tcPr>
          <w:p w14:paraId="6DF15368" w14:textId="77777777" w:rsidR="00C11279" w:rsidRPr="00C11279" w:rsidRDefault="00C11279" w:rsidP="00494A26">
            <w:pPr>
              <w:pStyle w:val="BodyTextSMPC"/>
              <w:spacing w:after="0"/>
              <w:ind w:left="0"/>
              <w:jc w:val="left"/>
              <w:rPr>
                <w:sz w:val="24"/>
                <w:szCs w:val="24"/>
              </w:rPr>
            </w:pPr>
          </w:p>
        </w:tc>
        <w:tc>
          <w:tcPr>
            <w:tcW w:w="1476" w:type="pct"/>
            <w:tcBorders>
              <w:top w:val="outset" w:sz="6" w:space="0" w:color="auto"/>
              <w:left w:val="outset" w:sz="6" w:space="0" w:color="auto"/>
              <w:bottom w:val="outset" w:sz="6" w:space="0" w:color="auto"/>
              <w:right w:val="outset" w:sz="6" w:space="0" w:color="auto"/>
            </w:tcBorders>
            <w:shd w:val="clear" w:color="auto" w:fill="FFFFFF"/>
            <w:hideMark/>
          </w:tcPr>
          <w:p w14:paraId="5E19AAC6" w14:textId="77777777" w:rsidR="00C11279" w:rsidRPr="00C11279" w:rsidRDefault="00C11279" w:rsidP="00494A26">
            <w:pPr>
              <w:pStyle w:val="BodyTextSMPC"/>
              <w:spacing w:after="0"/>
              <w:ind w:left="0"/>
              <w:jc w:val="left"/>
              <w:rPr>
                <w:sz w:val="24"/>
                <w:szCs w:val="24"/>
              </w:rPr>
            </w:pPr>
            <w:r w:rsidRPr="00C11279">
              <w:rPr>
                <w:sz w:val="24"/>
                <w:szCs w:val="24"/>
              </w:rPr>
              <w:t>Convulsions</w:t>
            </w:r>
            <w:r w:rsidRPr="00C11279">
              <w:rPr>
                <w:sz w:val="24"/>
                <w:szCs w:val="24"/>
                <w:vertAlign w:val="superscript"/>
              </w:rPr>
              <w:t>b</w:t>
            </w:r>
          </w:p>
          <w:p w14:paraId="19B960A6" w14:textId="77777777" w:rsidR="00C11279" w:rsidRPr="00C11279" w:rsidRDefault="00C11279" w:rsidP="00494A26">
            <w:pPr>
              <w:pStyle w:val="BodyTextSMPC"/>
              <w:spacing w:after="0"/>
              <w:ind w:left="0"/>
              <w:jc w:val="left"/>
              <w:rPr>
                <w:sz w:val="24"/>
                <w:szCs w:val="24"/>
              </w:rPr>
            </w:pPr>
            <w:proofErr w:type="spellStart"/>
            <w:r w:rsidRPr="00C11279">
              <w:rPr>
                <w:sz w:val="24"/>
                <w:szCs w:val="24"/>
              </w:rPr>
              <w:t>Dizziness</w:t>
            </w:r>
            <w:r w:rsidRPr="00C11279">
              <w:rPr>
                <w:sz w:val="24"/>
                <w:szCs w:val="24"/>
                <w:vertAlign w:val="superscript"/>
              </w:rPr>
              <w:t>a</w:t>
            </w:r>
            <w:proofErr w:type="spellEnd"/>
          </w:p>
        </w:tc>
      </w:tr>
      <w:tr w:rsidR="00C11279" w:rsidRPr="00C11279" w14:paraId="1F7C671B" w14:textId="77777777" w:rsidTr="00494A26">
        <w:trPr>
          <w:tblCellSpacing w:w="0" w:type="dxa"/>
        </w:trPr>
        <w:tc>
          <w:tcPr>
            <w:tcW w:w="1148" w:type="pct"/>
            <w:tcBorders>
              <w:top w:val="outset" w:sz="6" w:space="0" w:color="auto"/>
              <w:left w:val="outset" w:sz="6" w:space="0" w:color="auto"/>
              <w:bottom w:val="outset" w:sz="6" w:space="0" w:color="auto"/>
              <w:right w:val="outset" w:sz="6" w:space="0" w:color="auto"/>
            </w:tcBorders>
            <w:shd w:val="clear" w:color="auto" w:fill="FFFFFF"/>
            <w:hideMark/>
          </w:tcPr>
          <w:p w14:paraId="3A96AB40" w14:textId="77777777" w:rsidR="00C11279" w:rsidRPr="00C11279" w:rsidRDefault="00C11279" w:rsidP="00494A26">
            <w:pPr>
              <w:pStyle w:val="BodyTextSMPC"/>
              <w:spacing w:after="0"/>
              <w:ind w:left="0"/>
              <w:jc w:val="left"/>
              <w:rPr>
                <w:sz w:val="24"/>
                <w:szCs w:val="24"/>
              </w:rPr>
            </w:pPr>
            <w:r w:rsidRPr="00C11279">
              <w:rPr>
                <w:b/>
                <w:bCs/>
                <w:sz w:val="24"/>
                <w:szCs w:val="24"/>
              </w:rPr>
              <w:t>Gastrointestinal Disorders</w:t>
            </w:r>
          </w:p>
        </w:tc>
        <w:tc>
          <w:tcPr>
            <w:tcW w:w="984" w:type="pct"/>
            <w:tcBorders>
              <w:top w:val="outset" w:sz="6" w:space="0" w:color="auto"/>
              <w:left w:val="outset" w:sz="6" w:space="0" w:color="auto"/>
              <w:bottom w:val="outset" w:sz="6" w:space="0" w:color="auto"/>
              <w:right w:val="outset" w:sz="6" w:space="0" w:color="auto"/>
            </w:tcBorders>
            <w:shd w:val="clear" w:color="auto" w:fill="FFFFFF"/>
            <w:hideMark/>
          </w:tcPr>
          <w:p w14:paraId="41348DD7" w14:textId="77777777" w:rsidR="00C11279" w:rsidRPr="00C11279" w:rsidRDefault="00C11279" w:rsidP="00494A26">
            <w:pPr>
              <w:pStyle w:val="BodyTextSMPC"/>
              <w:spacing w:after="0"/>
              <w:ind w:left="0"/>
              <w:jc w:val="left"/>
              <w:rPr>
                <w:sz w:val="24"/>
                <w:szCs w:val="24"/>
              </w:rPr>
            </w:pPr>
            <w:r w:rsidRPr="00C11279">
              <w:rPr>
                <w:sz w:val="24"/>
                <w:szCs w:val="24"/>
              </w:rPr>
              <w:t xml:space="preserve">Abdominal </w:t>
            </w:r>
            <w:proofErr w:type="spellStart"/>
            <w:r w:rsidRPr="00C11279">
              <w:rPr>
                <w:sz w:val="24"/>
                <w:szCs w:val="24"/>
              </w:rPr>
              <w:t>pain</w:t>
            </w:r>
            <w:r w:rsidRPr="00C11279">
              <w:rPr>
                <w:sz w:val="24"/>
                <w:szCs w:val="24"/>
                <w:vertAlign w:val="superscript"/>
              </w:rPr>
              <w:t>a</w:t>
            </w:r>
            <w:proofErr w:type="spellEnd"/>
          </w:p>
        </w:tc>
        <w:tc>
          <w:tcPr>
            <w:tcW w:w="1392" w:type="pct"/>
            <w:tcBorders>
              <w:top w:val="outset" w:sz="6" w:space="0" w:color="auto"/>
              <w:left w:val="outset" w:sz="6" w:space="0" w:color="auto"/>
              <w:bottom w:val="outset" w:sz="6" w:space="0" w:color="auto"/>
              <w:right w:val="outset" w:sz="6" w:space="0" w:color="auto"/>
            </w:tcBorders>
            <w:shd w:val="clear" w:color="auto" w:fill="FFFFFF"/>
            <w:hideMark/>
          </w:tcPr>
          <w:p w14:paraId="183257E9" w14:textId="77777777" w:rsidR="00C11279" w:rsidRPr="00C11279" w:rsidRDefault="00C11279" w:rsidP="00494A26">
            <w:pPr>
              <w:pStyle w:val="BodyTextSMPC"/>
              <w:spacing w:after="0"/>
              <w:ind w:left="0"/>
              <w:jc w:val="left"/>
              <w:rPr>
                <w:sz w:val="24"/>
                <w:szCs w:val="24"/>
              </w:rPr>
            </w:pPr>
            <w:r w:rsidRPr="00C11279">
              <w:rPr>
                <w:sz w:val="24"/>
                <w:szCs w:val="24"/>
              </w:rPr>
              <w:t xml:space="preserve">Abdominal </w:t>
            </w:r>
            <w:proofErr w:type="spellStart"/>
            <w:r w:rsidRPr="00C11279">
              <w:rPr>
                <w:sz w:val="24"/>
                <w:szCs w:val="24"/>
              </w:rPr>
              <w:t>discomfort</w:t>
            </w:r>
            <w:r w:rsidRPr="00C11279">
              <w:rPr>
                <w:sz w:val="24"/>
                <w:szCs w:val="24"/>
                <w:vertAlign w:val="superscript"/>
              </w:rPr>
              <w:t>a</w:t>
            </w:r>
            <w:proofErr w:type="spellEnd"/>
            <w:r w:rsidRPr="00C11279">
              <w:rPr>
                <w:sz w:val="24"/>
                <w:szCs w:val="24"/>
              </w:rPr>
              <w:t xml:space="preserve">; </w:t>
            </w:r>
            <w:proofErr w:type="spellStart"/>
            <w:r w:rsidRPr="00C11279">
              <w:rPr>
                <w:sz w:val="24"/>
                <w:szCs w:val="24"/>
              </w:rPr>
              <w:t>Diarrhoea</w:t>
            </w:r>
            <w:r w:rsidRPr="00C11279">
              <w:rPr>
                <w:sz w:val="24"/>
                <w:szCs w:val="24"/>
                <w:vertAlign w:val="superscript"/>
              </w:rPr>
              <w:t>a</w:t>
            </w:r>
            <w:proofErr w:type="spellEnd"/>
            <w:r w:rsidRPr="00C11279">
              <w:rPr>
                <w:sz w:val="24"/>
                <w:szCs w:val="24"/>
              </w:rPr>
              <w:t>;</w:t>
            </w:r>
          </w:p>
          <w:p w14:paraId="5E634136" w14:textId="77777777" w:rsidR="00C11279" w:rsidRPr="00C11279" w:rsidRDefault="00C11279" w:rsidP="00494A26">
            <w:pPr>
              <w:pStyle w:val="BodyTextSMPC"/>
              <w:spacing w:after="0"/>
              <w:ind w:left="0"/>
              <w:jc w:val="left"/>
              <w:rPr>
                <w:sz w:val="24"/>
                <w:szCs w:val="24"/>
              </w:rPr>
            </w:pPr>
            <w:proofErr w:type="spellStart"/>
            <w:r w:rsidRPr="00C11279">
              <w:rPr>
                <w:sz w:val="24"/>
                <w:szCs w:val="24"/>
              </w:rPr>
              <w:t>Flatulence</w:t>
            </w:r>
            <w:r w:rsidRPr="00C11279">
              <w:rPr>
                <w:sz w:val="24"/>
                <w:szCs w:val="24"/>
                <w:vertAlign w:val="superscript"/>
              </w:rPr>
              <w:t>a</w:t>
            </w:r>
            <w:proofErr w:type="spellEnd"/>
          </w:p>
          <w:p w14:paraId="20C99DF8" w14:textId="77777777" w:rsidR="00C11279" w:rsidRPr="00C11279" w:rsidRDefault="00C11279" w:rsidP="00494A26">
            <w:pPr>
              <w:pStyle w:val="BodyTextSMPC"/>
              <w:spacing w:after="0"/>
              <w:ind w:left="0"/>
              <w:jc w:val="left"/>
              <w:rPr>
                <w:sz w:val="24"/>
                <w:szCs w:val="24"/>
              </w:rPr>
            </w:pPr>
            <w:proofErr w:type="spellStart"/>
            <w:r w:rsidRPr="00C11279">
              <w:rPr>
                <w:sz w:val="24"/>
                <w:szCs w:val="24"/>
              </w:rPr>
              <w:t>Nausea</w:t>
            </w:r>
            <w:r w:rsidRPr="00C11279">
              <w:rPr>
                <w:sz w:val="24"/>
                <w:szCs w:val="24"/>
                <w:vertAlign w:val="superscript"/>
              </w:rPr>
              <w:t>a</w:t>
            </w:r>
            <w:proofErr w:type="spellEnd"/>
            <w:r w:rsidRPr="00C11279">
              <w:rPr>
                <w:sz w:val="24"/>
                <w:szCs w:val="24"/>
              </w:rPr>
              <w:t xml:space="preserve">, </w:t>
            </w:r>
            <w:proofErr w:type="spellStart"/>
            <w:r w:rsidRPr="00C11279">
              <w:rPr>
                <w:sz w:val="24"/>
                <w:szCs w:val="24"/>
              </w:rPr>
              <w:t>Vomiting</w:t>
            </w:r>
            <w:r w:rsidRPr="00C11279">
              <w:rPr>
                <w:sz w:val="24"/>
                <w:szCs w:val="24"/>
                <w:vertAlign w:val="superscript"/>
              </w:rPr>
              <w:t>a</w:t>
            </w:r>
            <w:proofErr w:type="spellEnd"/>
          </w:p>
        </w:tc>
        <w:tc>
          <w:tcPr>
            <w:tcW w:w="1476" w:type="pct"/>
            <w:tcBorders>
              <w:top w:val="outset" w:sz="6" w:space="0" w:color="auto"/>
              <w:left w:val="outset" w:sz="6" w:space="0" w:color="auto"/>
              <w:bottom w:val="outset" w:sz="6" w:space="0" w:color="auto"/>
              <w:right w:val="outset" w:sz="6" w:space="0" w:color="auto"/>
            </w:tcBorders>
            <w:shd w:val="clear" w:color="auto" w:fill="FFFFFF"/>
            <w:hideMark/>
          </w:tcPr>
          <w:p w14:paraId="71BDF567" w14:textId="77777777" w:rsidR="00C11279" w:rsidRPr="00C11279" w:rsidRDefault="00C11279" w:rsidP="00494A26">
            <w:pPr>
              <w:pStyle w:val="BodyTextSMPC"/>
              <w:spacing w:after="0"/>
              <w:ind w:left="0"/>
              <w:jc w:val="left"/>
              <w:rPr>
                <w:sz w:val="24"/>
                <w:szCs w:val="24"/>
              </w:rPr>
            </w:pPr>
          </w:p>
        </w:tc>
      </w:tr>
      <w:tr w:rsidR="00C11279" w:rsidRPr="00C11279" w14:paraId="6A0E4361" w14:textId="77777777" w:rsidTr="00494A26">
        <w:trPr>
          <w:tblCellSpacing w:w="0" w:type="dxa"/>
        </w:trPr>
        <w:tc>
          <w:tcPr>
            <w:tcW w:w="1148" w:type="pct"/>
            <w:tcBorders>
              <w:top w:val="outset" w:sz="6" w:space="0" w:color="auto"/>
              <w:left w:val="outset" w:sz="6" w:space="0" w:color="auto"/>
              <w:bottom w:val="outset" w:sz="6" w:space="0" w:color="auto"/>
              <w:right w:val="outset" w:sz="6" w:space="0" w:color="auto"/>
            </w:tcBorders>
            <w:shd w:val="clear" w:color="auto" w:fill="FFFFFF"/>
            <w:hideMark/>
          </w:tcPr>
          <w:p w14:paraId="028C45DD" w14:textId="77777777" w:rsidR="00C11279" w:rsidRPr="00C11279" w:rsidRDefault="00C11279" w:rsidP="00494A26">
            <w:pPr>
              <w:pStyle w:val="BodyTextSMPC"/>
              <w:spacing w:after="0"/>
              <w:ind w:left="0"/>
              <w:jc w:val="left"/>
              <w:rPr>
                <w:sz w:val="24"/>
                <w:szCs w:val="24"/>
              </w:rPr>
            </w:pPr>
            <w:r w:rsidRPr="00C11279">
              <w:rPr>
                <w:b/>
                <w:bCs/>
                <w:sz w:val="24"/>
                <w:szCs w:val="24"/>
              </w:rPr>
              <w:t>Hepatobiliary Disorders</w:t>
            </w:r>
          </w:p>
        </w:tc>
        <w:tc>
          <w:tcPr>
            <w:tcW w:w="984" w:type="pct"/>
            <w:tcBorders>
              <w:top w:val="outset" w:sz="6" w:space="0" w:color="auto"/>
              <w:left w:val="outset" w:sz="6" w:space="0" w:color="auto"/>
              <w:bottom w:val="outset" w:sz="6" w:space="0" w:color="auto"/>
              <w:right w:val="outset" w:sz="6" w:space="0" w:color="auto"/>
            </w:tcBorders>
            <w:shd w:val="clear" w:color="auto" w:fill="FFFFFF"/>
            <w:hideMark/>
          </w:tcPr>
          <w:p w14:paraId="5A60D499" w14:textId="77777777" w:rsidR="00C11279" w:rsidRPr="00C11279" w:rsidRDefault="00C11279" w:rsidP="00494A26">
            <w:pPr>
              <w:pStyle w:val="BodyTextSMPC"/>
              <w:spacing w:after="0"/>
              <w:ind w:left="0"/>
              <w:jc w:val="left"/>
              <w:rPr>
                <w:sz w:val="24"/>
                <w:szCs w:val="24"/>
              </w:rPr>
            </w:pPr>
          </w:p>
        </w:tc>
        <w:tc>
          <w:tcPr>
            <w:tcW w:w="1392" w:type="pct"/>
            <w:tcBorders>
              <w:top w:val="outset" w:sz="6" w:space="0" w:color="auto"/>
              <w:left w:val="outset" w:sz="6" w:space="0" w:color="auto"/>
              <w:bottom w:val="outset" w:sz="6" w:space="0" w:color="auto"/>
              <w:right w:val="outset" w:sz="6" w:space="0" w:color="auto"/>
            </w:tcBorders>
            <w:shd w:val="clear" w:color="auto" w:fill="FFFFFF"/>
            <w:hideMark/>
          </w:tcPr>
          <w:p w14:paraId="4FC8DCF5" w14:textId="77777777" w:rsidR="00C11279" w:rsidRPr="00C11279" w:rsidRDefault="00C11279" w:rsidP="00494A26">
            <w:pPr>
              <w:pStyle w:val="BodyTextSMPC"/>
              <w:spacing w:after="0"/>
              <w:ind w:left="0"/>
              <w:jc w:val="left"/>
              <w:rPr>
                <w:sz w:val="24"/>
                <w:szCs w:val="24"/>
              </w:rPr>
            </w:pPr>
          </w:p>
        </w:tc>
        <w:tc>
          <w:tcPr>
            <w:tcW w:w="1476" w:type="pct"/>
            <w:tcBorders>
              <w:top w:val="outset" w:sz="6" w:space="0" w:color="auto"/>
              <w:left w:val="outset" w:sz="6" w:space="0" w:color="auto"/>
              <w:bottom w:val="outset" w:sz="6" w:space="0" w:color="auto"/>
              <w:right w:val="outset" w:sz="6" w:space="0" w:color="auto"/>
            </w:tcBorders>
            <w:shd w:val="clear" w:color="auto" w:fill="FFFFFF"/>
            <w:hideMark/>
          </w:tcPr>
          <w:p w14:paraId="67D178A5" w14:textId="77777777" w:rsidR="00C11279" w:rsidRPr="00C11279" w:rsidRDefault="00C11279" w:rsidP="00494A26">
            <w:pPr>
              <w:pStyle w:val="BodyTextSMPC"/>
              <w:spacing w:after="0"/>
              <w:ind w:left="0"/>
              <w:jc w:val="left"/>
              <w:rPr>
                <w:sz w:val="24"/>
                <w:szCs w:val="24"/>
              </w:rPr>
            </w:pPr>
            <w:proofErr w:type="spellStart"/>
            <w:r w:rsidRPr="00C11279">
              <w:rPr>
                <w:sz w:val="24"/>
                <w:szCs w:val="24"/>
              </w:rPr>
              <w:t>Hepatitis</w:t>
            </w:r>
            <w:r w:rsidRPr="00C11279">
              <w:rPr>
                <w:sz w:val="24"/>
                <w:szCs w:val="24"/>
                <w:vertAlign w:val="superscript"/>
              </w:rPr>
              <w:t>b</w:t>
            </w:r>
            <w:proofErr w:type="spellEnd"/>
            <w:r w:rsidRPr="00C11279">
              <w:rPr>
                <w:sz w:val="24"/>
                <w:szCs w:val="24"/>
              </w:rPr>
              <w:t xml:space="preserve">; Abnormal liver function </w:t>
            </w:r>
            <w:proofErr w:type="spellStart"/>
            <w:r w:rsidRPr="00C11279">
              <w:rPr>
                <w:sz w:val="24"/>
                <w:szCs w:val="24"/>
              </w:rPr>
              <w:t>tests</w:t>
            </w:r>
            <w:r w:rsidRPr="00C11279">
              <w:rPr>
                <w:sz w:val="24"/>
                <w:szCs w:val="24"/>
                <w:vertAlign w:val="superscript"/>
              </w:rPr>
              <w:t>b</w:t>
            </w:r>
            <w:proofErr w:type="spellEnd"/>
          </w:p>
        </w:tc>
      </w:tr>
      <w:tr w:rsidR="00C11279" w:rsidRPr="00C11279" w14:paraId="59E5CE81" w14:textId="77777777" w:rsidTr="00494A26">
        <w:trPr>
          <w:tblCellSpacing w:w="0" w:type="dxa"/>
        </w:trPr>
        <w:tc>
          <w:tcPr>
            <w:tcW w:w="1148" w:type="pct"/>
            <w:tcBorders>
              <w:top w:val="outset" w:sz="6" w:space="0" w:color="auto"/>
              <w:left w:val="outset" w:sz="6" w:space="0" w:color="auto"/>
              <w:bottom w:val="outset" w:sz="6" w:space="0" w:color="auto"/>
              <w:right w:val="outset" w:sz="6" w:space="0" w:color="auto"/>
            </w:tcBorders>
            <w:shd w:val="clear" w:color="auto" w:fill="FFFFFF"/>
            <w:hideMark/>
          </w:tcPr>
          <w:p w14:paraId="403BE097" w14:textId="77777777" w:rsidR="00C11279" w:rsidRPr="00C11279" w:rsidRDefault="00C11279" w:rsidP="00494A26">
            <w:pPr>
              <w:pStyle w:val="BodyTextSMPC"/>
              <w:spacing w:after="0"/>
              <w:ind w:left="0"/>
              <w:jc w:val="left"/>
              <w:rPr>
                <w:sz w:val="24"/>
                <w:szCs w:val="24"/>
              </w:rPr>
            </w:pPr>
            <w:r w:rsidRPr="00C11279">
              <w:rPr>
                <w:b/>
                <w:bCs/>
                <w:sz w:val="24"/>
                <w:szCs w:val="24"/>
              </w:rPr>
              <w:t>Skin and Subcutaneous Tissue Disorders</w:t>
            </w:r>
          </w:p>
        </w:tc>
        <w:tc>
          <w:tcPr>
            <w:tcW w:w="984" w:type="pct"/>
            <w:tcBorders>
              <w:top w:val="outset" w:sz="6" w:space="0" w:color="auto"/>
              <w:left w:val="outset" w:sz="6" w:space="0" w:color="auto"/>
              <w:bottom w:val="outset" w:sz="6" w:space="0" w:color="auto"/>
              <w:right w:val="outset" w:sz="6" w:space="0" w:color="auto"/>
            </w:tcBorders>
            <w:shd w:val="clear" w:color="auto" w:fill="FFFFFF"/>
            <w:hideMark/>
          </w:tcPr>
          <w:p w14:paraId="5423E077" w14:textId="77777777" w:rsidR="00C11279" w:rsidRPr="00C11279" w:rsidRDefault="00C11279" w:rsidP="00494A26">
            <w:pPr>
              <w:pStyle w:val="BodyTextSMPC"/>
              <w:spacing w:after="0"/>
              <w:ind w:left="0"/>
              <w:jc w:val="left"/>
              <w:rPr>
                <w:sz w:val="24"/>
                <w:szCs w:val="24"/>
              </w:rPr>
            </w:pPr>
          </w:p>
        </w:tc>
        <w:tc>
          <w:tcPr>
            <w:tcW w:w="1392" w:type="pct"/>
            <w:tcBorders>
              <w:top w:val="outset" w:sz="6" w:space="0" w:color="auto"/>
              <w:left w:val="outset" w:sz="6" w:space="0" w:color="auto"/>
              <w:bottom w:val="outset" w:sz="6" w:space="0" w:color="auto"/>
              <w:right w:val="outset" w:sz="6" w:space="0" w:color="auto"/>
            </w:tcBorders>
            <w:shd w:val="clear" w:color="auto" w:fill="FFFFFF"/>
            <w:hideMark/>
          </w:tcPr>
          <w:p w14:paraId="7F670660" w14:textId="77777777" w:rsidR="00C11279" w:rsidRPr="00C11279" w:rsidRDefault="00C11279" w:rsidP="00494A26">
            <w:pPr>
              <w:pStyle w:val="BodyTextSMPC"/>
              <w:spacing w:after="0"/>
              <w:ind w:left="0"/>
              <w:jc w:val="left"/>
              <w:rPr>
                <w:sz w:val="24"/>
                <w:szCs w:val="24"/>
              </w:rPr>
            </w:pPr>
          </w:p>
        </w:tc>
        <w:tc>
          <w:tcPr>
            <w:tcW w:w="1476" w:type="pct"/>
            <w:tcBorders>
              <w:top w:val="outset" w:sz="6" w:space="0" w:color="auto"/>
              <w:left w:val="outset" w:sz="6" w:space="0" w:color="auto"/>
              <w:bottom w:val="outset" w:sz="6" w:space="0" w:color="auto"/>
              <w:right w:val="outset" w:sz="6" w:space="0" w:color="auto"/>
            </w:tcBorders>
            <w:shd w:val="clear" w:color="auto" w:fill="FFFFFF"/>
            <w:hideMark/>
          </w:tcPr>
          <w:p w14:paraId="2E6C8637" w14:textId="77777777" w:rsidR="00C11279" w:rsidRPr="00C11279" w:rsidRDefault="00C11279" w:rsidP="00494A26">
            <w:pPr>
              <w:pStyle w:val="BodyTextSMPC"/>
              <w:spacing w:after="0"/>
              <w:ind w:left="0"/>
              <w:jc w:val="left"/>
              <w:rPr>
                <w:sz w:val="24"/>
                <w:szCs w:val="24"/>
              </w:rPr>
            </w:pPr>
            <w:r w:rsidRPr="00C11279">
              <w:rPr>
                <w:sz w:val="24"/>
                <w:szCs w:val="24"/>
              </w:rPr>
              <w:t>Rash</w:t>
            </w:r>
            <w:r w:rsidRPr="00C11279">
              <w:rPr>
                <w:sz w:val="24"/>
                <w:szCs w:val="24"/>
                <w:vertAlign w:val="superscript"/>
              </w:rPr>
              <w:t>a</w:t>
            </w:r>
          </w:p>
          <w:p w14:paraId="1465B0D8" w14:textId="77777777" w:rsidR="00C11279" w:rsidRPr="00C11279" w:rsidRDefault="00C11279" w:rsidP="00494A26">
            <w:pPr>
              <w:pStyle w:val="BodyTextSMPC"/>
              <w:spacing w:after="0"/>
              <w:ind w:left="0"/>
              <w:jc w:val="left"/>
              <w:rPr>
                <w:sz w:val="24"/>
                <w:szCs w:val="24"/>
              </w:rPr>
            </w:pPr>
            <w:r w:rsidRPr="00C11279">
              <w:rPr>
                <w:sz w:val="24"/>
                <w:szCs w:val="24"/>
              </w:rPr>
              <w:t xml:space="preserve">Toxic epidermal </w:t>
            </w:r>
            <w:proofErr w:type="spellStart"/>
            <w:r w:rsidRPr="00C11279">
              <w:rPr>
                <w:sz w:val="24"/>
                <w:szCs w:val="24"/>
              </w:rPr>
              <w:t>necrolysis</w:t>
            </w:r>
            <w:r w:rsidRPr="00C11279">
              <w:rPr>
                <w:sz w:val="24"/>
                <w:szCs w:val="24"/>
                <w:vertAlign w:val="superscript"/>
              </w:rPr>
              <w:t>b</w:t>
            </w:r>
            <w:proofErr w:type="spellEnd"/>
            <w:r w:rsidRPr="00C11279">
              <w:rPr>
                <w:sz w:val="24"/>
                <w:szCs w:val="24"/>
              </w:rPr>
              <w:t>;</w:t>
            </w:r>
          </w:p>
          <w:p w14:paraId="1C3DFF2D" w14:textId="77777777" w:rsidR="00C11279" w:rsidRPr="00C11279" w:rsidRDefault="00C11279" w:rsidP="00494A26">
            <w:pPr>
              <w:pStyle w:val="BodyTextSMPC"/>
              <w:spacing w:after="0"/>
              <w:ind w:left="0"/>
              <w:jc w:val="left"/>
              <w:rPr>
                <w:sz w:val="24"/>
                <w:szCs w:val="24"/>
              </w:rPr>
            </w:pPr>
            <w:r w:rsidRPr="00C11279">
              <w:rPr>
                <w:sz w:val="24"/>
                <w:szCs w:val="24"/>
              </w:rPr>
              <w:t xml:space="preserve">Stevens-Johnson </w:t>
            </w:r>
            <w:proofErr w:type="spellStart"/>
            <w:r w:rsidRPr="00C11279">
              <w:rPr>
                <w:sz w:val="24"/>
                <w:szCs w:val="24"/>
              </w:rPr>
              <w:t>syndrome</w:t>
            </w:r>
            <w:r w:rsidRPr="00C11279">
              <w:rPr>
                <w:sz w:val="24"/>
                <w:szCs w:val="24"/>
                <w:vertAlign w:val="superscript"/>
              </w:rPr>
              <w:t>b</w:t>
            </w:r>
            <w:proofErr w:type="spellEnd"/>
            <w:r w:rsidRPr="00C11279">
              <w:rPr>
                <w:sz w:val="24"/>
                <w:szCs w:val="24"/>
              </w:rPr>
              <w:t>;</w:t>
            </w:r>
          </w:p>
          <w:p w14:paraId="11731760" w14:textId="77777777" w:rsidR="00C11279" w:rsidRPr="00C11279" w:rsidRDefault="00C11279" w:rsidP="00494A26">
            <w:pPr>
              <w:pStyle w:val="BodyTextSMPC"/>
              <w:spacing w:after="0"/>
              <w:ind w:left="0"/>
              <w:jc w:val="left"/>
              <w:rPr>
                <w:sz w:val="24"/>
                <w:szCs w:val="24"/>
              </w:rPr>
            </w:pPr>
            <w:proofErr w:type="spellStart"/>
            <w:r w:rsidRPr="00C11279">
              <w:rPr>
                <w:sz w:val="24"/>
                <w:szCs w:val="24"/>
              </w:rPr>
              <w:t>Exanthema</w:t>
            </w:r>
            <w:r w:rsidRPr="00C11279">
              <w:rPr>
                <w:sz w:val="24"/>
                <w:szCs w:val="24"/>
                <w:vertAlign w:val="superscript"/>
              </w:rPr>
              <w:t>b</w:t>
            </w:r>
            <w:proofErr w:type="spellEnd"/>
            <w:r w:rsidRPr="00C11279">
              <w:rPr>
                <w:sz w:val="24"/>
                <w:szCs w:val="24"/>
              </w:rPr>
              <w:t>;</w:t>
            </w:r>
          </w:p>
          <w:p w14:paraId="07546FEE" w14:textId="77777777" w:rsidR="00C11279" w:rsidRPr="00C11279" w:rsidRDefault="00C11279" w:rsidP="00494A26">
            <w:pPr>
              <w:pStyle w:val="BodyTextSMPC"/>
              <w:spacing w:after="0"/>
              <w:ind w:left="0"/>
              <w:jc w:val="left"/>
              <w:rPr>
                <w:sz w:val="24"/>
                <w:szCs w:val="24"/>
              </w:rPr>
            </w:pPr>
            <w:proofErr w:type="spellStart"/>
            <w:r w:rsidRPr="00C11279">
              <w:rPr>
                <w:sz w:val="24"/>
                <w:szCs w:val="24"/>
              </w:rPr>
              <w:t>Angioedema</w:t>
            </w:r>
            <w:r w:rsidRPr="00C11279">
              <w:rPr>
                <w:sz w:val="24"/>
                <w:szCs w:val="24"/>
                <w:vertAlign w:val="superscript"/>
              </w:rPr>
              <w:t>b</w:t>
            </w:r>
            <w:proofErr w:type="spellEnd"/>
            <w:r w:rsidRPr="00C11279">
              <w:rPr>
                <w:sz w:val="24"/>
                <w:szCs w:val="24"/>
              </w:rPr>
              <w:t>;</w:t>
            </w:r>
          </w:p>
          <w:p w14:paraId="4D56BDD3" w14:textId="77777777" w:rsidR="00C11279" w:rsidRPr="00C11279" w:rsidRDefault="00C11279" w:rsidP="00494A26">
            <w:pPr>
              <w:pStyle w:val="BodyTextSMPC"/>
              <w:spacing w:after="0"/>
              <w:ind w:left="0"/>
              <w:jc w:val="left"/>
              <w:rPr>
                <w:sz w:val="24"/>
                <w:szCs w:val="24"/>
              </w:rPr>
            </w:pPr>
            <w:proofErr w:type="spellStart"/>
            <w:r w:rsidRPr="00C11279">
              <w:rPr>
                <w:sz w:val="24"/>
                <w:szCs w:val="24"/>
              </w:rPr>
              <w:t>Urticaria</w:t>
            </w:r>
            <w:r w:rsidRPr="00C11279">
              <w:rPr>
                <w:sz w:val="24"/>
                <w:szCs w:val="24"/>
                <w:vertAlign w:val="superscript"/>
              </w:rPr>
              <w:t>b</w:t>
            </w:r>
            <w:proofErr w:type="spellEnd"/>
            <w:r w:rsidRPr="00C11279">
              <w:rPr>
                <w:sz w:val="24"/>
                <w:szCs w:val="24"/>
              </w:rPr>
              <w:t>;</w:t>
            </w:r>
          </w:p>
          <w:p w14:paraId="13BD229E" w14:textId="77777777" w:rsidR="00C11279" w:rsidRPr="00C11279" w:rsidRDefault="00C11279" w:rsidP="00494A26">
            <w:pPr>
              <w:pStyle w:val="BodyTextSMPC"/>
              <w:spacing w:after="0"/>
              <w:ind w:left="0"/>
              <w:jc w:val="left"/>
              <w:rPr>
                <w:sz w:val="24"/>
                <w:szCs w:val="24"/>
              </w:rPr>
            </w:pPr>
            <w:proofErr w:type="spellStart"/>
            <w:r w:rsidRPr="00C11279">
              <w:rPr>
                <w:sz w:val="24"/>
                <w:szCs w:val="24"/>
              </w:rPr>
              <w:t>Alopecia</w:t>
            </w:r>
            <w:r w:rsidRPr="00C11279">
              <w:rPr>
                <w:sz w:val="24"/>
                <w:szCs w:val="24"/>
                <w:vertAlign w:val="superscript"/>
              </w:rPr>
              <w:t>b</w:t>
            </w:r>
            <w:proofErr w:type="spellEnd"/>
          </w:p>
        </w:tc>
      </w:tr>
      <w:tr w:rsidR="00C11279" w:rsidRPr="00C11279" w14:paraId="492EEFF1" w14:textId="77777777" w:rsidTr="00494A26">
        <w:trPr>
          <w:tblCellSpacing w:w="0" w:type="dxa"/>
        </w:trPr>
        <w:tc>
          <w:tcPr>
            <w:tcW w:w="1148" w:type="pct"/>
            <w:tcBorders>
              <w:top w:val="outset" w:sz="6" w:space="0" w:color="auto"/>
              <w:left w:val="outset" w:sz="6" w:space="0" w:color="auto"/>
              <w:bottom w:val="outset" w:sz="6" w:space="0" w:color="auto"/>
              <w:right w:val="outset" w:sz="6" w:space="0" w:color="auto"/>
            </w:tcBorders>
            <w:shd w:val="clear" w:color="auto" w:fill="FFFFFF"/>
            <w:hideMark/>
          </w:tcPr>
          <w:p w14:paraId="60301329" w14:textId="77777777" w:rsidR="00C11279" w:rsidRPr="00C11279" w:rsidRDefault="00C11279" w:rsidP="00494A26">
            <w:pPr>
              <w:pStyle w:val="BodyTextSMPC"/>
              <w:spacing w:after="0"/>
              <w:ind w:left="0"/>
              <w:jc w:val="left"/>
              <w:rPr>
                <w:sz w:val="24"/>
                <w:szCs w:val="24"/>
              </w:rPr>
            </w:pPr>
            <w:r w:rsidRPr="00C11279">
              <w:rPr>
                <w:b/>
                <w:bCs/>
                <w:sz w:val="24"/>
                <w:szCs w:val="24"/>
              </w:rPr>
              <w:t>Renal and Urinary Disorders</w:t>
            </w:r>
          </w:p>
        </w:tc>
        <w:tc>
          <w:tcPr>
            <w:tcW w:w="984" w:type="pct"/>
            <w:tcBorders>
              <w:top w:val="outset" w:sz="6" w:space="0" w:color="auto"/>
              <w:left w:val="outset" w:sz="6" w:space="0" w:color="auto"/>
              <w:bottom w:val="outset" w:sz="6" w:space="0" w:color="auto"/>
              <w:right w:val="outset" w:sz="6" w:space="0" w:color="auto"/>
            </w:tcBorders>
            <w:shd w:val="clear" w:color="auto" w:fill="FFFFFF"/>
            <w:hideMark/>
          </w:tcPr>
          <w:p w14:paraId="2F5C061B" w14:textId="77777777" w:rsidR="00C11279" w:rsidRPr="00C11279" w:rsidRDefault="00C11279" w:rsidP="00494A26">
            <w:pPr>
              <w:pStyle w:val="BodyTextSMPC"/>
              <w:spacing w:after="0"/>
              <w:ind w:left="0"/>
              <w:rPr>
                <w:sz w:val="24"/>
                <w:szCs w:val="24"/>
              </w:rPr>
            </w:pPr>
          </w:p>
        </w:tc>
        <w:tc>
          <w:tcPr>
            <w:tcW w:w="1392" w:type="pct"/>
            <w:tcBorders>
              <w:top w:val="outset" w:sz="6" w:space="0" w:color="auto"/>
              <w:left w:val="outset" w:sz="6" w:space="0" w:color="auto"/>
              <w:bottom w:val="outset" w:sz="6" w:space="0" w:color="auto"/>
              <w:right w:val="outset" w:sz="6" w:space="0" w:color="auto"/>
            </w:tcBorders>
            <w:shd w:val="clear" w:color="auto" w:fill="FFFFFF"/>
            <w:hideMark/>
          </w:tcPr>
          <w:p w14:paraId="7862F719" w14:textId="77777777" w:rsidR="00C11279" w:rsidRPr="00C11279" w:rsidRDefault="00C11279" w:rsidP="00494A26">
            <w:pPr>
              <w:pStyle w:val="BodyTextSMPC"/>
              <w:spacing w:after="0"/>
              <w:ind w:left="0"/>
              <w:rPr>
                <w:sz w:val="24"/>
                <w:szCs w:val="24"/>
              </w:rPr>
            </w:pPr>
          </w:p>
        </w:tc>
        <w:tc>
          <w:tcPr>
            <w:tcW w:w="1476" w:type="pct"/>
            <w:tcBorders>
              <w:top w:val="outset" w:sz="6" w:space="0" w:color="auto"/>
              <w:left w:val="outset" w:sz="6" w:space="0" w:color="auto"/>
              <w:bottom w:val="outset" w:sz="6" w:space="0" w:color="auto"/>
              <w:right w:val="outset" w:sz="6" w:space="0" w:color="auto"/>
            </w:tcBorders>
            <w:shd w:val="clear" w:color="auto" w:fill="FFFFFF"/>
            <w:hideMark/>
          </w:tcPr>
          <w:p w14:paraId="07AE6A41" w14:textId="77777777" w:rsidR="00C11279" w:rsidRPr="00C11279" w:rsidRDefault="00C11279" w:rsidP="00494A26">
            <w:pPr>
              <w:pStyle w:val="BodyTextSMPC"/>
              <w:spacing w:after="0"/>
              <w:ind w:left="0"/>
              <w:rPr>
                <w:sz w:val="24"/>
                <w:szCs w:val="24"/>
              </w:rPr>
            </w:pPr>
            <w:proofErr w:type="spellStart"/>
            <w:r w:rsidRPr="00C11279">
              <w:rPr>
                <w:sz w:val="24"/>
                <w:szCs w:val="24"/>
              </w:rPr>
              <w:t>Glomerulonephritis</w:t>
            </w:r>
            <w:r w:rsidRPr="00C11279">
              <w:rPr>
                <w:sz w:val="24"/>
                <w:szCs w:val="24"/>
                <w:vertAlign w:val="superscript"/>
              </w:rPr>
              <w:t>b</w:t>
            </w:r>
            <w:proofErr w:type="spellEnd"/>
            <w:r w:rsidRPr="00C11279">
              <w:rPr>
                <w:sz w:val="24"/>
                <w:szCs w:val="24"/>
                <w:vertAlign w:val="superscript"/>
              </w:rPr>
              <w:t> </w:t>
            </w:r>
            <w:r w:rsidRPr="00C11279">
              <w:rPr>
                <w:sz w:val="24"/>
                <w:szCs w:val="24"/>
              </w:rPr>
              <w:t>*</w:t>
            </w:r>
          </w:p>
        </w:tc>
      </w:tr>
    </w:tbl>
    <w:p w14:paraId="29E39EBD" w14:textId="0E30197F" w:rsidR="00494A26" w:rsidRDefault="00494A26" w:rsidP="00494A26">
      <w:pPr>
        <w:pStyle w:val="BodyTextSMPC"/>
        <w:spacing w:before="240"/>
      </w:pPr>
      <w:proofErr w:type="gramStart"/>
      <w:r w:rsidRPr="00494A26">
        <w:rPr>
          <w:vertAlign w:val="superscript"/>
        </w:rPr>
        <w:t>a</w:t>
      </w:r>
      <w:proofErr w:type="gramEnd"/>
      <w:r>
        <w:t xml:space="preserve"> ADR frequency data derived from Clinical Trials or Epidemiological Studies</w:t>
      </w:r>
    </w:p>
    <w:p w14:paraId="61A78778" w14:textId="225897FE" w:rsidR="00494A26" w:rsidRDefault="00494A26" w:rsidP="00494A26">
      <w:pPr>
        <w:pStyle w:val="BodyTextSMPC"/>
        <w:spacing w:before="240"/>
      </w:pPr>
      <w:r w:rsidRPr="00494A26">
        <w:rPr>
          <w:vertAlign w:val="superscript"/>
        </w:rPr>
        <w:t>b</w:t>
      </w:r>
      <w:r>
        <w:t xml:space="preserve"> ADRs not observed in clinical trials and frequency calculated based on 6276 patients exposed in clinical trials and epidemiological studies, divided by 3 (Frequency = 1/2092).</w:t>
      </w:r>
    </w:p>
    <w:p w14:paraId="3DC0B0D1" w14:textId="29CB6AFD" w:rsidR="00EB692F" w:rsidRPr="00EB692F" w:rsidRDefault="00494A26" w:rsidP="00494A26">
      <w:pPr>
        <w:pStyle w:val="BodyTextSMPC"/>
        <w:spacing w:before="240"/>
      </w:pPr>
      <w:r>
        <w:t>* Observed in patients treated for Echinococcosis</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lastRenderedPageBreak/>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51581B7B" w14:textId="2876EA7B" w:rsidR="00641038" w:rsidRPr="00641038" w:rsidRDefault="00641038" w:rsidP="00567F62">
      <w:pPr>
        <w:pStyle w:val="BodyTextSMPC"/>
      </w:pPr>
      <w:r w:rsidRPr="00641038">
        <w:t>Agranulocytosis and glomerulonephritis are adverse reactions for Echinococcosis treatment for which the dosage is higher and used for prolonged periods of time compared with other indications; therefore, these are expected symptoms of overdose for non-Echinococcosis indications (see section 4.8).</w:t>
      </w:r>
    </w:p>
    <w:p w14:paraId="11E5CC2D" w14:textId="5764CEA3" w:rsidR="001624D3" w:rsidRPr="001624D3" w:rsidRDefault="001624D3" w:rsidP="00567F62">
      <w:pPr>
        <w:pStyle w:val="BodyTextSMPC"/>
        <w:rPr>
          <w:b/>
          <w:bCs/>
        </w:rPr>
      </w:pPr>
      <w:r w:rsidRPr="001624D3">
        <w:rPr>
          <w:b/>
          <w:bCs/>
        </w:rPr>
        <w:t>Symptoms</w:t>
      </w:r>
    </w:p>
    <w:p w14:paraId="779748E9" w14:textId="4C3B931D" w:rsidR="00227FD4" w:rsidRDefault="00490C05" w:rsidP="001624D3">
      <w:pPr>
        <w:pStyle w:val="BodyTextSMPC"/>
      </w:pPr>
      <w:r w:rsidRPr="00490C05">
        <w:t xml:space="preserve">In the event of accidental overdosage, abdominal cramps, nausea, vomiting and </w:t>
      </w:r>
      <w:proofErr w:type="spellStart"/>
      <w:r w:rsidRPr="00490C05">
        <w:t>diarrhoea</w:t>
      </w:r>
      <w:proofErr w:type="spellEnd"/>
      <w:r w:rsidRPr="00490C05">
        <w:t xml:space="preserve"> may occur</w:t>
      </w:r>
      <w:r w:rsidR="001624D3">
        <w:t>.</w:t>
      </w:r>
    </w:p>
    <w:p w14:paraId="1AAD5B48" w14:textId="5AB2A122" w:rsidR="001624D3" w:rsidRDefault="001624D3" w:rsidP="001624D3">
      <w:pPr>
        <w:pStyle w:val="BodyTextSMPC"/>
        <w:rPr>
          <w:b/>
          <w:bCs/>
        </w:rPr>
      </w:pPr>
      <w:r w:rsidRPr="001624D3">
        <w:rPr>
          <w:b/>
          <w:bCs/>
        </w:rPr>
        <w:t>Management</w:t>
      </w:r>
    </w:p>
    <w:p w14:paraId="5199B15A" w14:textId="20CDBB0E" w:rsidR="001624D3" w:rsidRPr="002B06EF" w:rsidRDefault="00490C05" w:rsidP="001624D3">
      <w:pPr>
        <w:pStyle w:val="BodyTextSMPC"/>
        <w:rPr>
          <w:rFonts w:cstheme="minorBidi" w:hint="cs"/>
          <w:cs/>
        </w:rPr>
      </w:pPr>
      <w:r w:rsidRPr="00490C05">
        <w:t>There is no specific antidote. Activated charcoal may be given if considered appropriate.</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58BAF9CE" w14:textId="77777777" w:rsidR="002B06EF" w:rsidRDefault="002B06EF" w:rsidP="002B06EF">
      <w:pPr>
        <w:pStyle w:val="BodyTextSMPC"/>
      </w:pPr>
      <w:r>
        <w:t xml:space="preserve">Pharmacotherapeutic group: anthelmintic for oral administration, benzimidazole derivatives; ATC code: P02CA01. </w:t>
      </w:r>
    </w:p>
    <w:p w14:paraId="261C1A95" w14:textId="77777777" w:rsidR="002B06EF" w:rsidRDefault="002B06EF" w:rsidP="002B06EF">
      <w:pPr>
        <w:pStyle w:val="BodyTextSMPC"/>
      </w:pPr>
      <w:r>
        <w:t xml:space="preserve">In vitro and in vivo work suggests that mebendazole blocks the uptake of glucose by adult and larval forms of helminths, in a selective and irreversible manner. Inhibition of glucose uptake appears to lead to endogenous depletion of glycogen stores within the helminth. Lack of glycogen leads to decreased formation of ATP and ultrastructural changes in the cells. </w:t>
      </w:r>
    </w:p>
    <w:p w14:paraId="72941F61" w14:textId="675AE1A3" w:rsidR="002B06EF" w:rsidRDefault="002B06EF" w:rsidP="002B06EF">
      <w:pPr>
        <w:pStyle w:val="BodyTextSMPC"/>
      </w:pPr>
      <w:r>
        <w:t xml:space="preserve">There is no evidence that </w:t>
      </w:r>
      <w:r w:rsidR="001937E4">
        <w:t>Mebendazole</w:t>
      </w:r>
      <w:r>
        <w:t xml:space="preserve"> is effective in the treatment of cysticercosis.</w:t>
      </w:r>
    </w:p>
    <w:p w14:paraId="51641238" w14:textId="5E509FDC" w:rsidR="00351B91" w:rsidRDefault="001624D3" w:rsidP="001624D3">
      <w:pPr>
        <w:pStyle w:val="BodyTextSMPC"/>
      </w:pPr>
      <w:r>
        <w:t>.</w:t>
      </w:r>
    </w:p>
    <w:p w14:paraId="1B2570FC" w14:textId="3CB53918" w:rsidR="00934487" w:rsidRPr="00424399" w:rsidRDefault="00000000" w:rsidP="00424399">
      <w:pPr>
        <w:pStyle w:val="SubHeafingSMPC"/>
      </w:pPr>
      <w:r w:rsidRPr="008F5678">
        <w:lastRenderedPageBreak/>
        <w:t xml:space="preserve">Pharmacokinetic properties </w:t>
      </w:r>
    </w:p>
    <w:p w14:paraId="47633B43" w14:textId="77777777" w:rsidR="006745E3" w:rsidRPr="006745E3" w:rsidRDefault="006745E3" w:rsidP="006745E3">
      <w:pPr>
        <w:pStyle w:val="BodyTextSMPC"/>
        <w:rPr>
          <w:b/>
          <w:bCs/>
        </w:rPr>
      </w:pPr>
      <w:r w:rsidRPr="006745E3">
        <w:rPr>
          <w:b/>
          <w:bCs/>
        </w:rPr>
        <w:t xml:space="preserve">Absorption </w:t>
      </w:r>
    </w:p>
    <w:p w14:paraId="605A973E" w14:textId="006DC9AB" w:rsidR="006745E3" w:rsidRDefault="002B06EF" w:rsidP="002B06EF">
      <w:pPr>
        <w:pStyle w:val="BodyTextSMPC"/>
      </w:pPr>
      <w:r>
        <w:t>Following oral administration, &lt; 10% of the dose reaches the systemic circulation, due to incomplete absorption and pre-systemic metabolism (first-pass effect). The majority of an orally administered dose remains in the gastrointestinal tract. Maximum plasma concentrations are generally seen 2 to 4 hours after administration. Administration with a high fat meal increases the bioavailability of mebendazole, but the overall effect of food on the amount of drug remaining in the gastrointestinal tract is not expected to be substantial</w:t>
      </w:r>
      <w:r w:rsidR="006745E3">
        <w:t xml:space="preserve">. </w:t>
      </w:r>
    </w:p>
    <w:p w14:paraId="0E691146" w14:textId="77777777" w:rsidR="006745E3" w:rsidRPr="006745E3" w:rsidRDefault="006745E3" w:rsidP="006745E3">
      <w:pPr>
        <w:pStyle w:val="BodyTextSMPC"/>
        <w:rPr>
          <w:b/>
          <w:bCs/>
        </w:rPr>
      </w:pPr>
      <w:r w:rsidRPr="006745E3">
        <w:rPr>
          <w:b/>
          <w:bCs/>
        </w:rPr>
        <w:t xml:space="preserve">Distribution </w:t>
      </w:r>
    </w:p>
    <w:p w14:paraId="653A36F6" w14:textId="79E09DA6" w:rsidR="006745E3" w:rsidRDefault="002B06EF" w:rsidP="002B06EF">
      <w:pPr>
        <w:pStyle w:val="BodyTextSMPC"/>
      </w:pPr>
      <w:r>
        <w:t>The plasma protein binding of mebendazole is 90 to 95%. The volume of distribution is 1 to 2 L/kg, indicating that mebendazole penetrates areas outside the vascular space. This is supported by data in patients on chronic mebendazole</w:t>
      </w:r>
      <w:r>
        <w:t xml:space="preserve"> </w:t>
      </w:r>
      <w:r>
        <w:t>therapy (e.g., 40 mg/kg/day for 3-21 months) that show drug levels in tissue</w:t>
      </w:r>
      <w:r w:rsidR="006745E3">
        <w:t xml:space="preserve">. </w:t>
      </w:r>
    </w:p>
    <w:p w14:paraId="055B711F" w14:textId="7FE2A5CF" w:rsidR="006745E3" w:rsidRPr="006745E3" w:rsidRDefault="006745E3" w:rsidP="006745E3">
      <w:pPr>
        <w:pStyle w:val="BodyTextSMPC"/>
        <w:rPr>
          <w:b/>
          <w:bCs/>
        </w:rPr>
      </w:pPr>
      <w:r w:rsidRPr="006745E3">
        <w:rPr>
          <w:b/>
          <w:bCs/>
        </w:rPr>
        <w:t>Metabolism</w:t>
      </w:r>
    </w:p>
    <w:p w14:paraId="5B00E281" w14:textId="06AE89B7" w:rsidR="006745E3" w:rsidRDefault="002B06EF" w:rsidP="002B06EF">
      <w:pPr>
        <w:pStyle w:val="BodyTextSMPC"/>
      </w:pPr>
      <w:r>
        <w:t xml:space="preserve">Orally administered mebendazole is extensively </w:t>
      </w:r>
      <w:proofErr w:type="spellStart"/>
      <w:r>
        <w:t>metabolised</w:t>
      </w:r>
      <w:proofErr w:type="spellEnd"/>
      <w:r>
        <w:t xml:space="preserve"> primarily by the liver. Plasma concentrations of its major metabolites (</w:t>
      </w:r>
      <w:proofErr w:type="spellStart"/>
      <w:r>
        <w:t>hydrolysed</w:t>
      </w:r>
      <w:proofErr w:type="spellEnd"/>
      <w:r>
        <w:t xml:space="preserve"> and reduced forms of mebendazole) are substantially higher than those of mebendazole. Impaired hepatic function, impaired metabolism, or impaired biliary elimination may lead to higher plasma levels of mebendazole</w:t>
      </w:r>
      <w:r w:rsidR="006745E3">
        <w:t xml:space="preserve">. </w:t>
      </w:r>
    </w:p>
    <w:p w14:paraId="5CE68B26" w14:textId="5863A6E9" w:rsidR="002B06EF" w:rsidRDefault="002B06EF" w:rsidP="002B06EF">
      <w:pPr>
        <w:pStyle w:val="BodyTextSMPC"/>
      </w:pPr>
      <w:r>
        <w:rPr>
          <w:b/>
          <w:bCs/>
        </w:rPr>
        <w:t>E</w:t>
      </w:r>
      <w:r w:rsidRPr="006745E3">
        <w:rPr>
          <w:b/>
          <w:bCs/>
        </w:rPr>
        <w:t>limination</w:t>
      </w:r>
    </w:p>
    <w:p w14:paraId="3C96534F" w14:textId="6FD5F56D" w:rsidR="002B06EF" w:rsidRDefault="002B06EF" w:rsidP="002B06EF">
      <w:pPr>
        <w:pStyle w:val="BodyTextSMPC"/>
      </w:pPr>
      <w:r>
        <w:t xml:space="preserve">Mebendazole, the conjugated forms of mebendazole, and its metabolites likely undergo some degree of enterohepatic recirculation and are excreted in the urine and bile. The apparent elimination half-life after an </w:t>
      </w:r>
      <w:proofErr w:type="gramStart"/>
      <w:r>
        <w:t>oral dose ranges</w:t>
      </w:r>
      <w:proofErr w:type="gramEnd"/>
      <w:r>
        <w:t xml:space="preserve"> from 3 to 6 hours in most patients</w:t>
      </w:r>
    </w:p>
    <w:p w14:paraId="1EE584E3" w14:textId="77777777" w:rsidR="002B06EF" w:rsidRPr="002B06EF" w:rsidRDefault="002B06EF" w:rsidP="002B06EF">
      <w:pPr>
        <w:pStyle w:val="BodyTextSMPC"/>
        <w:rPr>
          <w:b/>
          <w:bCs/>
        </w:rPr>
      </w:pPr>
      <w:r w:rsidRPr="002B06EF">
        <w:rPr>
          <w:b/>
          <w:bCs/>
        </w:rPr>
        <w:t xml:space="preserve">Steady-state pharmacokinetics </w:t>
      </w:r>
    </w:p>
    <w:p w14:paraId="1BE96222" w14:textId="5AD4DBBF" w:rsidR="002B06EF" w:rsidRDefault="002B06EF" w:rsidP="002B06EF">
      <w:pPr>
        <w:pStyle w:val="BodyTextSMPC"/>
      </w:pPr>
      <w:r>
        <w:t xml:space="preserve">During chronic dosing (e.g., 40 mg/kg/day for 3-21 months), plasma concentrations of mebendazole and its major metabolites increase, </w:t>
      </w:r>
      <w:r>
        <w:lastRenderedPageBreak/>
        <w:t>resulting in approximately 3-fold higher exposure at steady-state compared to single dosing.</w:t>
      </w:r>
    </w:p>
    <w:p w14:paraId="5B12EC4E" w14:textId="77777777" w:rsidR="002B06EF" w:rsidRPr="002B06EF" w:rsidRDefault="002B06EF" w:rsidP="002B06EF">
      <w:pPr>
        <w:pStyle w:val="BodyTextSMPC"/>
        <w:rPr>
          <w:b/>
          <w:bCs/>
        </w:rPr>
      </w:pPr>
      <w:proofErr w:type="spellStart"/>
      <w:r w:rsidRPr="002B06EF">
        <w:rPr>
          <w:b/>
          <w:bCs/>
        </w:rPr>
        <w:t>Paediatric</w:t>
      </w:r>
      <w:proofErr w:type="spellEnd"/>
      <w:r w:rsidRPr="002B06EF">
        <w:rPr>
          <w:b/>
          <w:bCs/>
        </w:rPr>
        <w:t xml:space="preserve"> population </w:t>
      </w:r>
    </w:p>
    <w:p w14:paraId="2B31E401" w14:textId="4EF7BE36" w:rsidR="00934487" w:rsidRDefault="002B06EF" w:rsidP="002B06EF">
      <w:pPr>
        <w:pStyle w:val="BodyTextSMPC"/>
      </w:pPr>
      <w:r>
        <w:t>Limited data of the mebendazole concentrations in plasma are available in children and adolescents 1 to 16 years of age. These data do not indicate substantially higher systemic exposure to mebendazole in subjects 3 to 16 years of age compared to adults. In subjects 1 to &lt;3 years of age, systemic exposure is higher than in adults due to higher mg/kg dose relative to adults.</w:t>
      </w:r>
    </w:p>
    <w:p w14:paraId="0BBA0F2C" w14:textId="58A139F5" w:rsidR="00227FD4" w:rsidRPr="008F5678" w:rsidRDefault="00000000" w:rsidP="00671E86">
      <w:pPr>
        <w:pStyle w:val="SubHeafingSMPC"/>
      </w:pPr>
      <w:r w:rsidRPr="008F5678">
        <w:t xml:space="preserve">Preclinical safety data </w:t>
      </w:r>
    </w:p>
    <w:p w14:paraId="42D48908" w14:textId="6B38F40E" w:rsidR="001937E4" w:rsidRDefault="001937E4" w:rsidP="001937E4">
      <w:pPr>
        <w:pStyle w:val="BodyTextSMPC"/>
      </w:pPr>
      <w:r>
        <w:t xml:space="preserve">In animal reproduction studies, adverse developmental effects (i.e., skeletal malformations, soft tissue malformations, decreased pup weight, </w:t>
      </w:r>
      <w:proofErr w:type="spellStart"/>
      <w:r>
        <w:t>embryolethality</w:t>
      </w:r>
      <w:proofErr w:type="spellEnd"/>
      <w:r>
        <w:t xml:space="preserve">) were observed when mebendazole was administered to pregnant rats and mice throughout the period of organogenesis or as a single oral dose as low as 10 mg/kg in rats (approximately 0.2-fold the maximum recommended human dose (MRHD)). Maternal toxicity was present at the highest of these doses. Dosing of hamsters and rabbits did not result in embryotoxicity or teratogenicity. Doses up to 40 mg/kg in rats (0.8-fold the MRHD, based on mg/m2), given to males for 60 days and to females for 14 days prior to gestation, had no effect upon </w:t>
      </w:r>
      <w:proofErr w:type="spellStart"/>
      <w:r>
        <w:t>foetuses</w:t>
      </w:r>
      <w:proofErr w:type="spellEnd"/>
      <w:r>
        <w:t xml:space="preserve"> and offspring. </w:t>
      </w:r>
    </w:p>
    <w:p w14:paraId="16CC4CFE" w14:textId="02E04E77" w:rsidR="001937E4" w:rsidRDefault="001937E4" w:rsidP="001937E4">
      <w:pPr>
        <w:pStyle w:val="BodyTextSMPC"/>
      </w:pPr>
      <w:r>
        <w:t xml:space="preserve">No mutagenic activity was observed with mebendazole in bacterial reverse mutation tests. Mebendazole was mutagenic when tested in the mouse lymphoma thymidine kinase assay and </w:t>
      </w:r>
      <w:proofErr w:type="spellStart"/>
      <w:r>
        <w:t>aneugenic</w:t>
      </w:r>
      <w:proofErr w:type="spellEnd"/>
      <w:r>
        <w:t xml:space="preserve"> in vitro in mammalian somatic cells. In the in vivo mouse micronucleus assay, orally administered mebendazole induced an increased frequency of </w:t>
      </w:r>
      <w:proofErr w:type="spellStart"/>
      <w:r>
        <w:t>micronucleated</w:t>
      </w:r>
      <w:proofErr w:type="spellEnd"/>
      <w:r>
        <w:t xml:space="preserve"> polychromatic erythrocytes with evidence suggestive of </w:t>
      </w:r>
      <w:proofErr w:type="spellStart"/>
      <w:r>
        <w:t>aneugenicity</w:t>
      </w:r>
      <w:proofErr w:type="spellEnd"/>
      <w:r>
        <w:t xml:space="preserve">. </w:t>
      </w:r>
    </w:p>
    <w:p w14:paraId="7BE4B9BC" w14:textId="5AF0D448" w:rsidR="00227FD4" w:rsidRPr="005574FA" w:rsidRDefault="001937E4" w:rsidP="001937E4">
      <w:pPr>
        <w:pStyle w:val="BodyTextSMPC"/>
      </w:pPr>
      <w:r>
        <w:t>Mebendazole had no carcinogenic effects at doses as high as 40 mg/kg/day when administered daily in the diet over 2 years in carcinogenicity tests in mice and rats (0.4 to 0.8-fold the MRHD, based on mg/m2)</w:t>
      </w:r>
      <w:r w:rsidR="00155D95">
        <w:t>.</w:t>
      </w:r>
    </w:p>
    <w:p w14:paraId="1C50E84B" w14:textId="77777777" w:rsidR="00671E86" w:rsidRPr="008F5678" w:rsidRDefault="00000000" w:rsidP="00671E86">
      <w:pPr>
        <w:pStyle w:val="HEADING1SMPC"/>
      </w:pPr>
      <w:r w:rsidRPr="008F5678">
        <w:lastRenderedPageBreak/>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hint="cs"/>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D95FE" w14:textId="77777777" w:rsidR="004967BB" w:rsidRDefault="004967BB" w:rsidP="008F5678">
      <w:pPr>
        <w:spacing w:line="240" w:lineRule="auto"/>
      </w:pPr>
      <w:r>
        <w:separator/>
      </w:r>
    </w:p>
  </w:endnote>
  <w:endnote w:type="continuationSeparator" w:id="0">
    <w:p w14:paraId="79DA9602" w14:textId="77777777" w:rsidR="004967BB" w:rsidRDefault="004967BB"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42881184"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proofErr w:type="spellStart"/>
    <w:r w:rsidR="001937E4">
      <w:rPr>
        <w:rFonts w:ascii="Times New Roman" w:hAnsi="Times New Roman" w:cs="Times New Roman"/>
        <w:sz w:val="24"/>
        <w:szCs w:val="24"/>
      </w:rPr>
      <w:t>Vermox</w:t>
    </w:r>
    <w:proofErr w:type="spellEnd"/>
    <w:r w:rsidR="001937E4">
      <w:rPr>
        <w:rFonts w:ascii="Times New Roman" w:hAnsi="Times New Roman" w:cs="Times New Roman"/>
        <w:sz w:val="24"/>
        <w:szCs w:val="24"/>
      </w:rPr>
      <w:t xml:space="preserve"> </w:t>
    </w:r>
    <w:r w:rsidR="001937E4" w:rsidRPr="001937E4">
      <w:rPr>
        <w:rFonts w:ascii="Times New Roman" w:hAnsi="Times New Roman" w:cs="Times New Roman"/>
        <w:sz w:val="24"/>
        <w:szCs w:val="24"/>
      </w:rPr>
      <w:t>oral suspension</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1937E4">
      <w:rPr>
        <w:rFonts w:ascii="Times New Roman" w:hAnsi="Times New Roman" w:cs="Times New Roman"/>
        <w:sz w:val="24"/>
        <w:szCs w:val="24"/>
      </w:rPr>
      <w:t>24/05/2024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1EEFE" w14:textId="77777777" w:rsidR="004967BB" w:rsidRDefault="004967BB" w:rsidP="008F5678">
      <w:pPr>
        <w:spacing w:line="240" w:lineRule="auto"/>
      </w:pPr>
      <w:r>
        <w:separator/>
      </w:r>
    </w:p>
  </w:footnote>
  <w:footnote w:type="continuationSeparator" w:id="0">
    <w:p w14:paraId="612FE90B" w14:textId="77777777" w:rsidR="004967BB" w:rsidRDefault="004967BB"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51237"/>
    <w:rsid w:val="00155D95"/>
    <w:rsid w:val="001624D3"/>
    <w:rsid w:val="001678C4"/>
    <w:rsid w:val="00177864"/>
    <w:rsid w:val="00182860"/>
    <w:rsid w:val="001839CC"/>
    <w:rsid w:val="001937E4"/>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1687"/>
    <w:rsid w:val="002933FE"/>
    <w:rsid w:val="002B06EF"/>
    <w:rsid w:val="002C0470"/>
    <w:rsid w:val="00302302"/>
    <w:rsid w:val="00303231"/>
    <w:rsid w:val="00307506"/>
    <w:rsid w:val="00316A60"/>
    <w:rsid w:val="00323A34"/>
    <w:rsid w:val="0032475B"/>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C4A4C"/>
    <w:rsid w:val="003E756F"/>
    <w:rsid w:val="00400BAB"/>
    <w:rsid w:val="00415AF9"/>
    <w:rsid w:val="00417A75"/>
    <w:rsid w:val="00421378"/>
    <w:rsid w:val="00424399"/>
    <w:rsid w:val="00424C7B"/>
    <w:rsid w:val="00424F84"/>
    <w:rsid w:val="0043388D"/>
    <w:rsid w:val="004547B5"/>
    <w:rsid w:val="00462D7E"/>
    <w:rsid w:val="004707A7"/>
    <w:rsid w:val="00473071"/>
    <w:rsid w:val="00475F22"/>
    <w:rsid w:val="00480965"/>
    <w:rsid w:val="0048242B"/>
    <w:rsid w:val="00490C05"/>
    <w:rsid w:val="00494A26"/>
    <w:rsid w:val="004967BB"/>
    <w:rsid w:val="004A007B"/>
    <w:rsid w:val="004A5AB4"/>
    <w:rsid w:val="004B3BC3"/>
    <w:rsid w:val="004B56C3"/>
    <w:rsid w:val="004B5CBB"/>
    <w:rsid w:val="004D6737"/>
    <w:rsid w:val="004F658C"/>
    <w:rsid w:val="0050369A"/>
    <w:rsid w:val="005122F4"/>
    <w:rsid w:val="005200B2"/>
    <w:rsid w:val="00523E4C"/>
    <w:rsid w:val="005248D2"/>
    <w:rsid w:val="005574FA"/>
    <w:rsid w:val="00567F62"/>
    <w:rsid w:val="00573351"/>
    <w:rsid w:val="00577713"/>
    <w:rsid w:val="005B5962"/>
    <w:rsid w:val="005B78A4"/>
    <w:rsid w:val="00606B16"/>
    <w:rsid w:val="006101D5"/>
    <w:rsid w:val="006147EE"/>
    <w:rsid w:val="006224A3"/>
    <w:rsid w:val="0062302F"/>
    <w:rsid w:val="00641038"/>
    <w:rsid w:val="00641955"/>
    <w:rsid w:val="006448B7"/>
    <w:rsid w:val="00646ECA"/>
    <w:rsid w:val="00652313"/>
    <w:rsid w:val="00671E86"/>
    <w:rsid w:val="006745E3"/>
    <w:rsid w:val="006752B9"/>
    <w:rsid w:val="006852E2"/>
    <w:rsid w:val="00695C7B"/>
    <w:rsid w:val="0069711D"/>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61A2"/>
    <w:rsid w:val="00857F59"/>
    <w:rsid w:val="008639E1"/>
    <w:rsid w:val="00894F3B"/>
    <w:rsid w:val="008A2A73"/>
    <w:rsid w:val="008B5BE5"/>
    <w:rsid w:val="008C0C75"/>
    <w:rsid w:val="008C17A5"/>
    <w:rsid w:val="008C66E8"/>
    <w:rsid w:val="008D7A61"/>
    <w:rsid w:val="008F3900"/>
    <w:rsid w:val="008F5678"/>
    <w:rsid w:val="00907B35"/>
    <w:rsid w:val="00913543"/>
    <w:rsid w:val="009220E1"/>
    <w:rsid w:val="009242EA"/>
    <w:rsid w:val="00934487"/>
    <w:rsid w:val="0094110D"/>
    <w:rsid w:val="00955F90"/>
    <w:rsid w:val="00962771"/>
    <w:rsid w:val="00962985"/>
    <w:rsid w:val="009719D6"/>
    <w:rsid w:val="00972AD6"/>
    <w:rsid w:val="00977EEA"/>
    <w:rsid w:val="00982CEB"/>
    <w:rsid w:val="00982EC5"/>
    <w:rsid w:val="00997D0B"/>
    <w:rsid w:val="009A1A64"/>
    <w:rsid w:val="009A3143"/>
    <w:rsid w:val="009C4E09"/>
    <w:rsid w:val="009D6FFD"/>
    <w:rsid w:val="00A04703"/>
    <w:rsid w:val="00A068D5"/>
    <w:rsid w:val="00A10233"/>
    <w:rsid w:val="00A144D2"/>
    <w:rsid w:val="00A16F7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14DD9"/>
    <w:rsid w:val="00B24321"/>
    <w:rsid w:val="00B2537D"/>
    <w:rsid w:val="00B36B0E"/>
    <w:rsid w:val="00B43588"/>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1279"/>
    <w:rsid w:val="00C15438"/>
    <w:rsid w:val="00C21A1C"/>
    <w:rsid w:val="00C34CD3"/>
    <w:rsid w:val="00C36E7B"/>
    <w:rsid w:val="00C5591F"/>
    <w:rsid w:val="00C64664"/>
    <w:rsid w:val="00C77195"/>
    <w:rsid w:val="00C85E0E"/>
    <w:rsid w:val="00C864CB"/>
    <w:rsid w:val="00CA053A"/>
    <w:rsid w:val="00CA4A4A"/>
    <w:rsid w:val="00CB12DC"/>
    <w:rsid w:val="00CB19BE"/>
    <w:rsid w:val="00CC4741"/>
    <w:rsid w:val="00CD5ED5"/>
    <w:rsid w:val="00CE7887"/>
    <w:rsid w:val="00D1697D"/>
    <w:rsid w:val="00D32C40"/>
    <w:rsid w:val="00D3643A"/>
    <w:rsid w:val="00D47475"/>
    <w:rsid w:val="00D511A4"/>
    <w:rsid w:val="00D5236F"/>
    <w:rsid w:val="00D80544"/>
    <w:rsid w:val="00D90A3C"/>
    <w:rsid w:val="00DB6202"/>
    <w:rsid w:val="00DC23BB"/>
    <w:rsid w:val="00DF04FD"/>
    <w:rsid w:val="00DF0DD2"/>
    <w:rsid w:val="00DF79C1"/>
    <w:rsid w:val="00E01FDA"/>
    <w:rsid w:val="00E139AC"/>
    <w:rsid w:val="00E21167"/>
    <w:rsid w:val="00E222B8"/>
    <w:rsid w:val="00E26333"/>
    <w:rsid w:val="00E32C2B"/>
    <w:rsid w:val="00E47326"/>
    <w:rsid w:val="00E641A1"/>
    <w:rsid w:val="00E647E4"/>
    <w:rsid w:val="00E712A3"/>
    <w:rsid w:val="00E72F63"/>
    <w:rsid w:val="00E867D8"/>
    <w:rsid w:val="00E86F32"/>
    <w:rsid w:val="00E94451"/>
    <w:rsid w:val="00E9584A"/>
    <w:rsid w:val="00EB2C71"/>
    <w:rsid w:val="00EB692F"/>
    <w:rsid w:val="00EC77CC"/>
    <w:rsid w:val="00EE5855"/>
    <w:rsid w:val="00EE66E7"/>
    <w:rsid w:val="00EF48E4"/>
    <w:rsid w:val="00F04BB0"/>
    <w:rsid w:val="00F139D3"/>
    <w:rsid w:val="00F17745"/>
    <w:rsid w:val="00F373F9"/>
    <w:rsid w:val="00F42790"/>
    <w:rsid w:val="00F45471"/>
    <w:rsid w:val="00F512AD"/>
    <w:rsid w:val="00F54198"/>
    <w:rsid w:val="00F62E5E"/>
    <w:rsid w:val="00F62FFF"/>
    <w:rsid w:val="00F70F86"/>
    <w:rsid w:val="00F728A2"/>
    <w:rsid w:val="00F739D4"/>
    <w:rsid w:val="00F7564F"/>
    <w:rsid w:val="00F83417"/>
    <w:rsid w:val="00F86B1A"/>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498963808">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1835</Words>
  <Characters>10462</Characters>
  <Application>Microsoft Office Word</Application>
  <DocSecurity>0</DocSecurity>
  <Lines>87</Lines>
  <Paragraphs>24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7</cp:revision>
  <dcterms:created xsi:type="dcterms:W3CDTF">2024-08-09T04:23:00Z</dcterms:created>
  <dcterms:modified xsi:type="dcterms:W3CDTF">2024-08-09T04:42:00Z</dcterms:modified>
</cp:coreProperties>
</file>