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56C6" w14:textId="0310A83F" w:rsidR="000B4013" w:rsidRPr="0045216F" w:rsidRDefault="00000000" w:rsidP="0045216F">
      <w:pPr>
        <w:spacing w:after="240" w:line="480" w:lineRule="auto"/>
        <w:ind w:left="-6" w:hanging="11"/>
        <w:jc w:val="center"/>
        <w:rPr>
          <w:rFonts w:cs="Times New Roman"/>
          <w:sz w:val="28"/>
          <w:szCs w:val="28"/>
          <w:lang w:val="en-US"/>
        </w:rPr>
      </w:pPr>
      <w:r w:rsidRPr="0045216F">
        <w:rPr>
          <w:rFonts w:cs="Times New Roman"/>
          <w:b/>
          <w:sz w:val="28"/>
          <w:szCs w:val="28"/>
          <w:lang w:val="en-US"/>
        </w:rPr>
        <w:t>SUMMARY OF PRODUCT CHARACTERISTICS</w:t>
      </w:r>
    </w:p>
    <w:p w14:paraId="63C81814" w14:textId="77777777" w:rsidR="0045216F" w:rsidRDefault="00000000" w:rsidP="0045216F">
      <w:pPr>
        <w:pStyle w:val="Heading1"/>
        <w:numPr>
          <w:ilvl w:val="0"/>
          <w:numId w:val="3"/>
        </w:numPr>
        <w:tabs>
          <w:tab w:val="center" w:pos="3302"/>
        </w:tabs>
        <w:spacing w:after="240"/>
        <w:ind w:left="357" w:hanging="357"/>
        <w:rPr>
          <w:szCs w:val="28"/>
        </w:rPr>
      </w:pPr>
      <w:r w:rsidRPr="0045216F">
        <w:rPr>
          <w:szCs w:val="28"/>
        </w:rPr>
        <w:t xml:space="preserve">NAME OF THE MEDICINAL PRODUCT  </w:t>
      </w:r>
    </w:p>
    <w:p w14:paraId="23C62A3B" w14:textId="77650048" w:rsidR="000B4013" w:rsidRPr="0045216F" w:rsidRDefault="00000000" w:rsidP="0045216F">
      <w:pPr>
        <w:pStyle w:val="Heading1"/>
        <w:tabs>
          <w:tab w:val="center" w:pos="3302"/>
        </w:tabs>
        <w:spacing w:after="240"/>
        <w:ind w:left="357" w:firstLine="0"/>
        <w:rPr>
          <w:b w:val="0"/>
          <w:bCs/>
          <w:szCs w:val="28"/>
        </w:rPr>
      </w:pPr>
      <w:r w:rsidRPr="0045216F">
        <w:rPr>
          <w:b w:val="0"/>
          <w:bCs/>
          <w:color w:val="FF0000"/>
          <w:szCs w:val="28"/>
          <w:lang w:val="en-US"/>
        </w:rPr>
        <w:t>&lt;Trade Name&gt;</w:t>
      </w:r>
      <w:r w:rsidRPr="0045216F">
        <w:rPr>
          <w:b w:val="0"/>
          <w:bCs/>
          <w:szCs w:val="28"/>
          <w:lang w:val="en-US"/>
        </w:rPr>
        <w:t xml:space="preserve"> </w:t>
      </w:r>
      <w:r w:rsidRPr="0045216F">
        <w:rPr>
          <w:b w:val="0"/>
          <w:bCs/>
          <w:color w:val="FF0000"/>
          <w:szCs w:val="28"/>
          <w:lang w:val="en-US"/>
        </w:rPr>
        <w:t>&lt;Strength&gt;</w:t>
      </w:r>
      <w:r w:rsidRPr="0045216F">
        <w:rPr>
          <w:b w:val="0"/>
          <w:bCs/>
          <w:szCs w:val="28"/>
          <w:lang w:val="en-US"/>
        </w:rPr>
        <w:t xml:space="preserve"> film-coated tablets </w:t>
      </w:r>
    </w:p>
    <w:p w14:paraId="65C858DB" w14:textId="77777777" w:rsidR="0045216F" w:rsidRPr="0045216F" w:rsidRDefault="00000000" w:rsidP="0045216F">
      <w:pPr>
        <w:pStyle w:val="Heading2"/>
        <w:numPr>
          <w:ilvl w:val="0"/>
          <w:numId w:val="3"/>
        </w:numPr>
        <w:tabs>
          <w:tab w:val="center" w:pos="3758"/>
        </w:tabs>
        <w:spacing w:after="240"/>
        <w:ind w:left="357" w:hanging="357"/>
        <w:rPr>
          <w:sz w:val="28"/>
          <w:szCs w:val="28"/>
        </w:rPr>
      </w:pPr>
      <w:r w:rsidRPr="0045216F">
        <w:rPr>
          <w:b/>
          <w:sz w:val="28"/>
          <w:szCs w:val="28"/>
          <w:u w:val="none"/>
        </w:rPr>
        <w:t xml:space="preserve">QUALITATIVE AND QUANTITATIVE COMPOSITION </w:t>
      </w:r>
      <w:r w:rsidRPr="0045216F">
        <w:rPr>
          <w:sz w:val="28"/>
          <w:szCs w:val="28"/>
          <w:u w:val="none"/>
        </w:rPr>
        <w:t xml:space="preserve"> </w:t>
      </w:r>
    </w:p>
    <w:p w14:paraId="33D2132F" w14:textId="77777777" w:rsidR="0045216F" w:rsidRDefault="00000000" w:rsidP="0045216F">
      <w:pPr>
        <w:pStyle w:val="Heading2"/>
        <w:tabs>
          <w:tab w:val="center" w:pos="3758"/>
        </w:tabs>
        <w:spacing w:after="240" w:line="360" w:lineRule="auto"/>
        <w:ind w:left="357" w:firstLine="0"/>
        <w:rPr>
          <w:sz w:val="28"/>
          <w:szCs w:val="28"/>
          <w:u w:val="none"/>
          <w:lang w:val="en-US"/>
        </w:rPr>
      </w:pPr>
      <w:r w:rsidRPr="0045216F">
        <w:rPr>
          <w:sz w:val="28"/>
          <w:szCs w:val="28"/>
          <w:u w:val="none"/>
          <w:lang w:val="en-US"/>
        </w:rPr>
        <w:t xml:space="preserve">Tinidazole 500mg.  </w:t>
      </w:r>
    </w:p>
    <w:p w14:paraId="1CDA548D" w14:textId="77777777" w:rsidR="0045216F" w:rsidRDefault="00000000" w:rsidP="0045216F">
      <w:pPr>
        <w:pStyle w:val="Heading2"/>
        <w:tabs>
          <w:tab w:val="center" w:pos="3758"/>
        </w:tabs>
        <w:spacing w:after="30" w:line="360" w:lineRule="auto"/>
        <w:ind w:left="360" w:firstLine="0"/>
        <w:rPr>
          <w:sz w:val="28"/>
          <w:szCs w:val="28"/>
          <w:u w:val="none"/>
          <w:lang w:val="en-US"/>
        </w:rPr>
      </w:pPr>
      <w:r w:rsidRPr="0045216F">
        <w:rPr>
          <w:sz w:val="28"/>
          <w:szCs w:val="28"/>
          <w:u w:val="none"/>
          <w:lang w:val="en-US"/>
        </w:rPr>
        <w:t xml:space="preserve">Excipients with known effect:  </w:t>
      </w:r>
    </w:p>
    <w:p w14:paraId="204480FA" w14:textId="77777777" w:rsidR="0045216F" w:rsidRDefault="00000000" w:rsidP="0045216F">
      <w:pPr>
        <w:pStyle w:val="Heading2"/>
        <w:tabs>
          <w:tab w:val="center" w:pos="3758"/>
        </w:tabs>
        <w:spacing w:after="240" w:line="360" w:lineRule="auto"/>
        <w:ind w:left="357" w:firstLine="0"/>
        <w:rPr>
          <w:color w:val="FF0000"/>
          <w:sz w:val="28"/>
          <w:szCs w:val="28"/>
          <w:u w:val="none"/>
          <w:lang w:val="en-US"/>
        </w:rPr>
      </w:pPr>
      <w:r w:rsidRPr="0045216F">
        <w:rPr>
          <w:color w:val="FF0000"/>
          <w:sz w:val="28"/>
          <w:szCs w:val="28"/>
          <w:u w:val="none"/>
          <w:lang w:val="en-US"/>
        </w:rPr>
        <w:t xml:space="preserve">&lt;Regarding the approval&gt; </w:t>
      </w:r>
    </w:p>
    <w:p w14:paraId="32F429F8" w14:textId="42FCBB24" w:rsidR="000B4013" w:rsidRPr="0045216F" w:rsidRDefault="00000000" w:rsidP="0045216F">
      <w:pPr>
        <w:pStyle w:val="Heading2"/>
        <w:tabs>
          <w:tab w:val="center" w:pos="3758"/>
        </w:tabs>
        <w:spacing w:after="240" w:line="360" w:lineRule="auto"/>
        <w:ind w:left="357" w:firstLine="0"/>
        <w:rPr>
          <w:sz w:val="28"/>
          <w:szCs w:val="28"/>
          <w:u w:val="none"/>
        </w:rPr>
      </w:pPr>
      <w:r w:rsidRPr="0045216F">
        <w:rPr>
          <w:sz w:val="28"/>
          <w:szCs w:val="28"/>
          <w:u w:val="none"/>
          <w:lang w:val="en-US"/>
        </w:rPr>
        <w:t xml:space="preserve">For the full list of excipients, see section 6.1 </w:t>
      </w:r>
    </w:p>
    <w:p w14:paraId="3F752087" w14:textId="77777777" w:rsidR="0045216F" w:rsidRPr="0045216F" w:rsidRDefault="00000000" w:rsidP="0045216F">
      <w:pPr>
        <w:pStyle w:val="Heading2"/>
        <w:numPr>
          <w:ilvl w:val="0"/>
          <w:numId w:val="3"/>
        </w:numPr>
        <w:tabs>
          <w:tab w:val="center" w:pos="2307"/>
        </w:tabs>
        <w:spacing w:after="240"/>
        <w:ind w:left="357" w:hanging="357"/>
        <w:rPr>
          <w:sz w:val="28"/>
          <w:szCs w:val="28"/>
        </w:rPr>
      </w:pPr>
      <w:r w:rsidRPr="0045216F">
        <w:rPr>
          <w:b/>
          <w:sz w:val="28"/>
          <w:szCs w:val="28"/>
          <w:u w:val="none"/>
        </w:rPr>
        <w:t xml:space="preserve">PHARMACEUTICAL FORM  </w:t>
      </w:r>
    </w:p>
    <w:p w14:paraId="4C9774CB" w14:textId="77777777" w:rsidR="0045216F" w:rsidRDefault="00000000" w:rsidP="0045216F">
      <w:pPr>
        <w:pStyle w:val="Heading2"/>
        <w:tabs>
          <w:tab w:val="center" w:pos="2307"/>
        </w:tabs>
        <w:spacing w:after="30"/>
        <w:ind w:left="360" w:firstLine="0"/>
        <w:rPr>
          <w:sz w:val="28"/>
          <w:szCs w:val="28"/>
          <w:u w:val="none"/>
          <w:lang w:val="en-US"/>
        </w:rPr>
      </w:pPr>
      <w:r w:rsidRPr="0045216F">
        <w:rPr>
          <w:sz w:val="28"/>
          <w:szCs w:val="28"/>
          <w:u w:val="none"/>
          <w:lang w:val="en-US"/>
        </w:rPr>
        <w:t xml:space="preserve">Film-coated tablets.  </w:t>
      </w:r>
    </w:p>
    <w:p w14:paraId="32664994" w14:textId="1FC4665B" w:rsidR="000B4013" w:rsidRPr="0045216F" w:rsidRDefault="00000000" w:rsidP="0045216F">
      <w:pPr>
        <w:pStyle w:val="Heading2"/>
        <w:tabs>
          <w:tab w:val="center" w:pos="2307"/>
        </w:tabs>
        <w:spacing w:after="240"/>
        <w:ind w:left="357" w:firstLine="0"/>
        <w:rPr>
          <w:sz w:val="28"/>
          <w:szCs w:val="28"/>
          <w:u w:val="none"/>
        </w:rPr>
      </w:pPr>
      <w:r w:rsidRPr="0045216F">
        <w:rPr>
          <w:color w:val="FF0000"/>
          <w:sz w:val="28"/>
          <w:szCs w:val="28"/>
          <w:u w:val="none"/>
          <w:lang w:val="en-US"/>
        </w:rPr>
        <w:t xml:space="preserve">&lt;Regarding the approval&gt; </w:t>
      </w:r>
    </w:p>
    <w:p w14:paraId="2D5A263E" w14:textId="77777777" w:rsidR="0045216F" w:rsidRDefault="00000000" w:rsidP="0045216F">
      <w:pPr>
        <w:pStyle w:val="Heading1"/>
        <w:numPr>
          <w:ilvl w:val="0"/>
          <w:numId w:val="3"/>
        </w:numPr>
        <w:tabs>
          <w:tab w:val="center" w:pos="2460"/>
        </w:tabs>
        <w:spacing w:after="240" w:line="360" w:lineRule="auto"/>
        <w:ind w:left="357" w:hanging="357"/>
        <w:rPr>
          <w:szCs w:val="28"/>
        </w:rPr>
      </w:pPr>
      <w:r w:rsidRPr="0045216F">
        <w:rPr>
          <w:szCs w:val="28"/>
        </w:rPr>
        <w:t xml:space="preserve">CLINICAL PARTICULARS  </w:t>
      </w:r>
    </w:p>
    <w:p w14:paraId="7A57AA4E" w14:textId="77777777" w:rsidR="0045216F" w:rsidRPr="0045216F" w:rsidRDefault="00000000" w:rsidP="0045216F">
      <w:pPr>
        <w:pStyle w:val="Heading1"/>
        <w:numPr>
          <w:ilvl w:val="1"/>
          <w:numId w:val="3"/>
        </w:numPr>
        <w:tabs>
          <w:tab w:val="center" w:pos="2460"/>
        </w:tabs>
        <w:spacing w:line="360" w:lineRule="auto"/>
        <w:rPr>
          <w:szCs w:val="28"/>
        </w:rPr>
      </w:pPr>
      <w:r w:rsidRPr="0045216F">
        <w:rPr>
          <w:szCs w:val="28"/>
          <w:u w:color="000000"/>
        </w:rPr>
        <w:t xml:space="preserve">Therapeutic indications  </w:t>
      </w:r>
    </w:p>
    <w:p w14:paraId="71BBFDC9" w14:textId="770B4914" w:rsidR="000B4013" w:rsidRPr="0045216F" w:rsidRDefault="00000000" w:rsidP="0045216F">
      <w:pPr>
        <w:pStyle w:val="Heading1"/>
        <w:tabs>
          <w:tab w:val="center" w:pos="2460"/>
        </w:tabs>
        <w:spacing w:after="240" w:line="360" w:lineRule="auto"/>
        <w:ind w:left="794" w:firstLine="0"/>
        <w:rPr>
          <w:b w:val="0"/>
          <w:bCs/>
          <w:szCs w:val="28"/>
        </w:rPr>
      </w:pPr>
      <w:r w:rsidRPr="0045216F">
        <w:rPr>
          <w:b w:val="0"/>
          <w:bCs/>
          <w:szCs w:val="28"/>
          <w:lang w:val="en-US"/>
        </w:rPr>
        <w:t xml:space="preserve">Treatment of the following infections:  </w:t>
      </w:r>
    </w:p>
    <w:p w14:paraId="4C454AAB" w14:textId="77777777" w:rsidR="0045216F" w:rsidRDefault="00000000" w:rsidP="0045216F">
      <w:pPr>
        <w:pStyle w:val="ListParagraph"/>
        <w:numPr>
          <w:ilvl w:val="0"/>
          <w:numId w:val="4"/>
        </w:numPr>
        <w:spacing w:line="360" w:lineRule="auto"/>
        <w:ind w:right="23"/>
        <w:rPr>
          <w:rFonts w:cs="Times New Roman"/>
          <w:sz w:val="28"/>
          <w:szCs w:val="28"/>
          <w:lang w:val="en-US"/>
        </w:rPr>
      </w:pPr>
      <w:r w:rsidRPr="0045216F">
        <w:rPr>
          <w:rFonts w:cs="Times New Roman"/>
          <w:sz w:val="28"/>
          <w:szCs w:val="28"/>
          <w:lang w:val="en-US"/>
        </w:rPr>
        <w:t xml:space="preserve">Eradication of </w:t>
      </w:r>
      <w:r w:rsidRPr="0045216F">
        <w:rPr>
          <w:rFonts w:cs="Times New Roman"/>
          <w:i/>
          <w:sz w:val="28"/>
          <w:szCs w:val="28"/>
          <w:lang w:val="en-US"/>
        </w:rPr>
        <w:t>Helicobacter pylori</w:t>
      </w:r>
      <w:r w:rsidRPr="0045216F">
        <w:rPr>
          <w:rFonts w:cs="Times New Roman"/>
          <w:sz w:val="28"/>
          <w:szCs w:val="28"/>
          <w:lang w:val="en-US"/>
        </w:rPr>
        <w:t xml:space="preserve"> associated with duodenal ulcers, in the presence of antibiotic and acid suppressant therapy (see section 4.2).  </w:t>
      </w:r>
    </w:p>
    <w:p w14:paraId="47E6489F" w14:textId="77777777" w:rsidR="0045216F" w:rsidRDefault="00000000" w:rsidP="0045216F">
      <w:pPr>
        <w:pStyle w:val="ListParagraph"/>
        <w:numPr>
          <w:ilvl w:val="0"/>
          <w:numId w:val="4"/>
        </w:numPr>
        <w:spacing w:line="360" w:lineRule="auto"/>
        <w:ind w:right="23"/>
        <w:rPr>
          <w:rFonts w:cs="Times New Roman"/>
          <w:sz w:val="28"/>
          <w:szCs w:val="28"/>
          <w:lang w:val="en-US"/>
        </w:rPr>
      </w:pPr>
      <w:r w:rsidRPr="0045216F">
        <w:rPr>
          <w:rFonts w:cs="Times New Roman"/>
          <w:sz w:val="28"/>
          <w:szCs w:val="28"/>
        </w:rPr>
        <w:t xml:space="preserve">Anaerobic infections such as:  </w:t>
      </w:r>
    </w:p>
    <w:p w14:paraId="1A6E453F" w14:textId="77777777" w:rsidR="0045216F" w:rsidRPr="0045216F" w:rsidRDefault="00000000" w:rsidP="0045216F">
      <w:pPr>
        <w:pStyle w:val="ListParagraph"/>
        <w:numPr>
          <w:ilvl w:val="1"/>
          <w:numId w:val="4"/>
        </w:numPr>
        <w:spacing w:line="360" w:lineRule="auto"/>
        <w:ind w:right="23"/>
        <w:rPr>
          <w:rFonts w:cs="Times New Roman"/>
          <w:sz w:val="28"/>
          <w:szCs w:val="28"/>
          <w:lang w:val="en-US"/>
        </w:rPr>
      </w:pPr>
      <w:r w:rsidRPr="0045216F">
        <w:rPr>
          <w:rFonts w:cs="Times New Roman"/>
          <w:sz w:val="28"/>
          <w:szCs w:val="28"/>
          <w:lang w:val="en-US"/>
        </w:rPr>
        <w:t xml:space="preserve">Intraperitoneal infections: peritonitis, abscess.  </w:t>
      </w:r>
      <w:r w:rsidR="0045216F" w:rsidRPr="0045216F">
        <w:rPr>
          <w:rFonts w:cs="Times New Roman"/>
          <w:sz w:val="28"/>
          <w:szCs w:val="28"/>
          <w:lang w:val="en-US"/>
        </w:rPr>
        <w:t xml:space="preserve">Gynaecological infections: endometritis, endomyometritis, tube-ovarian abscess.  </w:t>
      </w:r>
    </w:p>
    <w:p w14:paraId="13634E8B" w14:textId="77777777" w:rsidR="0045216F" w:rsidRPr="0045216F" w:rsidRDefault="0045216F" w:rsidP="0045216F">
      <w:pPr>
        <w:pStyle w:val="ListParagraph"/>
        <w:numPr>
          <w:ilvl w:val="1"/>
          <w:numId w:val="4"/>
        </w:numPr>
        <w:spacing w:line="360" w:lineRule="auto"/>
        <w:ind w:right="23"/>
        <w:rPr>
          <w:rFonts w:cs="Times New Roman"/>
          <w:sz w:val="28"/>
          <w:szCs w:val="28"/>
        </w:rPr>
      </w:pPr>
      <w:r w:rsidRPr="0045216F">
        <w:rPr>
          <w:rFonts w:cs="Times New Roman"/>
          <w:sz w:val="28"/>
          <w:szCs w:val="28"/>
        </w:rPr>
        <w:t xml:space="preserve">Bacterial septicaemia.  </w:t>
      </w:r>
    </w:p>
    <w:p w14:paraId="63C8D700" w14:textId="77777777" w:rsidR="0045216F" w:rsidRPr="0045216F" w:rsidRDefault="0045216F" w:rsidP="0045216F">
      <w:pPr>
        <w:pStyle w:val="ListParagraph"/>
        <w:numPr>
          <w:ilvl w:val="1"/>
          <w:numId w:val="4"/>
        </w:numPr>
        <w:spacing w:line="360" w:lineRule="auto"/>
        <w:ind w:right="23"/>
        <w:rPr>
          <w:rFonts w:cs="Times New Roman"/>
          <w:sz w:val="28"/>
          <w:szCs w:val="28"/>
        </w:rPr>
      </w:pPr>
      <w:r w:rsidRPr="0045216F">
        <w:rPr>
          <w:rFonts w:cs="Times New Roman"/>
          <w:sz w:val="28"/>
          <w:szCs w:val="28"/>
        </w:rPr>
        <w:lastRenderedPageBreak/>
        <w:t xml:space="preserve">Post-operative wound infections.  </w:t>
      </w:r>
    </w:p>
    <w:p w14:paraId="704023BC" w14:textId="77777777" w:rsidR="0045216F" w:rsidRDefault="0045216F" w:rsidP="0045216F">
      <w:pPr>
        <w:pStyle w:val="ListParagraph"/>
        <w:numPr>
          <w:ilvl w:val="1"/>
          <w:numId w:val="4"/>
        </w:numPr>
        <w:spacing w:line="360" w:lineRule="auto"/>
        <w:ind w:right="23"/>
        <w:rPr>
          <w:rFonts w:cs="Times New Roman"/>
          <w:sz w:val="28"/>
          <w:szCs w:val="28"/>
          <w:lang w:val="en-US"/>
        </w:rPr>
      </w:pPr>
      <w:r w:rsidRPr="0045216F">
        <w:rPr>
          <w:rFonts w:cs="Times New Roman"/>
          <w:sz w:val="28"/>
          <w:szCs w:val="28"/>
          <w:lang w:val="en-US"/>
        </w:rPr>
        <w:t xml:space="preserve">Skin and soft tissue infections.  </w:t>
      </w:r>
    </w:p>
    <w:p w14:paraId="5B6331A6" w14:textId="36CCC9CB" w:rsidR="000B4013" w:rsidRPr="0045216F" w:rsidRDefault="0045216F" w:rsidP="0045216F">
      <w:pPr>
        <w:pStyle w:val="ListParagraph"/>
        <w:numPr>
          <w:ilvl w:val="1"/>
          <w:numId w:val="4"/>
        </w:numPr>
        <w:spacing w:line="360" w:lineRule="auto"/>
        <w:ind w:right="23"/>
        <w:rPr>
          <w:rFonts w:cs="Times New Roman"/>
          <w:sz w:val="28"/>
          <w:szCs w:val="28"/>
          <w:lang w:val="en-US"/>
        </w:rPr>
      </w:pPr>
      <w:r w:rsidRPr="0045216F">
        <w:rPr>
          <w:rFonts w:cs="Times New Roman"/>
          <w:sz w:val="28"/>
          <w:szCs w:val="28"/>
          <w:lang w:val="en-US"/>
        </w:rPr>
        <w:t xml:space="preserve">Upper and lower respiratory tract infections: pneumonia, empyema, lung abscess.  </w:t>
      </w:r>
    </w:p>
    <w:p w14:paraId="2139F106" w14:textId="5C46A82F" w:rsidR="000B4013" w:rsidRPr="0045216F" w:rsidRDefault="00000000" w:rsidP="0045216F">
      <w:pPr>
        <w:numPr>
          <w:ilvl w:val="0"/>
          <w:numId w:val="1"/>
        </w:numPr>
        <w:spacing w:line="360" w:lineRule="auto"/>
        <w:ind w:right="23" w:hanging="240"/>
        <w:rPr>
          <w:rFonts w:cs="Times New Roman"/>
          <w:sz w:val="28"/>
          <w:szCs w:val="28"/>
        </w:rPr>
      </w:pPr>
      <w:r w:rsidRPr="0045216F">
        <w:rPr>
          <w:rFonts w:cs="Times New Roman"/>
          <w:sz w:val="28"/>
          <w:szCs w:val="28"/>
        </w:rPr>
        <w:t xml:space="preserve">Non-specific vaginitis.  </w:t>
      </w:r>
    </w:p>
    <w:p w14:paraId="21853DB4" w14:textId="5D78832B" w:rsidR="000B4013" w:rsidRPr="0045216F" w:rsidRDefault="00000000" w:rsidP="0045216F">
      <w:pPr>
        <w:numPr>
          <w:ilvl w:val="0"/>
          <w:numId w:val="1"/>
        </w:numPr>
        <w:spacing w:line="360" w:lineRule="auto"/>
        <w:ind w:right="23" w:hanging="240"/>
        <w:jc w:val="thaiDistribute"/>
        <w:rPr>
          <w:rFonts w:cs="Times New Roman"/>
          <w:sz w:val="28"/>
          <w:szCs w:val="28"/>
        </w:rPr>
      </w:pPr>
      <w:r w:rsidRPr="0045216F">
        <w:rPr>
          <w:rFonts w:cs="Times New Roman"/>
          <w:sz w:val="28"/>
          <w:szCs w:val="28"/>
        </w:rPr>
        <w:t xml:space="preserve">Acute ulcerative gingivitis.  </w:t>
      </w:r>
    </w:p>
    <w:p w14:paraId="11CD9468" w14:textId="20F6E90C" w:rsidR="000B4013" w:rsidRPr="0045216F" w:rsidRDefault="00000000" w:rsidP="0045216F">
      <w:pPr>
        <w:numPr>
          <w:ilvl w:val="0"/>
          <w:numId w:val="1"/>
        </w:numPr>
        <w:spacing w:line="360" w:lineRule="auto"/>
        <w:ind w:right="23" w:hanging="240"/>
        <w:jc w:val="thaiDistribute"/>
        <w:rPr>
          <w:rFonts w:cs="Times New Roman"/>
          <w:sz w:val="28"/>
          <w:szCs w:val="28"/>
          <w:lang w:val="en-US"/>
        </w:rPr>
      </w:pPr>
      <w:r w:rsidRPr="0045216F">
        <w:rPr>
          <w:rFonts w:cs="Times New Roman"/>
          <w:sz w:val="28"/>
          <w:szCs w:val="28"/>
          <w:lang w:val="en-US"/>
        </w:rPr>
        <w:t xml:space="preserve">Urogenital trichomoniasis in both male and female patients. </w:t>
      </w:r>
    </w:p>
    <w:p w14:paraId="53C96FAF" w14:textId="74350ACE" w:rsidR="000B4013" w:rsidRPr="0045216F" w:rsidRDefault="00000000" w:rsidP="0045216F">
      <w:pPr>
        <w:numPr>
          <w:ilvl w:val="0"/>
          <w:numId w:val="1"/>
        </w:numPr>
        <w:spacing w:line="360" w:lineRule="auto"/>
        <w:ind w:right="23" w:hanging="240"/>
        <w:jc w:val="thaiDistribute"/>
        <w:rPr>
          <w:rFonts w:cs="Times New Roman"/>
          <w:sz w:val="28"/>
          <w:szCs w:val="28"/>
        </w:rPr>
      </w:pPr>
      <w:r w:rsidRPr="0045216F">
        <w:rPr>
          <w:rFonts w:cs="Times New Roman"/>
          <w:sz w:val="28"/>
          <w:szCs w:val="28"/>
        </w:rPr>
        <w:t xml:space="preserve">Giardiasis.  </w:t>
      </w:r>
    </w:p>
    <w:p w14:paraId="155B8C45" w14:textId="6BB246E2" w:rsidR="000B4013" w:rsidRPr="0045216F" w:rsidRDefault="00000000" w:rsidP="0045216F">
      <w:pPr>
        <w:numPr>
          <w:ilvl w:val="0"/>
          <w:numId w:val="1"/>
        </w:numPr>
        <w:spacing w:line="360" w:lineRule="auto"/>
        <w:ind w:right="23" w:hanging="240"/>
        <w:jc w:val="thaiDistribute"/>
        <w:rPr>
          <w:rFonts w:cs="Times New Roman"/>
          <w:sz w:val="28"/>
          <w:szCs w:val="28"/>
        </w:rPr>
      </w:pPr>
      <w:r w:rsidRPr="0045216F">
        <w:rPr>
          <w:rFonts w:cs="Times New Roman"/>
          <w:sz w:val="28"/>
          <w:szCs w:val="28"/>
        </w:rPr>
        <w:t xml:space="preserve">Intestinal amoebiasis.  </w:t>
      </w:r>
    </w:p>
    <w:p w14:paraId="2F559BDB" w14:textId="5502502E" w:rsidR="000B4013" w:rsidRPr="0045216F" w:rsidRDefault="00000000" w:rsidP="0045216F">
      <w:pPr>
        <w:numPr>
          <w:ilvl w:val="0"/>
          <w:numId w:val="1"/>
        </w:numPr>
        <w:spacing w:line="360" w:lineRule="auto"/>
        <w:ind w:right="23" w:hanging="240"/>
        <w:jc w:val="thaiDistribute"/>
        <w:rPr>
          <w:rFonts w:cs="Times New Roman"/>
          <w:sz w:val="28"/>
          <w:szCs w:val="28"/>
          <w:lang w:val="en-US"/>
        </w:rPr>
      </w:pPr>
      <w:r w:rsidRPr="0045216F">
        <w:rPr>
          <w:rFonts w:cs="Times New Roman"/>
          <w:sz w:val="28"/>
          <w:szCs w:val="28"/>
          <w:lang w:val="en-US"/>
        </w:rPr>
        <w:t xml:space="preserve">Amoebic involvement of the liver.  </w:t>
      </w:r>
    </w:p>
    <w:p w14:paraId="0248F276" w14:textId="77777777" w:rsidR="000B4013" w:rsidRPr="0045216F" w:rsidRDefault="00000000" w:rsidP="0045216F">
      <w:pPr>
        <w:numPr>
          <w:ilvl w:val="0"/>
          <w:numId w:val="1"/>
        </w:numPr>
        <w:spacing w:after="240" w:line="360" w:lineRule="auto"/>
        <w:ind w:left="1678" w:right="23" w:hanging="238"/>
        <w:jc w:val="thaiDistribute"/>
        <w:rPr>
          <w:rFonts w:cs="Times New Roman"/>
          <w:sz w:val="28"/>
          <w:szCs w:val="28"/>
          <w:lang w:val="en-US"/>
        </w:rPr>
      </w:pPr>
      <w:r w:rsidRPr="0045216F">
        <w:rPr>
          <w:rFonts w:cs="Times New Roman"/>
          <w:sz w:val="28"/>
          <w:szCs w:val="28"/>
          <w:lang w:val="en-US"/>
        </w:rPr>
        <w:t xml:space="preserve">Prophylaxis: The prevention of post-operative infections caused by anaerobic bacteria, especially those associated with colonic, gastrointestinal and gynaecological surgery  </w:t>
      </w:r>
    </w:p>
    <w:p w14:paraId="7E345368" w14:textId="77777777" w:rsidR="0045216F" w:rsidRPr="0045216F" w:rsidRDefault="00000000" w:rsidP="0045216F">
      <w:pPr>
        <w:pStyle w:val="ListParagraph"/>
        <w:numPr>
          <w:ilvl w:val="1"/>
          <w:numId w:val="3"/>
        </w:numPr>
        <w:tabs>
          <w:tab w:val="center" w:pos="2753"/>
        </w:tabs>
        <w:spacing w:after="240" w:line="259" w:lineRule="auto"/>
        <w:ind w:left="788" w:hanging="431"/>
        <w:contextualSpacing w:val="0"/>
        <w:rPr>
          <w:rFonts w:cs="Times New Roman"/>
          <w:sz w:val="28"/>
          <w:szCs w:val="28"/>
          <w:lang w:val="en-US"/>
        </w:rPr>
      </w:pPr>
      <w:r w:rsidRPr="0045216F">
        <w:rPr>
          <w:rFonts w:cs="Times New Roman"/>
          <w:b/>
          <w:sz w:val="28"/>
          <w:szCs w:val="28"/>
          <w:lang w:val="en-US"/>
        </w:rPr>
        <w:t xml:space="preserve">Posology and method of administration  </w:t>
      </w:r>
    </w:p>
    <w:p w14:paraId="405AF706" w14:textId="77777777" w:rsidR="0045216F" w:rsidRPr="0045216F" w:rsidRDefault="00000000" w:rsidP="0045216F">
      <w:pPr>
        <w:pStyle w:val="ListParagraph"/>
        <w:tabs>
          <w:tab w:val="center" w:pos="2753"/>
        </w:tabs>
        <w:spacing w:after="240" w:line="360" w:lineRule="auto"/>
        <w:ind w:left="794" w:firstLine="0"/>
        <w:contextualSpacing w:val="0"/>
        <w:rPr>
          <w:rFonts w:cs="Times New Roman"/>
          <w:i/>
          <w:iCs/>
          <w:sz w:val="28"/>
          <w:szCs w:val="28"/>
          <w:lang w:val="en-US"/>
        </w:rPr>
      </w:pPr>
      <w:r w:rsidRPr="0045216F">
        <w:rPr>
          <w:rFonts w:cs="Times New Roman"/>
          <w:i/>
          <w:iCs/>
          <w:sz w:val="28"/>
          <w:szCs w:val="28"/>
          <w:lang w:val="en-US"/>
        </w:rPr>
        <w:t>Route</w:t>
      </w:r>
    </w:p>
    <w:p w14:paraId="5A8383A5" w14:textId="7CC37E03" w:rsidR="0045216F" w:rsidRDefault="00000000" w:rsidP="0045216F">
      <w:pPr>
        <w:pStyle w:val="ListParagraph"/>
        <w:tabs>
          <w:tab w:val="center" w:pos="2753"/>
        </w:tabs>
        <w:spacing w:after="240" w:line="360" w:lineRule="auto"/>
        <w:ind w:left="794" w:firstLine="0"/>
        <w:contextualSpacing w:val="0"/>
        <w:rPr>
          <w:rFonts w:cs="Times New Roman"/>
          <w:sz w:val="28"/>
          <w:szCs w:val="28"/>
          <w:lang w:val="en-US"/>
        </w:rPr>
      </w:pPr>
      <w:r w:rsidRPr="0045216F">
        <w:rPr>
          <w:rFonts w:cs="Times New Roman"/>
          <w:sz w:val="28"/>
          <w:szCs w:val="28"/>
          <w:lang w:val="en-US"/>
        </w:rPr>
        <w:t xml:space="preserve">Oral administration during or after a meal.  </w:t>
      </w:r>
    </w:p>
    <w:p w14:paraId="5AD42C24" w14:textId="77777777" w:rsidR="0045216F" w:rsidRPr="0045216F" w:rsidRDefault="00000000" w:rsidP="0045216F">
      <w:pPr>
        <w:pStyle w:val="ListParagraph"/>
        <w:tabs>
          <w:tab w:val="center" w:pos="2753"/>
        </w:tabs>
        <w:spacing w:after="240" w:line="360" w:lineRule="auto"/>
        <w:ind w:left="794" w:firstLine="0"/>
        <w:contextualSpacing w:val="0"/>
        <w:rPr>
          <w:rFonts w:cs="Times New Roman"/>
          <w:i/>
          <w:iCs/>
          <w:sz w:val="28"/>
          <w:szCs w:val="28"/>
          <w:u w:color="000000"/>
          <w:lang w:val="en-US"/>
        </w:rPr>
      </w:pPr>
      <w:r w:rsidRPr="0045216F">
        <w:rPr>
          <w:rFonts w:cs="Times New Roman"/>
          <w:i/>
          <w:iCs/>
          <w:sz w:val="28"/>
          <w:szCs w:val="28"/>
          <w:lang w:val="en-US"/>
        </w:rPr>
        <w:t>Posology</w:t>
      </w:r>
    </w:p>
    <w:p w14:paraId="6BFD6808" w14:textId="77777777" w:rsidR="0045216F" w:rsidRPr="0045216F" w:rsidRDefault="00000000" w:rsidP="0045216F">
      <w:pPr>
        <w:pStyle w:val="ListParagraph"/>
        <w:tabs>
          <w:tab w:val="center" w:pos="2753"/>
        </w:tabs>
        <w:spacing w:after="240" w:line="360" w:lineRule="auto"/>
        <w:ind w:left="794" w:firstLine="0"/>
        <w:contextualSpacing w:val="0"/>
        <w:rPr>
          <w:rFonts w:cs="Times New Roman"/>
          <w:i/>
          <w:iCs/>
          <w:sz w:val="28"/>
          <w:szCs w:val="28"/>
          <w:lang w:val="en-US"/>
        </w:rPr>
      </w:pPr>
      <w:r w:rsidRPr="0045216F">
        <w:rPr>
          <w:rFonts w:cs="Times New Roman"/>
          <w:i/>
          <w:iCs/>
          <w:sz w:val="28"/>
          <w:szCs w:val="28"/>
          <w:lang w:val="en-US"/>
        </w:rPr>
        <w:t xml:space="preserve">Eradication of H. pylori associated with duodenal ulcers:  </w:t>
      </w:r>
    </w:p>
    <w:p w14:paraId="1A699201" w14:textId="77777777" w:rsidR="0045216F" w:rsidRDefault="0045216F" w:rsidP="0045216F">
      <w:pPr>
        <w:pStyle w:val="ListParagraph"/>
        <w:tabs>
          <w:tab w:val="center" w:pos="2753"/>
        </w:tabs>
        <w:spacing w:after="240" w:line="360" w:lineRule="auto"/>
        <w:ind w:left="794" w:firstLine="0"/>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0FBEF53F" w14:textId="05EF8CDE" w:rsidR="0045216F" w:rsidRDefault="0045216F" w:rsidP="0045216F">
      <w:pPr>
        <w:pStyle w:val="ListParagraph"/>
        <w:tabs>
          <w:tab w:val="center" w:pos="2753"/>
        </w:tabs>
        <w:spacing w:after="240" w:line="360" w:lineRule="auto"/>
        <w:ind w:left="794" w:firstLine="0"/>
        <w:contextualSpacing w:val="0"/>
        <w:jc w:val="thaiDistribute"/>
        <w:rPr>
          <w:rFonts w:cs="Times New Roman"/>
          <w:sz w:val="28"/>
          <w:szCs w:val="28"/>
          <w:lang w:val="en-US"/>
        </w:rPr>
      </w:pPr>
      <w:r>
        <w:rPr>
          <w:rFonts w:cs="Times New Roman"/>
          <w:sz w:val="28"/>
          <w:szCs w:val="28"/>
          <w:lang w:val="en-US"/>
        </w:rPr>
        <w:t>T</w:t>
      </w:r>
      <w:r w:rsidRPr="0045216F">
        <w:rPr>
          <w:rFonts w:cs="Times New Roman"/>
          <w:sz w:val="28"/>
          <w:szCs w:val="28"/>
          <w:lang w:val="en-US"/>
        </w:rPr>
        <w:t xml:space="preserve">he usual dose of &lt;Generic Name&gt; is </w:t>
      </w:r>
      <w:r w:rsidRPr="0045216F">
        <w:rPr>
          <w:rFonts w:cs="Times New Roman"/>
          <w:sz w:val="28"/>
          <w:szCs w:val="28"/>
          <w:lang w:val="en-US" w:bidi="th"/>
        </w:rPr>
        <w:t>500</w:t>
      </w:r>
      <w:r w:rsidRPr="0045216F">
        <w:rPr>
          <w:rFonts w:cs="Times New Roman"/>
          <w:sz w:val="28"/>
          <w:szCs w:val="28"/>
          <w:lang w:val="en-US"/>
        </w:rPr>
        <w:t xml:space="preserve">mg twice daily coadministered with omeprazole </w:t>
      </w:r>
      <w:r w:rsidRPr="0045216F">
        <w:rPr>
          <w:rFonts w:cs="Times New Roman"/>
          <w:sz w:val="28"/>
          <w:szCs w:val="28"/>
          <w:lang w:val="en-US" w:bidi="th"/>
        </w:rPr>
        <w:t>20</w:t>
      </w:r>
      <w:r w:rsidRPr="0045216F">
        <w:rPr>
          <w:rFonts w:cs="Times New Roman"/>
          <w:sz w:val="28"/>
          <w:szCs w:val="28"/>
          <w:lang w:val="en-US"/>
        </w:rPr>
        <w:t xml:space="preserve">mg twice daily and clarithromycin </w:t>
      </w:r>
      <w:r w:rsidRPr="0045216F">
        <w:rPr>
          <w:rFonts w:cs="Times New Roman"/>
          <w:sz w:val="28"/>
          <w:szCs w:val="28"/>
          <w:lang w:val="en-US" w:bidi="th"/>
        </w:rPr>
        <w:t>250</w:t>
      </w:r>
      <w:r w:rsidRPr="0045216F">
        <w:rPr>
          <w:rFonts w:cs="Times New Roman"/>
          <w:sz w:val="28"/>
          <w:szCs w:val="28"/>
          <w:lang w:val="en-US"/>
        </w:rPr>
        <w:t xml:space="preserve">mg twice daily for </w:t>
      </w:r>
      <w:r w:rsidRPr="0045216F">
        <w:rPr>
          <w:rFonts w:cs="Times New Roman"/>
          <w:sz w:val="28"/>
          <w:szCs w:val="28"/>
          <w:lang w:val="en-US" w:bidi="th"/>
        </w:rPr>
        <w:t>7</w:t>
      </w:r>
      <w:r w:rsidRPr="0045216F">
        <w:rPr>
          <w:rFonts w:cs="Times New Roman"/>
          <w:sz w:val="28"/>
          <w:szCs w:val="28"/>
          <w:lang w:val="en-US"/>
        </w:rPr>
        <w:t xml:space="preserve"> days. Clinical studies using </w:t>
      </w:r>
      <w:proofErr w:type="gramStart"/>
      <w:r w:rsidRPr="0045216F">
        <w:rPr>
          <w:rFonts w:cs="Times New Roman"/>
          <w:sz w:val="28"/>
          <w:szCs w:val="28"/>
          <w:lang w:val="en-US"/>
        </w:rPr>
        <w:t xml:space="preserve">this </w:t>
      </w:r>
      <w:r w:rsidRPr="0045216F">
        <w:rPr>
          <w:rFonts w:cs="Times New Roman"/>
          <w:sz w:val="28"/>
          <w:szCs w:val="28"/>
          <w:lang w:val="en-US" w:bidi="th"/>
        </w:rPr>
        <w:t>7</w:t>
      </w:r>
      <w:r>
        <w:rPr>
          <w:rFonts w:cs="Times New Roman"/>
          <w:sz w:val="28"/>
          <w:szCs w:val="28"/>
          <w:lang w:val="en-US" w:bidi="th"/>
        </w:rPr>
        <w:t xml:space="preserve"> </w:t>
      </w:r>
      <w:r w:rsidRPr="0045216F">
        <w:rPr>
          <w:rFonts w:cs="Times New Roman"/>
          <w:sz w:val="28"/>
          <w:szCs w:val="28"/>
          <w:lang w:val="en-US"/>
        </w:rPr>
        <w:t>day</w:t>
      </w:r>
      <w:r>
        <w:rPr>
          <w:rFonts w:cs="Times New Roman"/>
          <w:sz w:val="28"/>
          <w:szCs w:val="28"/>
          <w:lang w:val="en-US"/>
        </w:rPr>
        <w:t>s</w:t>
      </w:r>
      <w:proofErr w:type="gramEnd"/>
      <w:r>
        <w:rPr>
          <w:rFonts w:cs="Times New Roman"/>
          <w:sz w:val="28"/>
          <w:szCs w:val="28"/>
          <w:lang w:val="en-US"/>
        </w:rPr>
        <w:t xml:space="preserve"> </w:t>
      </w:r>
      <w:r w:rsidRPr="0045216F">
        <w:rPr>
          <w:rFonts w:cs="Times New Roman"/>
          <w:sz w:val="28"/>
          <w:szCs w:val="28"/>
          <w:lang w:val="en-US"/>
        </w:rPr>
        <w:t xml:space="preserve">regimen have shown similar H. pylori eradication rates when </w:t>
      </w:r>
      <w:r w:rsidRPr="0045216F">
        <w:rPr>
          <w:rFonts w:cs="Times New Roman"/>
          <w:sz w:val="28"/>
          <w:szCs w:val="28"/>
          <w:lang w:val="en-US"/>
        </w:rPr>
        <w:lastRenderedPageBreak/>
        <w:t xml:space="preserve">omeprazole </w:t>
      </w:r>
      <w:r w:rsidRPr="0045216F">
        <w:rPr>
          <w:rFonts w:cs="Times New Roman"/>
          <w:sz w:val="28"/>
          <w:szCs w:val="28"/>
          <w:lang w:val="en-US" w:bidi="th"/>
        </w:rPr>
        <w:t>20</w:t>
      </w:r>
      <w:r w:rsidRPr="0045216F">
        <w:rPr>
          <w:rFonts w:cs="Times New Roman"/>
          <w:sz w:val="28"/>
          <w:szCs w:val="28"/>
          <w:lang w:val="en-US"/>
        </w:rPr>
        <w:t xml:space="preserve">mg once daily was used. For further information on the dosage for omeprazole see Astra data sheet.  </w:t>
      </w:r>
    </w:p>
    <w:p w14:paraId="79E17717" w14:textId="6A45B85F" w:rsidR="000B4013" w:rsidRPr="0045216F" w:rsidRDefault="00000000" w:rsidP="0045216F">
      <w:pPr>
        <w:pStyle w:val="ListParagraph"/>
        <w:tabs>
          <w:tab w:val="center" w:pos="2753"/>
        </w:tabs>
        <w:spacing w:after="240" w:line="360" w:lineRule="auto"/>
        <w:ind w:left="794" w:firstLine="0"/>
        <w:jc w:val="thaiDistribute"/>
        <w:rPr>
          <w:rFonts w:cs="Times New Roman"/>
          <w:i/>
          <w:iCs/>
          <w:sz w:val="28"/>
          <w:szCs w:val="28"/>
          <w:lang w:val="en-US"/>
        </w:rPr>
      </w:pPr>
      <w:r w:rsidRPr="0045216F">
        <w:rPr>
          <w:rFonts w:cs="Times New Roman"/>
          <w:i/>
          <w:iCs/>
          <w:sz w:val="28"/>
          <w:szCs w:val="28"/>
          <w:lang w:val="en-US"/>
        </w:rPr>
        <w:t xml:space="preserve">Anaerobic infections:  </w:t>
      </w:r>
    </w:p>
    <w:p w14:paraId="0FFB9106" w14:textId="77777777" w:rsidR="0045216F" w:rsidRDefault="00000000" w:rsidP="0045216F">
      <w:pPr>
        <w:spacing w:after="240" w:line="250" w:lineRule="auto"/>
        <w:ind w:left="732" w:right="-6" w:hanging="23"/>
        <w:jc w:val="thaiDistribute"/>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0AF7B002" w14:textId="77777777" w:rsidR="0045216F" w:rsidRDefault="0045216F" w:rsidP="0045216F">
      <w:pPr>
        <w:spacing w:after="240" w:line="360" w:lineRule="auto"/>
        <w:ind w:left="732" w:right="-6" w:hanging="23"/>
        <w:jc w:val="thaiDistribute"/>
        <w:rPr>
          <w:rFonts w:cs="Times New Roman"/>
          <w:sz w:val="28"/>
          <w:szCs w:val="28"/>
          <w:lang w:val="en-US"/>
        </w:rPr>
      </w:pPr>
      <w:r>
        <w:rPr>
          <w:rFonts w:cs="Times New Roman"/>
          <w:sz w:val="28"/>
          <w:szCs w:val="28"/>
          <w:lang w:val="en-US"/>
        </w:rPr>
        <w:t>A</w:t>
      </w:r>
      <w:r w:rsidR="00000000" w:rsidRPr="0045216F">
        <w:rPr>
          <w:rFonts w:cs="Times New Roman"/>
          <w:sz w:val="28"/>
          <w:szCs w:val="28"/>
          <w:lang w:val="en-US"/>
        </w:rPr>
        <w:t xml:space="preserve">n initial dose of 2g the first day followed by 1g daily given as a single dose or as 500mg twice daily.  Treatment for 5 to 6 days will generally be adequate but clinical judgement must be used in determining the duration of therapy, particularly when eradication of infection from certain sites may be difficult.  Routine clinical and laboratory observation is recommended if it is considered necessary to continue therapy for more than 7 days.  </w:t>
      </w:r>
    </w:p>
    <w:p w14:paraId="0A483D4A" w14:textId="77777777" w:rsidR="0045216F" w:rsidRDefault="00000000" w:rsidP="0045216F">
      <w:pPr>
        <w:spacing w:after="9" w:line="360" w:lineRule="auto"/>
        <w:ind w:left="726" w:right="-8" w:hanging="20"/>
        <w:jc w:val="thaiDistribute"/>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w:t>
      </w:r>
    </w:p>
    <w:p w14:paraId="0F59E4E6" w14:textId="7481ADCD" w:rsidR="000B4013" w:rsidRPr="0045216F" w:rsidRDefault="00000000" w:rsidP="0045216F">
      <w:pPr>
        <w:spacing w:after="240" w:line="360" w:lineRule="auto"/>
        <w:ind w:left="732" w:right="-6" w:hanging="23"/>
        <w:jc w:val="thaiDistribute"/>
        <w:rPr>
          <w:rFonts w:cs="Times New Roman"/>
          <w:sz w:val="28"/>
          <w:szCs w:val="28"/>
          <w:lang w:val="en-US"/>
        </w:rPr>
      </w:pPr>
      <w:r w:rsidRPr="0045216F">
        <w:rPr>
          <w:rFonts w:cs="Times New Roman"/>
          <w:sz w:val="28"/>
          <w:szCs w:val="28"/>
          <w:lang w:val="en-US"/>
        </w:rPr>
        <w:t xml:space="preserve">&lt; 12 years – there is no data available.  </w:t>
      </w:r>
    </w:p>
    <w:p w14:paraId="06AF11FE" w14:textId="77777777" w:rsidR="000B4013" w:rsidRPr="0045216F" w:rsidRDefault="00000000" w:rsidP="0045216F">
      <w:pPr>
        <w:spacing w:after="240" w:line="257" w:lineRule="auto"/>
        <w:ind w:left="725" w:right="23" w:hanging="11"/>
        <w:jc w:val="thaiDistribute"/>
        <w:rPr>
          <w:rFonts w:cs="Times New Roman"/>
          <w:i/>
          <w:iCs/>
          <w:sz w:val="28"/>
          <w:szCs w:val="28"/>
          <w:lang w:val="en-US"/>
        </w:rPr>
      </w:pPr>
      <w:r w:rsidRPr="0045216F">
        <w:rPr>
          <w:rFonts w:cs="Times New Roman"/>
          <w:i/>
          <w:iCs/>
          <w:sz w:val="28"/>
          <w:szCs w:val="28"/>
          <w:lang w:val="en-US"/>
        </w:rPr>
        <w:t xml:space="preserve">Non-specific vaginitis:  </w:t>
      </w:r>
    </w:p>
    <w:p w14:paraId="219F6B47" w14:textId="77777777" w:rsidR="0045216F" w:rsidRDefault="00000000" w:rsidP="0045216F">
      <w:pPr>
        <w:spacing w:after="240" w:line="250" w:lineRule="auto"/>
        <w:ind w:left="732" w:right="-6" w:hanging="23"/>
        <w:jc w:val="thaiDistribute"/>
        <w:rPr>
          <w:rFonts w:cs="Times New Roman"/>
          <w:sz w:val="28"/>
          <w:szCs w:val="28"/>
          <w:lang w:val="en-US"/>
        </w:rPr>
      </w:pPr>
      <w:r w:rsidRPr="0045216F">
        <w:rPr>
          <w:rFonts w:cs="Times New Roman"/>
          <w:sz w:val="28"/>
          <w:szCs w:val="28"/>
          <w:u w:val="single"/>
          <w:lang w:val="en-US"/>
        </w:rPr>
        <w:t>Adults:</w:t>
      </w:r>
    </w:p>
    <w:p w14:paraId="3212587E" w14:textId="334A2E7A" w:rsidR="000B4013" w:rsidRPr="0045216F" w:rsidRDefault="0045216F" w:rsidP="0045216F">
      <w:pPr>
        <w:spacing w:after="240" w:line="360" w:lineRule="auto"/>
        <w:ind w:left="732" w:right="-6" w:hanging="23"/>
        <w:jc w:val="thaiDistribute"/>
        <w:rPr>
          <w:rFonts w:cs="Times New Roman"/>
          <w:sz w:val="28"/>
          <w:szCs w:val="28"/>
          <w:lang w:val="en-US"/>
        </w:rPr>
      </w:pPr>
      <w:r>
        <w:rPr>
          <w:rFonts w:cs="Times New Roman"/>
          <w:sz w:val="28"/>
          <w:szCs w:val="28"/>
          <w:lang w:val="en-US"/>
        </w:rPr>
        <w:t>N</w:t>
      </w:r>
      <w:r w:rsidR="00000000" w:rsidRPr="0045216F">
        <w:rPr>
          <w:rFonts w:cs="Times New Roman"/>
          <w:sz w:val="28"/>
          <w:szCs w:val="28"/>
          <w:lang w:val="en-US"/>
        </w:rPr>
        <w:t xml:space="preserve">on-specific vaginitis has been successfully treated with a single oral dose of 2g. Higher cure rates have been achieved with 2g single doses on 2 consecutive days (total dose 4g).  </w:t>
      </w:r>
    </w:p>
    <w:p w14:paraId="04D9BA0F" w14:textId="77777777" w:rsidR="000B4013" w:rsidRPr="0045216F" w:rsidRDefault="00000000" w:rsidP="0045216F">
      <w:pPr>
        <w:spacing w:after="240" w:line="257" w:lineRule="auto"/>
        <w:ind w:left="725" w:right="23" w:hanging="11"/>
        <w:jc w:val="thaiDistribute"/>
        <w:rPr>
          <w:rFonts w:cs="Times New Roman"/>
          <w:i/>
          <w:iCs/>
          <w:sz w:val="28"/>
          <w:szCs w:val="28"/>
          <w:lang w:val="en-US"/>
        </w:rPr>
      </w:pPr>
      <w:r w:rsidRPr="0045216F">
        <w:rPr>
          <w:rFonts w:cs="Times New Roman"/>
          <w:i/>
          <w:iCs/>
          <w:sz w:val="28"/>
          <w:szCs w:val="28"/>
          <w:lang w:val="en-US"/>
        </w:rPr>
        <w:t xml:space="preserve">Acute Ulcerative Gingivitis:  </w:t>
      </w:r>
    </w:p>
    <w:p w14:paraId="0B4CB781" w14:textId="77777777" w:rsidR="0045216F" w:rsidRDefault="00000000" w:rsidP="0045216F">
      <w:pPr>
        <w:spacing w:after="240" w:line="257" w:lineRule="auto"/>
        <w:ind w:left="725" w:right="23" w:hanging="11"/>
        <w:jc w:val="thaiDistribute"/>
        <w:rPr>
          <w:rFonts w:cs="Times New Roman"/>
          <w:sz w:val="28"/>
          <w:szCs w:val="28"/>
          <w:lang w:val="en-US"/>
        </w:rPr>
      </w:pPr>
      <w:r w:rsidRPr="0045216F">
        <w:rPr>
          <w:rFonts w:cs="Times New Roman"/>
          <w:sz w:val="28"/>
          <w:szCs w:val="28"/>
          <w:u w:val="single"/>
          <w:lang w:val="en-US"/>
        </w:rPr>
        <w:t>Adults:</w:t>
      </w:r>
    </w:p>
    <w:p w14:paraId="2FC39496" w14:textId="192882D1" w:rsidR="000B4013" w:rsidRPr="0045216F" w:rsidRDefault="0045216F" w:rsidP="0045216F">
      <w:pPr>
        <w:ind w:left="725" w:right="23"/>
        <w:jc w:val="thaiDistribute"/>
        <w:rPr>
          <w:rFonts w:cs="Times New Roman"/>
          <w:sz w:val="28"/>
          <w:szCs w:val="28"/>
          <w:lang w:val="en-US"/>
        </w:rPr>
      </w:pPr>
      <w:r>
        <w:rPr>
          <w:rFonts w:cs="Times New Roman"/>
          <w:sz w:val="28"/>
          <w:szCs w:val="28"/>
          <w:lang w:val="en-US"/>
        </w:rPr>
        <w:t>A</w:t>
      </w:r>
      <w:r w:rsidR="00000000" w:rsidRPr="0045216F">
        <w:rPr>
          <w:rFonts w:cs="Times New Roman"/>
          <w:sz w:val="28"/>
          <w:szCs w:val="28"/>
          <w:lang w:val="en-US"/>
        </w:rPr>
        <w:t xml:space="preserve"> single oral dose of 2g.  </w:t>
      </w:r>
    </w:p>
    <w:p w14:paraId="7D280EBD" w14:textId="77777777" w:rsidR="000B4013" w:rsidRPr="0045216F" w:rsidRDefault="00000000" w:rsidP="0045216F">
      <w:pPr>
        <w:spacing w:after="44" w:line="259" w:lineRule="auto"/>
        <w:ind w:left="735" w:firstLine="0"/>
        <w:jc w:val="thaiDistribute"/>
        <w:rPr>
          <w:rFonts w:cs="Times New Roman"/>
          <w:sz w:val="28"/>
          <w:szCs w:val="28"/>
          <w:lang w:val="en-US"/>
        </w:rPr>
      </w:pPr>
      <w:r w:rsidRPr="0045216F">
        <w:rPr>
          <w:rFonts w:cs="Times New Roman"/>
          <w:sz w:val="28"/>
          <w:szCs w:val="28"/>
          <w:lang w:val="en-US"/>
        </w:rPr>
        <w:t xml:space="preserve">  </w:t>
      </w:r>
    </w:p>
    <w:p w14:paraId="08EE8286" w14:textId="77777777" w:rsidR="0045216F" w:rsidRDefault="0045216F" w:rsidP="0045216F">
      <w:pPr>
        <w:spacing w:after="160" w:line="278" w:lineRule="auto"/>
        <w:ind w:left="0" w:firstLine="0"/>
        <w:jc w:val="thaiDistribute"/>
        <w:rPr>
          <w:rFonts w:cs="Times New Roman"/>
          <w:i/>
          <w:iCs/>
          <w:sz w:val="28"/>
          <w:szCs w:val="28"/>
          <w:lang w:val="en-US"/>
        </w:rPr>
      </w:pPr>
      <w:r>
        <w:rPr>
          <w:rFonts w:cs="Times New Roman"/>
          <w:i/>
          <w:iCs/>
          <w:sz w:val="28"/>
          <w:szCs w:val="28"/>
          <w:lang w:val="en-US"/>
        </w:rPr>
        <w:br w:type="page"/>
      </w:r>
    </w:p>
    <w:p w14:paraId="04CA571C" w14:textId="44D4B723" w:rsidR="000B4013" w:rsidRPr="0045216F" w:rsidRDefault="00000000" w:rsidP="0045216F">
      <w:pPr>
        <w:spacing w:after="240" w:line="360" w:lineRule="auto"/>
        <w:ind w:left="720" w:right="23" w:firstLine="0"/>
        <w:jc w:val="thaiDistribute"/>
        <w:rPr>
          <w:rFonts w:cs="Times New Roman"/>
          <w:sz w:val="28"/>
          <w:szCs w:val="28"/>
          <w:lang w:val="en-US"/>
        </w:rPr>
      </w:pPr>
      <w:r w:rsidRPr="0045216F">
        <w:rPr>
          <w:rFonts w:cs="Times New Roman"/>
          <w:i/>
          <w:iCs/>
          <w:sz w:val="28"/>
          <w:szCs w:val="28"/>
          <w:lang w:val="en-US"/>
        </w:rPr>
        <w:lastRenderedPageBreak/>
        <w:t>Urogenital trichomoniasis:</w:t>
      </w:r>
      <w:r w:rsidR="0045216F">
        <w:rPr>
          <w:rFonts w:cs="Times New Roman"/>
          <w:i/>
          <w:iCs/>
          <w:sz w:val="28"/>
          <w:szCs w:val="28"/>
          <w:lang w:val="en-US"/>
        </w:rPr>
        <w:t xml:space="preserve"> </w:t>
      </w:r>
      <w:r w:rsidR="0045216F" w:rsidRPr="0045216F">
        <w:rPr>
          <w:rFonts w:cs="Times New Roman"/>
          <w:sz w:val="28"/>
          <w:szCs w:val="28"/>
          <w:lang w:val="en-US"/>
        </w:rPr>
        <w:t xml:space="preserve">(when infection with </w:t>
      </w:r>
      <w:r w:rsidR="0045216F" w:rsidRPr="0045216F">
        <w:rPr>
          <w:rFonts w:cs="Times New Roman"/>
          <w:i/>
          <w:sz w:val="28"/>
          <w:szCs w:val="28"/>
          <w:lang w:val="en-US"/>
        </w:rPr>
        <w:t>Trichomonas vaginalis</w:t>
      </w:r>
      <w:r w:rsidR="0045216F" w:rsidRPr="0045216F">
        <w:rPr>
          <w:rFonts w:cs="Times New Roman"/>
          <w:sz w:val="28"/>
          <w:szCs w:val="28"/>
          <w:lang w:val="en-US"/>
        </w:rPr>
        <w:t xml:space="preserve"> is confirmed, simultaneous treatment of the consort is recommended). </w:t>
      </w:r>
    </w:p>
    <w:p w14:paraId="68312178" w14:textId="77777777" w:rsidR="0045216F" w:rsidRDefault="00000000" w:rsidP="0045216F">
      <w:pPr>
        <w:spacing w:after="0" w:line="360" w:lineRule="auto"/>
        <w:ind w:left="725" w:right="23" w:hanging="11"/>
        <w:jc w:val="thaiDistribute"/>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7EDF034D" w14:textId="1A04698F"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A</w:t>
      </w:r>
      <w:r w:rsidR="00000000" w:rsidRPr="0045216F">
        <w:rPr>
          <w:rFonts w:cs="Times New Roman"/>
          <w:sz w:val="28"/>
          <w:szCs w:val="28"/>
          <w:lang w:val="en-US"/>
        </w:rPr>
        <w:t xml:space="preserve"> single dose of 2g.  </w:t>
      </w:r>
    </w:p>
    <w:p w14:paraId="3CB3746D" w14:textId="77777777" w:rsidR="0045216F" w:rsidRDefault="00000000" w:rsidP="0045216F">
      <w:pPr>
        <w:spacing w:after="0" w:line="360" w:lineRule="auto"/>
        <w:ind w:left="725" w:right="23" w:hanging="11"/>
        <w:jc w:val="thaiDistribute"/>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w:t>
      </w:r>
    </w:p>
    <w:p w14:paraId="18FD73C0" w14:textId="2E397934"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 xml:space="preserve">A </w:t>
      </w:r>
      <w:r w:rsidR="00000000" w:rsidRPr="0045216F">
        <w:rPr>
          <w:rFonts w:cs="Times New Roman"/>
          <w:sz w:val="28"/>
          <w:szCs w:val="28"/>
          <w:lang w:val="en-US"/>
        </w:rPr>
        <w:t xml:space="preserve">single dose of 50 to 75mg/kg of body weight.  It may be necessary to repeat this dose.  </w:t>
      </w:r>
    </w:p>
    <w:p w14:paraId="4E4E44A5" w14:textId="77777777" w:rsidR="000B4013" w:rsidRPr="0045216F" w:rsidRDefault="00000000" w:rsidP="0045216F">
      <w:pPr>
        <w:spacing w:after="240" w:line="360" w:lineRule="auto"/>
        <w:ind w:left="725" w:right="23" w:hanging="11"/>
        <w:jc w:val="thaiDistribute"/>
        <w:rPr>
          <w:rFonts w:cs="Times New Roman"/>
          <w:i/>
          <w:iCs/>
          <w:sz w:val="28"/>
          <w:szCs w:val="28"/>
          <w:lang w:val="en-US"/>
        </w:rPr>
      </w:pPr>
      <w:r w:rsidRPr="0045216F">
        <w:rPr>
          <w:rFonts w:cs="Times New Roman"/>
          <w:i/>
          <w:iCs/>
          <w:sz w:val="28"/>
          <w:szCs w:val="28"/>
          <w:lang w:val="en-US"/>
        </w:rPr>
        <w:t xml:space="preserve">Giardiasis:  </w:t>
      </w:r>
    </w:p>
    <w:p w14:paraId="57C8E133" w14:textId="77777777" w:rsidR="0045216F" w:rsidRDefault="00000000" w:rsidP="0045216F">
      <w:pPr>
        <w:spacing w:after="0" w:line="360" w:lineRule="auto"/>
        <w:ind w:left="725" w:right="23" w:hanging="11"/>
        <w:jc w:val="thaiDistribute"/>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2BAC5B1D" w14:textId="4A5C738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a single dose of 2g.  </w:t>
      </w:r>
    </w:p>
    <w:p w14:paraId="19BE5FCD" w14:textId="77777777" w:rsidR="0045216F" w:rsidRDefault="00000000" w:rsidP="0045216F">
      <w:pPr>
        <w:spacing w:before="240" w:after="0" w:line="360" w:lineRule="auto"/>
        <w:ind w:left="725" w:right="23" w:hanging="11"/>
        <w:jc w:val="thaiDistribute"/>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w:t>
      </w:r>
    </w:p>
    <w:p w14:paraId="6A4648B2" w14:textId="40673AE6"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 xml:space="preserve">A </w:t>
      </w:r>
      <w:r w:rsidR="00000000" w:rsidRPr="0045216F">
        <w:rPr>
          <w:rFonts w:cs="Times New Roman"/>
          <w:sz w:val="28"/>
          <w:szCs w:val="28"/>
          <w:lang w:val="en-US"/>
        </w:rPr>
        <w:t xml:space="preserve">single dose of 50 to 75mg/kg of body weight.  It may be necessary to repeat this dose.  </w:t>
      </w:r>
    </w:p>
    <w:p w14:paraId="255FB6D2" w14:textId="77777777" w:rsidR="000B4013" w:rsidRPr="0045216F" w:rsidRDefault="00000000" w:rsidP="0045216F">
      <w:pPr>
        <w:spacing w:after="52" w:line="360" w:lineRule="auto"/>
        <w:ind w:left="725" w:right="23"/>
        <w:jc w:val="thaiDistribute"/>
        <w:rPr>
          <w:rFonts w:cs="Times New Roman"/>
          <w:i/>
          <w:iCs/>
          <w:sz w:val="28"/>
          <w:szCs w:val="28"/>
          <w:lang w:val="en-US"/>
        </w:rPr>
      </w:pPr>
      <w:r w:rsidRPr="0045216F">
        <w:rPr>
          <w:rFonts w:cs="Times New Roman"/>
          <w:i/>
          <w:iCs/>
          <w:sz w:val="28"/>
          <w:szCs w:val="28"/>
          <w:lang w:val="en-US"/>
        </w:rPr>
        <w:t xml:space="preserve">Intestinal Amoebiasis:  </w:t>
      </w:r>
    </w:p>
    <w:p w14:paraId="55E0A497" w14:textId="77777777" w:rsidR="0045216F" w:rsidRPr="0045216F" w:rsidRDefault="00000000" w:rsidP="0045216F">
      <w:pPr>
        <w:spacing w:after="3" w:line="360" w:lineRule="auto"/>
        <w:ind w:left="725" w:right="23"/>
        <w:jc w:val="thaiDistribute"/>
        <w:rPr>
          <w:rFonts w:cs="Times New Roman"/>
          <w:sz w:val="28"/>
          <w:szCs w:val="28"/>
          <w:u w:val="single"/>
          <w:lang w:val="en-US"/>
        </w:rPr>
      </w:pPr>
      <w:r w:rsidRPr="0045216F">
        <w:rPr>
          <w:rFonts w:cs="Times New Roman"/>
          <w:sz w:val="28"/>
          <w:szCs w:val="28"/>
          <w:u w:val="single"/>
          <w:lang w:val="en-US"/>
        </w:rPr>
        <w:t xml:space="preserve">Adults: </w:t>
      </w:r>
    </w:p>
    <w:p w14:paraId="63F56E2E" w14:textId="229936D6"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 xml:space="preserve">A </w:t>
      </w:r>
      <w:r w:rsidR="00000000" w:rsidRPr="0045216F">
        <w:rPr>
          <w:rFonts w:cs="Times New Roman"/>
          <w:sz w:val="28"/>
          <w:szCs w:val="28"/>
          <w:lang w:val="en-US"/>
        </w:rPr>
        <w:t xml:space="preserve">single daily dose of 2g for 2 to 3 days.  </w:t>
      </w:r>
    </w:p>
    <w:p w14:paraId="78ED6F6F" w14:textId="77777777" w:rsidR="0045216F" w:rsidRDefault="00000000" w:rsidP="0045216F">
      <w:pPr>
        <w:spacing w:line="360" w:lineRule="auto"/>
        <w:ind w:left="725" w:right="23"/>
        <w:jc w:val="thaiDistribute"/>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w:t>
      </w:r>
    </w:p>
    <w:p w14:paraId="1FCA32A1" w14:textId="0C4C16BB"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A</w:t>
      </w:r>
      <w:r w:rsidR="00000000" w:rsidRPr="0045216F">
        <w:rPr>
          <w:rFonts w:cs="Times New Roman"/>
          <w:sz w:val="28"/>
          <w:szCs w:val="28"/>
          <w:lang w:val="en-US"/>
        </w:rPr>
        <w:t xml:space="preserve"> single daily dose of 50 to 60mg/kg of body weight on each of 3 successive days.   </w:t>
      </w:r>
    </w:p>
    <w:p w14:paraId="44B349DE" w14:textId="77777777" w:rsidR="0045216F" w:rsidRDefault="0045216F" w:rsidP="0045216F">
      <w:pPr>
        <w:spacing w:after="160" w:line="278" w:lineRule="auto"/>
        <w:ind w:left="0" w:firstLine="0"/>
        <w:jc w:val="thaiDistribute"/>
        <w:rPr>
          <w:rFonts w:cs="Times New Roman"/>
          <w:i/>
          <w:iCs/>
          <w:sz w:val="28"/>
          <w:szCs w:val="28"/>
          <w:lang w:val="en-US"/>
        </w:rPr>
      </w:pPr>
      <w:r>
        <w:rPr>
          <w:rFonts w:cs="Times New Roman"/>
          <w:i/>
          <w:iCs/>
          <w:sz w:val="28"/>
          <w:szCs w:val="28"/>
          <w:lang w:val="en-US"/>
        </w:rPr>
        <w:br w:type="page"/>
      </w:r>
    </w:p>
    <w:p w14:paraId="2B050EF9" w14:textId="760F516A" w:rsidR="000B4013" w:rsidRPr="0045216F" w:rsidRDefault="00000000" w:rsidP="0045216F">
      <w:pPr>
        <w:spacing w:after="240" w:line="257" w:lineRule="auto"/>
        <w:ind w:left="725" w:right="23" w:hanging="11"/>
        <w:jc w:val="thaiDistribute"/>
        <w:rPr>
          <w:rFonts w:cs="Times New Roman"/>
          <w:i/>
          <w:iCs/>
          <w:sz w:val="28"/>
          <w:szCs w:val="28"/>
          <w:lang w:val="en-US"/>
        </w:rPr>
      </w:pPr>
      <w:r w:rsidRPr="0045216F">
        <w:rPr>
          <w:rFonts w:cs="Times New Roman"/>
          <w:i/>
          <w:iCs/>
          <w:sz w:val="28"/>
          <w:szCs w:val="28"/>
          <w:lang w:val="en-US"/>
        </w:rPr>
        <w:lastRenderedPageBreak/>
        <w:t xml:space="preserve">Amoebic involvement in the liver:  </w:t>
      </w:r>
    </w:p>
    <w:p w14:paraId="02A3F179" w14:textId="77777777" w:rsidR="0045216F" w:rsidRDefault="00000000" w:rsidP="0045216F">
      <w:pPr>
        <w:spacing w:line="360" w:lineRule="auto"/>
        <w:ind w:left="725" w:right="23"/>
        <w:jc w:val="thaiDistribute"/>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7C1C410B" w14:textId="667372FD" w:rsidR="000B4013" w:rsidRPr="0045216F" w:rsidRDefault="0045216F" w:rsidP="0045216F">
      <w:pPr>
        <w:spacing w:after="240" w:line="360" w:lineRule="auto"/>
        <w:ind w:left="725" w:right="23" w:hanging="11"/>
        <w:jc w:val="thaiDistribute"/>
        <w:rPr>
          <w:rFonts w:cs="Times New Roman"/>
          <w:sz w:val="28"/>
          <w:szCs w:val="28"/>
          <w:lang w:val="en-US"/>
        </w:rPr>
      </w:pPr>
      <w:r>
        <w:rPr>
          <w:rFonts w:cs="Times New Roman"/>
          <w:sz w:val="28"/>
          <w:szCs w:val="28"/>
          <w:lang w:val="en-US"/>
        </w:rPr>
        <w:t>T</w:t>
      </w:r>
      <w:r w:rsidR="00000000" w:rsidRPr="0045216F">
        <w:rPr>
          <w:rFonts w:cs="Times New Roman"/>
          <w:sz w:val="28"/>
          <w:szCs w:val="28"/>
          <w:lang w:val="en-US"/>
        </w:rPr>
        <w:t xml:space="preserve">otal dosage varies from 4.5 to 12g, depending on the virulence of the </w:t>
      </w:r>
      <w:r w:rsidR="00000000" w:rsidRPr="0045216F">
        <w:rPr>
          <w:rFonts w:cs="Times New Roman"/>
          <w:i/>
          <w:sz w:val="28"/>
          <w:szCs w:val="28"/>
          <w:lang w:val="en-US"/>
        </w:rPr>
        <w:t>Entamoeba histolytica</w:t>
      </w:r>
      <w:r w:rsidR="00000000" w:rsidRPr="0045216F">
        <w:rPr>
          <w:rFonts w:cs="Times New Roman"/>
          <w:sz w:val="28"/>
          <w:szCs w:val="28"/>
          <w:lang w:val="en-US"/>
        </w:rPr>
        <w:t xml:space="preserve">.  </w:t>
      </w:r>
    </w:p>
    <w:p w14:paraId="62F833FC" w14:textId="7777777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For amoebic involvement of the liver, the aspiration of pus may be required in addition to therapy with </w:t>
      </w:r>
      <w:r w:rsidRPr="0045216F">
        <w:rPr>
          <w:rFonts w:cs="Times New Roman"/>
          <w:color w:val="FF0000"/>
          <w:sz w:val="28"/>
          <w:szCs w:val="28"/>
          <w:lang w:val="en-US"/>
        </w:rPr>
        <w:t>&lt;Generic Name&gt;</w:t>
      </w:r>
      <w:r w:rsidRPr="0045216F">
        <w:rPr>
          <w:rFonts w:cs="Times New Roman"/>
          <w:sz w:val="28"/>
          <w:szCs w:val="28"/>
          <w:lang w:val="en-US"/>
        </w:rPr>
        <w:t xml:space="preserve">.  </w:t>
      </w:r>
    </w:p>
    <w:p w14:paraId="66EF4773" w14:textId="77777777" w:rsidR="000B4013" w:rsidRPr="0045216F" w:rsidRDefault="00000000" w:rsidP="0045216F">
      <w:pPr>
        <w:spacing w:after="240" w:line="360" w:lineRule="auto"/>
        <w:ind w:left="732" w:right="-6" w:hanging="23"/>
        <w:jc w:val="thaiDistribute"/>
        <w:rPr>
          <w:rFonts w:cs="Times New Roman"/>
          <w:sz w:val="28"/>
          <w:szCs w:val="28"/>
          <w:lang w:val="en-US"/>
        </w:rPr>
      </w:pPr>
      <w:r w:rsidRPr="0045216F">
        <w:rPr>
          <w:rFonts w:cs="Times New Roman"/>
          <w:sz w:val="28"/>
          <w:szCs w:val="28"/>
          <w:lang w:val="en-US"/>
        </w:rPr>
        <w:t xml:space="preserve">Initiate treatment with 1.5 to 2g as a single oral daily dose for three days.  Occasionally when a </w:t>
      </w:r>
      <w:proofErr w:type="gramStart"/>
      <w:r w:rsidRPr="0045216F">
        <w:rPr>
          <w:rFonts w:cs="Times New Roman"/>
          <w:sz w:val="28"/>
          <w:szCs w:val="28"/>
          <w:lang w:val="en-US"/>
        </w:rPr>
        <w:t>three day</w:t>
      </w:r>
      <w:proofErr w:type="gramEnd"/>
      <w:r w:rsidRPr="0045216F">
        <w:rPr>
          <w:rFonts w:cs="Times New Roman"/>
          <w:sz w:val="28"/>
          <w:szCs w:val="28"/>
          <w:lang w:val="en-US"/>
        </w:rPr>
        <w:t xml:space="preserve"> course is ineffective, treatment may be continued for up to six days.  </w:t>
      </w:r>
    </w:p>
    <w:p w14:paraId="0494FF1E" w14:textId="7777777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a single dose of 50 to 60 mg/kg of body weight per day for five successive days.  </w:t>
      </w:r>
    </w:p>
    <w:p w14:paraId="169D8C9C" w14:textId="77777777" w:rsidR="0045216F" w:rsidRDefault="00000000" w:rsidP="0045216F">
      <w:pPr>
        <w:spacing w:after="240" w:line="360" w:lineRule="auto"/>
        <w:ind w:left="737" w:firstLine="0"/>
        <w:rPr>
          <w:rFonts w:cs="Times New Roman"/>
          <w:sz w:val="28"/>
          <w:szCs w:val="28"/>
          <w:u w:val="single"/>
          <w:lang w:val="en-US"/>
        </w:rPr>
      </w:pPr>
      <w:r w:rsidRPr="0045216F">
        <w:rPr>
          <w:rFonts w:cs="Times New Roman"/>
          <w:sz w:val="28"/>
          <w:szCs w:val="28"/>
          <w:u w:val="single"/>
          <w:lang w:val="en-US"/>
        </w:rPr>
        <w:t xml:space="preserve">Use in Renal impairment  </w:t>
      </w:r>
    </w:p>
    <w:p w14:paraId="00B5A8E0" w14:textId="307B55B8" w:rsidR="000B4013" w:rsidRPr="0045216F" w:rsidRDefault="0045216F" w:rsidP="0045216F">
      <w:pPr>
        <w:spacing w:after="44" w:line="360" w:lineRule="auto"/>
        <w:ind w:left="735" w:firstLine="0"/>
        <w:jc w:val="thaiDistribute"/>
        <w:rPr>
          <w:rFonts w:cs="Times New Roman"/>
          <w:sz w:val="28"/>
          <w:szCs w:val="28"/>
          <w:u w:val="single"/>
          <w:lang w:val="en-US"/>
        </w:rPr>
      </w:pPr>
      <w:r w:rsidRPr="0045216F">
        <w:rPr>
          <w:rFonts w:cs="Times New Roman"/>
          <w:sz w:val="28"/>
          <w:szCs w:val="28"/>
          <w:lang w:val="en-US"/>
        </w:rPr>
        <w:t xml:space="preserve">Dosage adjustments in patients with impaired renal function are generally not necessary.  However, because tinidazole is easily removed by haemodialysis, patients may require additional doses of tinidazole to compensate.  </w:t>
      </w:r>
    </w:p>
    <w:p w14:paraId="541C4E33" w14:textId="77777777" w:rsidR="000B4013" w:rsidRPr="0045216F" w:rsidRDefault="00000000" w:rsidP="0045216F">
      <w:pPr>
        <w:spacing w:after="240" w:line="257" w:lineRule="auto"/>
        <w:ind w:left="725" w:right="23" w:hanging="11"/>
        <w:rPr>
          <w:rFonts w:cs="Times New Roman"/>
          <w:i/>
          <w:iCs/>
          <w:sz w:val="28"/>
          <w:szCs w:val="28"/>
          <w:lang w:val="en-US"/>
        </w:rPr>
      </w:pPr>
      <w:r w:rsidRPr="0045216F">
        <w:rPr>
          <w:rFonts w:cs="Times New Roman"/>
          <w:i/>
          <w:iCs/>
          <w:sz w:val="28"/>
          <w:szCs w:val="28"/>
          <w:lang w:val="en-US"/>
        </w:rPr>
        <w:t xml:space="preserve">Prevention of post-operative infection:  </w:t>
      </w:r>
    </w:p>
    <w:p w14:paraId="658AC558" w14:textId="77777777" w:rsidR="0045216F" w:rsidRDefault="00000000" w:rsidP="0045216F">
      <w:pPr>
        <w:spacing w:line="360" w:lineRule="auto"/>
        <w:ind w:left="725" w:right="23"/>
        <w:rPr>
          <w:rFonts w:cs="Times New Roman"/>
          <w:sz w:val="28"/>
          <w:szCs w:val="28"/>
          <w:lang w:val="en-US"/>
        </w:rPr>
      </w:pPr>
      <w:r w:rsidRPr="0045216F">
        <w:rPr>
          <w:rFonts w:cs="Times New Roman"/>
          <w:sz w:val="28"/>
          <w:szCs w:val="28"/>
          <w:u w:val="single"/>
          <w:lang w:val="en-US"/>
        </w:rPr>
        <w:t>Adults</w:t>
      </w:r>
      <w:r w:rsidRPr="0045216F">
        <w:rPr>
          <w:rFonts w:cs="Times New Roman"/>
          <w:sz w:val="28"/>
          <w:szCs w:val="28"/>
          <w:lang w:val="en-US"/>
        </w:rPr>
        <w:t xml:space="preserve">: </w:t>
      </w:r>
    </w:p>
    <w:p w14:paraId="7783F50C" w14:textId="77777777" w:rsidR="0045216F" w:rsidRDefault="0045216F" w:rsidP="0045216F">
      <w:pPr>
        <w:spacing w:after="240" w:line="360" w:lineRule="auto"/>
        <w:ind w:left="725" w:right="23" w:hanging="11"/>
        <w:rPr>
          <w:rFonts w:cs="Times New Roman"/>
          <w:sz w:val="28"/>
          <w:szCs w:val="28"/>
          <w:lang w:val="en-US"/>
        </w:rPr>
      </w:pPr>
      <w:r>
        <w:rPr>
          <w:rFonts w:cs="Times New Roman"/>
          <w:sz w:val="28"/>
          <w:szCs w:val="28"/>
          <w:lang w:val="en-US"/>
        </w:rPr>
        <w:t>A</w:t>
      </w:r>
      <w:r w:rsidR="00000000" w:rsidRPr="0045216F">
        <w:rPr>
          <w:rFonts w:cs="Times New Roman"/>
          <w:sz w:val="28"/>
          <w:szCs w:val="28"/>
          <w:lang w:val="en-US"/>
        </w:rPr>
        <w:t xml:space="preserve"> single dose of 2g approximately 12 hours before surgery. </w:t>
      </w:r>
    </w:p>
    <w:p w14:paraId="3688CC52" w14:textId="77777777" w:rsidR="0045216F" w:rsidRDefault="00000000" w:rsidP="0045216F">
      <w:pPr>
        <w:spacing w:after="240" w:line="360" w:lineRule="auto"/>
        <w:ind w:left="725" w:right="23" w:hanging="11"/>
        <w:rPr>
          <w:rFonts w:cs="Times New Roman"/>
          <w:sz w:val="28"/>
          <w:szCs w:val="28"/>
          <w:lang w:val="en-US"/>
        </w:rPr>
      </w:pPr>
      <w:r w:rsidRPr="0045216F">
        <w:rPr>
          <w:rFonts w:cs="Times New Roman"/>
          <w:sz w:val="28"/>
          <w:szCs w:val="28"/>
          <w:u w:val="single"/>
          <w:lang w:val="en-US"/>
        </w:rPr>
        <w:t>Children:</w:t>
      </w:r>
      <w:r w:rsidRPr="0045216F">
        <w:rPr>
          <w:rFonts w:cs="Times New Roman"/>
          <w:sz w:val="28"/>
          <w:szCs w:val="28"/>
          <w:lang w:val="en-US"/>
        </w:rPr>
        <w:t xml:space="preserve"> &lt; 12 years – there is no data available.  </w:t>
      </w:r>
    </w:p>
    <w:p w14:paraId="7957F702" w14:textId="77777777" w:rsidR="0045216F" w:rsidRDefault="00000000" w:rsidP="0045216F">
      <w:pPr>
        <w:spacing w:line="360" w:lineRule="auto"/>
        <w:ind w:left="725" w:right="23"/>
        <w:rPr>
          <w:lang w:val="en-US"/>
        </w:rPr>
      </w:pPr>
      <w:r w:rsidRPr="0045216F">
        <w:rPr>
          <w:rFonts w:cs="Times New Roman"/>
          <w:sz w:val="28"/>
          <w:szCs w:val="28"/>
          <w:lang w:val="en-US"/>
        </w:rPr>
        <w:t>It is recommended that tinidazole be taken during or after a meal</w:t>
      </w:r>
      <w:r w:rsidR="0045216F">
        <w:rPr>
          <w:lang w:val="en-US"/>
        </w:rPr>
        <w:t>.</w:t>
      </w:r>
    </w:p>
    <w:p w14:paraId="6A0BB70C" w14:textId="77777777" w:rsidR="0045216F" w:rsidRDefault="0045216F" w:rsidP="0045216F">
      <w:pPr>
        <w:spacing w:after="240" w:line="360" w:lineRule="auto"/>
        <w:ind w:left="725" w:right="23" w:hanging="11"/>
        <w:rPr>
          <w:rFonts w:cs="Times New Roman"/>
          <w:sz w:val="28"/>
          <w:szCs w:val="28"/>
          <w:lang w:val="en-US"/>
        </w:rPr>
      </w:pPr>
      <w:r w:rsidRPr="0045216F">
        <w:rPr>
          <w:rFonts w:cs="Times New Roman"/>
          <w:sz w:val="28"/>
          <w:szCs w:val="28"/>
          <w:lang w:val="en-US"/>
        </w:rPr>
        <w:lastRenderedPageBreak/>
        <w:t xml:space="preserve">Use in the elderly: there are no special recommendations for this age group.  </w:t>
      </w:r>
    </w:p>
    <w:p w14:paraId="10188855" w14:textId="757A25DE" w:rsidR="0045216F" w:rsidRPr="0045216F" w:rsidRDefault="0045216F" w:rsidP="0045216F">
      <w:pPr>
        <w:spacing w:after="240" w:line="360" w:lineRule="auto"/>
        <w:ind w:left="725" w:right="23" w:hanging="11"/>
        <w:rPr>
          <w:rFonts w:cs="Times New Roman"/>
          <w:i/>
          <w:iCs/>
          <w:sz w:val="28"/>
          <w:szCs w:val="28"/>
          <w:lang w:val="en-US"/>
        </w:rPr>
      </w:pPr>
      <w:r w:rsidRPr="0045216F">
        <w:rPr>
          <w:rFonts w:cs="Times New Roman"/>
          <w:i/>
          <w:iCs/>
          <w:sz w:val="28"/>
          <w:szCs w:val="28"/>
          <w:lang w:val="en-US"/>
        </w:rPr>
        <w:t xml:space="preserve">Method of administration  </w:t>
      </w:r>
    </w:p>
    <w:p w14:paraId="63887BB8" w14:textId="1832EF49" w:rsidR="000B4013" w:rsidRPr="0045216F" w:rsidRDefault="0045216F" w:rsidP="0045216F">
      <w:pPr>
        <w:spacing w:after="240" w:line="360" w:lineRule="auto"/>
        <w:ind w:left="725" w:right="23" w:hanging="11"/>
        <w:rPr>
          <w:rFonts w:cs="Times New Roman"/>
          <w:sz w:val="28"/>
          <w:szCs w:val="28"/>
          <w:lang w:val="en-US"/>
        </w:rPr>
      </w:pPr>
      <w:r w:rsidRPr="0045216F">
        <w:rPr>
          <w:rFonts w:cs="Times New Roman"/>
          <w:sz w:val="28"/>
          <w:szCs w:val="28"/>
          <w:lang w:val="en-US"/>
        </w:rPr>
        <w:t>Oral administration.  Swallow tablets whole with a glass of water during or after a meal</w:t>
      </w:r>
      <w:r w:rsidR="00000000" w:rsidRPr="0045216F">
        <w:rPr>
          <w:rFonts w:cs="Times New Roman"/>
          <w:sz w:val="28"/>
          <w:szCs w:val="28"/>
          <w:lang w:val="en-US"/>
        </w:rPr>
        <w:t xml:space="preserve">.  </w:t>
      </w:r>
    </w:p>
    <w:p w14:paraId="3DFDE94F" w14:textId="32232086" w:rsidR="000B4013" w:rsidRPr="0045216F" w:rsidRDefault="00000000" w:rsidP="0045216F">
      <w:pPr>
        <w:pStyle w:val="Heading3"/>
        <w:numPr>
          <w:ilvl w:val="1"/>
          <w:numId w:val="3"/>
        </w:numPr>
        <w:tabs>
          <w:tab w:val="center" w:pos="1664"/>
        </w:tabs>
        <w:spacing w:after="240"/>
        <w:ind w:left="788" w:hanging="431"/>
        <w:rPr>
          <w:sz w:val="28"/>
          <w:szCs w:val="28"/>
        </w:rPr>
      </w:pPr>
      <w:r w:rsidRPr="0045216F">
        <w:rPr>
          <w:sz w:val="28"/>
          <w:szCs w:val="28"/>
        </w:rPr>
        <w:t xml:space="preserve">Contraindications  </w:t>
      </w:r>
    </w:p>
    <w:p w14:paraId="136FB0C5" w14:textId="5ACBB80C" w:rsidR="000B4013" w:rsidRPr="0045216F" w:rsidRDefault="00000000" w:rsidP="0045216F">
      <w:pPr>
        <w:pStyle w:val="ListParagraph"/>
        <w:numPr>
          <w:ilvl w:val="0"/>
          <w:numId w:val="7"/>
        </w:numPr>
        <w:spacing w:after="240" w:line="360" w:lineRule="auto"/>
        <w:ind w:left="1440" w:hanging="357"/>
        <w:contextualSpacing w:val="0"/>
        <w:jc w:val="thaiDistribute"/>
        <w:rPr>
          <w:sz w:val="28"/>
          <w:szCs w:val="32"/>
          <w:lang w:val="en-US"/>
        </w:rPr>
      </w:pPr>
      <w:r w:rsidRPr="0045216F">
        <w:rPr>
          <w:sz w:val="28"/>
          <w:szCs w:val="32"/>
          <w:lang w:val="en-US"/>
        </w:rPr>
        <w:t xml:space="preserve">Hypersensitivity to the active substance or to any of the excipients listed in section 6.1.  </w:t>
      </w:r>
    </w:p>
    <w:p w14:paraId="48453C98" w14:textId="4EE62FBB" w:rsidR="000B4013" w:rsidRPr="0045216F" w:rsidRDefault="00000000" w:rsidP="0045216F">
      <w:pPr>
        <w:pStyle w:val="ListParagraph"/>
        <w:numPr>
          <w:ilvl w:val="0"/>
          <w:numId w:val="7"/>
        </w:numPr>
        <w:spacing w:after="240" w:line="360" w:lineRule="auto"/>
        <w:ind w:left="1440" w:hanging="357"/>
        <w:contextualSpacing w:val="0"/>
        <w:jc w:val="thaiDistribute"/>
        <w:rPr>
          <w:sz w:val="28"/>
          <w:szCs w:val="32"/>
          <w:lang w:val="en-US"/>
        </w:rPr>
      </w:pPr>
      <w:r w:rsidRPr="0045216F">
        <w:rPr>
          <w:sz w:val="28"/>
          <w:szCs w:val="32"/>
          <w:lang w:val="en-US"/>
        </w:rPr>
        <w:t xml:space="preserve">As with other drugs of similar structure, tinidazole is contraindicated in patients having, or with a history of, blood dyscrasia, although no persistent haematological abnormalities have been noted in clinical or animal studies.  </w:t>
      </w:r>
    </w:p>
    <w:p w14:paraId="628E5319" w14:textId="6F5F9C8B" w:rsidR="000B4013" w:rsidRPr="0045216F" w:rsidRDefault="00000000" w:rsidP="0045216F">
      <w:pPr>
        <w:pStyle w:val="ListParagraph"/>
        <w:numPr>
          <w:ilvl w:val="0"/>
          <w:numId w:val="7"/>
        </w:numPr>
        <w:spacing w:after="240" w:line="360" w:lineRule="auto"/>
        <w:ind w:left="1440" w:hanging="357"/>
        <w:contextualSpacing w:val="0"/>
        <w:jc w:val="thaiDistribute"/>
        <w:rPr>
          <w:sz w:val="28"/>
          <w:szCs w:val="32"/>
          <w:lang w:val="en-US"/>
        </w:rPr>
      </w:pPr>
      <w:r w:rsidRPr="0045216F">
        <w:rPr>
          <w:sz w:val="28"/>
          <w:szCs w:val="32"/>
          <w:lang w:val="en-US"/>
        </w:rPr>
        <w:t xml:space="preserve">Tinidazole should be avoided in patients with organic neurological disorders.  </w:t>
      </w:r>
    </w:p>
    <w:p w14:paraId="4DC9D8FC" w14:textId="420AE457" w:rsidR="000B4013" w:rsidRPr="0045216F" w:rsidRDefault="00000000" w:rsidP="0045216F">
      <w:pPr>
        <w:pStyle w:val="ListParagraph"/>
        <w:numPr>
          <w:ilvl w:val="0"/>
          <w:numId w:val="7"/>
        </w:numPr>
        <w:spacing w:after="240" w:line="360" w:lineRule="auto"/>
        <w:ind w:left="1440" w:hanging="357"/>
        <w:contextualSpacing w:val="0"/>
        <w:jc w:val="thaiDistribute"/>
        <w:rPr>
          <w:sz w:val="28"/>
          <w:szCs w:val="32"/>
          <w:lang w:val="en-US"/>
        </w:rPr>
      </w:pPr>
      <w:r w:rsidRPr="0045216F">
        <w:rPr>
          <w:sz w:val="28"/>
          <w:szCs w:val="32"/>
          <w:lang w:val="en-US"/>
        </w:rPr>
        <w:t xml:space="preserve">Tinidazole, other 5-nitroimidazole derivatives or any of the components of this product should not be administered to patients with known hypersensitivity to the drug.  </w:t>
      </w:r>
    </w:p>
    <w:p w14:paraId="539620A0" w14:textId="77777777" w:rsidR="000B4013" w:rsidRPr="0045216F" w:rsidRDefault="00000000" w:rsidP="0045216F">
      <w:pPr>
        <w:pStyle w:val="ListParagraph"/>
        <w:numPr>
          <w:ilvl w:val="0"/>
          <w:numId w:val="7"/>
        </w:numPr>
        <w:spacing w:after="240" w:line="360" w:lineRule="auto"/>
        <w:ind w:left="1440" w:hanging="357"/>
        <w:contextualSpacing w:val="0"/>
        <w:jc w:val="thaiDistribute"/>
        <w:rPr>
          <w:sz w:val="28"/>
          <w:szCs w:val="32"/>
          <w:lang w:val="en-US"/>
        </w:rPr>
      </w:pPr>
      <w:r w:rsidRPr="0045216F">
        <w:rPr>
          <w:sz w:val="28"/>
          <w:szCs w:val="32"/>
          <w:lang w:val="en-US"/>
        </w:rPr>
        <w:t xml:space="preserve">Use of tinidazole is contraindicated during the first trimester of pregnancy and in nursing mothers (see section 4.6).  </w:t>
      </w:r>
    </w:p>
    <w:p w14:paraId="4894CADF" w14:textId="7B0AA67A" w:rsidR="000B4013" w:rsidRPr="0045216F" w:rsidRDefault="00000000" w:rsidP="0045216F">
      <w:pPr>
        <w:pStyle w:val="Heading3"/>
        <w:numPr>
          <w:ilvl w:val="1"/>
          <w:numId w:val="3"/>
        </w:numPr>
        <w:tabs>
          <w:tab w:val="center" w:pos="2838"/>
        </w:tabs>
        <w:spacing w:after="240"/>
        <w:ind w:left="788" w:hanging="431"/>
        <w:rPr>
          <w:sz w:val="28"/>
          <w:szCs w:val="28"/>
        </w:rPr>
      </w:pPr>
      <w:r w:rsidRPr="0045216F">
        <w:rPr>
          <w:sz w:val="28"/>
          <w:szCs w:val="28"/>
        </w:rPr>
        <w:t xml:space="preserve">Special warnings and precautions for use  </w:t>
      </w:r>
    </w:p>
    <w:p w14:paraId="657605F3" w14:textId="33B75FB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As with related compounds, alcoholic beverages should be avoided during</w:t>
      </w:r>
      <w:r w:rsidR="0045216F">
        <w:rPr>
          <w:rFonts w:cs="Times New Roman"/>
          <w:sz w:val="28"/>
          <w:szCs w:val="28"/>
          <w:lang w:val="en-US"/>
        </w:rPr>
        <w:t xml:space="preserve"> </w:t>
      </w:r>
      <w:r w:rsidRPr="0045216F">
        <w:rPr>
          <w:rFonts w:cs="Times New Roman"/>
          <w:color w:val="FF0000"/>
          <w:sz w:val="28"/>
          <w:szCs w:val="28"/>
          <w:lang w:val="en-US"/>
        </w:rPr>
        <w:t>&lt;Generic Name&gt;</w:t>
      </w:r>
      <w:r w:rsidRPr="0045216F">
        <w:rPr>
          <w:rFonts w:cs="Times New Roman"/>
          <w:sz w:val="28"/>
          <w:szCs w:val="28"/>
          <w:lang w:val="en-US"/>
        </w:rPr>
        <w:t xml:space="preserve"> therapy because of the possibility of a </w:t>
      </w:r>
      <w:r w:rsidRPr="0045216F">
        <w:rPr>
          <w:rFonts w:cs="Times New Roman"/>
          <w:sz w:val="28"/>
          <w:szCs w:val="28"/>
          <w:lang w:val="en-US"/>
        </w:rPr>
        <w:lastRenderedPageBreak/>
        <w:t xml:space="preserve">disulfiram-like reaction (flushing, abdominal cramps, vomiting, tachycardia).  Alcohol should be avoided until 72 hours after discontinuing </w:t>
      </w:r>
      <w:r w:rsidRPr="0045216F">
        <w:rPr>
          <w:rFonts w:cs="Times New Roman"/>
          <w:color w:val="FF0000"/>
          <w:sz w:val="28"/>
          <w:szCs w:val="28"/>
          <w:lang w:val="en-US"/>
        </w:rPr>
        <w:t>&lt;Generic Name&gt;</w:t>
      </w:r>
      <w:r w:rsidRPr="0045216F">
        <w:rPr>
          <w:rFonts w:cs="Times New Roman"/>
          <w:sz w:val="28"/>
          <w:szCs w:val="28"/>
          <w:lang w:val="en-US"/>
        </w:rPr>
        <w:t xml:space="preserve">.  </w:t>
      </w:r>
    </w:p>
    <w:p w14:paraId="7BCF37E1" w14:textId="223E4BD1"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Drugs of similar chemical structure have also produced various neurological disturbances such as dizziness, vertigo, incoordination and ataxia.  If during therapy with </w:t>
      </w:r>
      <w:r w:rsidRPr="0045216F">
        <w:rPr>
          <w:rFonts w:cs="Times New Roman"/>
          <w:color w:val="FF0000"/>
          <w:sz w:val="28"/>
          <w:szCs w:val="28"/>
          <w:lang w:val="en-US"/>
        </w:rPr>
        <w:t>&lt;Generic Name&gt;</w:t>
      </w:r>
      <w:r w:rsidRPr="0045216F">
        <w:rPr>
          <w:rFonts w:cs="Times New Roman"/>
          <w:sz w:val="28"/>
          <w:szCs w:val="28"/>
          <w:lang w:val="en-US"/>
        </w:rPr>
        <w:t xml:space="preserve"> abnormal neurological signs develop, therapy should be discontinued.  </w:t>
      </w:r>
    </w:p>
    <w:p w14:paraId="250534B3" w14:textId="77777777" w:rsidR="000B4013" w:rsidRPr="0045216F" w:rsidRDefault="00000000" w:rsidP="0045216F">
      <w:pPr>
        <w:spacing w:after="240" w:line="360" w:lineRule="auto"/>
        <w:ind w:right="23" w:hanging="11"/>
        <w:jc w:val="thaiDistribute"/>
        <w:rPr>
          <w:rFonts w:cs="Times New Roman"/>
          <w:sz w:val="28"/>
          <w:szCs w:val="28"/>
          <w:lang w:val="en-US"/>
        </w:rPr>
      </w:pPr>
      <w:r w:rsidRPr="0045216F">
        <w:rPr>
          <w:rFonts w:cs="Times New Roman"/>
          <w:sz w:val="28"/>
          <w:szCs w:val="28"/>
          <w:lang w:val="en-US"/>
        </w:rPr>
        <w:t xml:space="preserve">Carcinogenicity has been seen in mice and rats treated chronically with metronidazole, another nitroimidazole agent.  Although carcinogenicity data is not available for tinidazole, the two drugs are structurally related and therefore there is a potential for similar biologic effects.  Mutagenicity results with tinidazole were mixed (positive and negative) (see section 5.3). The use of tinidazole for longer treatment than usually required should be carefully considered.  </w:t>
      </w:r>
    </w:p>
    <w:p w14:paraId="7A66BFD7" w14:textId="282CB062" w:rsidR="000B4013" w:rsidRPr="0045216F" w:rsidRDefault="00000000" w:rsidP="0045216F">
      <w:pPr>
        <w:pStyle w:val="Heading3"/>
        <w:numPr>
          <w:ilvl w:val="1"/>
          <w:numId w:val="3"/>
        </w:numPr>
        <w:tabs>
          <w:tab w:val="right" w:pos="8346"/>
        </w:tabs>
        <w:spacing w:after="240"/>
        <w:ind w:left="788" w:hanging="431"/>
        <w:rPr>
          <w:sz w:val="28"/>
          <w:szCs w:val="28"/>
        </w:rPr>
      </w:pPr>
      <w:r w:rsidRPr="0045216F">
        <w:rPr>
          <w:sz w:val="28"/>
          <w:szCs w:val="28"/>
        </w:rPr>
        <w:t xml:space="preserve">Interaction with other medicinal products and other forms of interaction  </w:t>
      </w:r>
    </w:p>
    <w:p w14:paraId="52DA9730" w14:textId="7777777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u w:val="single"/>
          <w:lang w:val="en-US"/>
        </w:rPr>
        <w:t>Alcohol:</w:t>
      </w:r>
      <w:r w:rsidRPr="0045216F">
        <w:rPr>
          <w:rFonts w:cs="Times New Roman"/>
          <w:sz w:val="28"/>
          <w:szCs w:val="28"/>
          <w:lang w:val="en-US"/>
        </w:rPr>
        <w:t xml:space="preserve"> Concurrent use of tinidazole and alcohol may produce a disulfiramlike reaction and should be avoided, (see section 4.4).  </w:t>
      </w:r>
    </w:p>
    <w:p w14:paraId="01F210EB" w14:textId="77777777" w:rsidR="000B4013" w:rsidRPr="0045216F" w:rsidRDefault="00000000" w:rsidP="0045216F">
      <w:pPr>
        <w:spacing w:line="360" w:lineRule="auto"/>
        <w:ind w:left="715" w:right="23" w:firstLine="0"/>
        <w:jc w:val="thaiDistribute"/>
        <w:rPr>
          <w:rFonts w:cs="Times New Roman"/>
          <w:sz w:val="28"/>
          <w:szCs w:val="28"/>
          <w:lang w:val="en-US"/>
        </w:rPr>
      </w:pPr>
      <w:r w:rsidRPr="0045216F">
        <w:rPr>
          <w:rFonts w:cs="Times New Roman"/>
          <w:sz w:val="28"/>
          <w:szCs w:val="28"/>
          <w:u w:val="single"/>
          <w:lang w:val="en-US"/>
        </w:rPr>
        <w:t>Anticoagulants:</w:t>
      </w:r>
      <w:r w:rsidRPr="0045216F">
        <w:rPr>
          <w:rFonts w:cs="Times New Roman"/>
          <w:sz w:val="28"/>
          <w:szCs w:val="28"/>
          <w:lang w:val="en-US"/>
        </w:rPr>
        <w:t xml:space="preserve"> Drugs of similar chemical structure have been shown to potentiate the effects of oral anticoagulants.  Prothrombin time should be closely monitored and adjustments to the dose of the anticoagulants should be made as necessary.  </w:t>
      </w:r>
    </w:p>
    <w:p w14:paraId="4A27E9F8" w14:textId="77777777" w:rsidR="0045216F" w:rsidRDefault="0045216F">
      <w:pPr>
        <w:spacing w:after="160" w:line="278" w:lineRule="auto"/>
        <w:ind w:left="0" w:firstLine="0"/>
        <w:rPr>
          <w:rFonts w:cs="Times New Roman"/>
          <w:sz w:val="28"/>
          <w:szCs w:val="28"/>
          <w:lang w:val="en-US"/>
        </w:rPr>
      </w:pPr>
      <w:r>
        <w:rPr>
          <w:rFonts w:cs="Times New Roman"/>
          <w:sz w:val="28"/>
          <w:szCs w:val="28"/>
          <w:lang w:val="en-US"/>
        </w:rPr>
        <w:br w:type="page"/>
      </w:r>
    </w:p>
    <w:p w14:paraId="461B9DE7" w14:textId="7A8AB252" w:rsidR="000B4013" w:rsidRPr="0045216F" w:rsidRDefault="00000000" w:rsidP="0045216F">
      <w:pPr>
        <w:pStyle w:val="ListParagraph"/>
        <w:numPr>
          <w:ilvl w:val="1"/>
          <w:numId w:val="3"/>
        </w:numPr>
        <w:tabs>
          <w:tab w:val="center" w:pos="2461"/>
        </w:tabs>
        <w:spacing w:after="240" w:line="259" w:lineRule="auto"/>
        <w:ind w:left="788" w:hanging="431"/>
        <w:contextualSpacing w:val="0"/>
        <w:rPr>
          <w:rFonts w:cs="Times New Roman"/>
          <w:sz w:val="28"/>
          <w:szCs w:val="28"/>
          <w:lang w:val="en-US"/>
        </w:rPr>
      </w:pPr>
      <w:r w:rsidRPr="0045216F">
        <w:rPr>
          <w:rFonts w:cs="Times New Roman"/>
          <w:b/>
          <w:sz w:val="28"/>
          <w:szCs w:val="28"/>
          <w:lang w:val="en-US"/>
        </w:rPr>
        <w:lastRenderedPageBreak/>
        <w:t xml:space="preserve">Fertility, pregnancy and lactation  </w:t>
      </w:r>
    </w:p>
    <w:p w14:paraId="176492C4" w14:textId="77777777" w:rsidR="000B4013" w:rsidRPr="0045216F" w:rsidRDefault="00000000" w:rsidP="0045216F">
      <w:pPr>
        <w:pStyle w:val="Heading2"/>
        <w:spacing w:after="240"/>
        <w:ind w:left="720" w:hanging="11"/>
        <w:rPr>
          <w:sz w:val="28"/>
          <w:szCs w:val="28"/>
        </w:rPr>
      </w:pPr>
      <w:r w:rsidRPr="0045216F">
        <w:rPr>
          <w:sz w:val="28"/>
          <w:szCs w:val="28"/>
        </w:rPr>
        <w:t>Pregnancy</w:t>
      </w:r>
      <w:r w:rsidRPr="0045216F">
        <w:rPr>
          <w:sz w:val="28"/>
          <w:szCs w:val="28"/>
          <w:u w:val="none"/>
        </w:rPr>
        <w:t xml:space="preserve">  </w:t>
      </w:r>
    </w:p>
    <w:p w14:paraId="4496E87A" w14:textId="77777777" w:rsidR="000B4013" w:rsidRPr="0045216F" w:rsidRDefault="00000000" w:rsidP="0045216F">
      <w:pPr>
        <w:spacing w:after="240" w:line="360" w:lineRule="auto"/>
        <w:ind w:left="714" w:right="23" w:firstLine="0"/>
        <w:jc w:val="thaiDistribute"/>
        <w:rPr>
          <w:rFonts w:cs="Times New Roman"/>
          <w:sz w:val="28"/>
          <w:szCs w:val="28"/>
          <w:lang w:val="en-US"/>
        </w:rPr>
      </w:pPr>
      <w:r w:rsidRPr="0045216F">
        <w:rPr>
          <w:rFonts w:cs="Times New Roman"/>
          <w:sz w:val="28"/>
          <w:szCs w:val="28"/>
          <w:lang w:val="en-US"/>
        </w:rPr>
        <w:t xml:space="preserve">Animal studies have shown reproductive toxicity (see section 5.3). Tinidazole crosses the placental barrier. Since the effects of compounds of this class on foetal development are unknown, tinidazole is contraindicated in the first trimester of pregnancy.    </w:t>
      </w:r>
    </w:p>
    <w:p w14:paraId="111A6D2D" w14:textId="77777777" w:rsidR="0045216F" w:rsidRDefault="00000000" w:rsidP="0045216F">
      <w:pPr>
        <w:spacing w:after="240" w:line="360" w:lineRule="auto"/>
        <w:ind w:left="714" w:right="23" w:firstLine="0"/>
        <w:jc w:val="thaiDistribute"/>
        <w:rPr>
          <w:rFonts w:cs="Times New Roman"/>
          <w:sz w:val="28"/>
          <w:szCs w:val="28"/>
          <w:lang w:val="en-US"/>
        </w:rPr>
      </w:pPr>
      <w:r w:rsidRPr="0045216F">
        <w:rPr>
          <w:rFonts w:cs="Times New Roman"/>
          <w:sz w:val="28"/>
          <w:szCs w:val="28"/>
          <w:lang w:val="en-US"/>
        </w:rPr>
        <w:t xml:space="preserve">There is no evidence that tinidazole is harmful during the latter stages of pregnancy, but it should be used in the second and third trimesters only in cases where it is </w:t>
      </w:r>
      <w:proofErr w:type="gramStart"/>
      <w:r w:rsidRPr="0045216F">
        <w:rPr>
          <w:rFonts w:cs="Times New Roman"/>
          <w:sz w:val="28"/>
          <w:szCs w:val="28"/>
          <w:lang w:val="en-US"/>
        </w:rPr>
        <w:t>absolutely necessary</w:t>
      </w:r>
      <w:proofErr w:type="gramEnd"/>
      <w:r w:rsidRPr="0045216F">
        <w:rPr>
          <w:rFonts w:cs="Times New Roman"/>
          <w:sz w:val="28"/>
          <w:szCs w:val="28"/>
          <w:lang w:val="en-US"/>
        </w:rPr>
        <w:t xml:space="preserve">, when the benefits of therapy outweigh possible risks to both mother and foetus (see section 5.3).   </w:t>
      </w:r>
    </w:p>
    <w:p w14:paraId="04B726F5" w14:textId="0A30E6FF" w:rsidR="000B4013" w:rsidRPr="0045216F" w:rsidRDefault="00000000" w:rsidP="0045216F">
      <w:pPr>
        <w:spacing w:after="240" w:line="360" w:lineRule="auto"/>
        <w:ind w:left="714" w:right="23" w:firstLine="0"/>
        <w:jc w:val="thaiDistribute"/>
        <w:rPr>
          <w:rFonts w:cs="Times New Roman"/>
          <w:sz w:val="28"/>
          <w:szCs w:val="28"/>
          <w:u w:val="single"/>
          <w:lang w:val="en-US"/>
        </w:rPr>
      </w:pPr>
      <w:r w:rsidRPr="0045216F">
        <w:rPr>
          <w:rFonts w:cs="Times New Roman"/>
          <w:sz w:val="28"/>
          <w:szCs w:val="28"/>
          <w:u w:val="single"/>
        </w:rPr>
        <w:t>Breast-feeding</w:t>
      </w:r>
      <w:r w:rsidRPr="0045216F">
        <w:rPr>
          <w:rFonts w:cs="Times New Roman"/>
          <w:sz w:val="28"/>
          <w:szCs w:val="28"/>
          <w:u w:val="single" w:color="000000"/>
        </w:rPr>
        <w:t xml:space="preserve">  </w:t>
      </w:r>
    </w:p>
    <w:p w14:paraId="015E490B" w14:textId="77777777" w:rsidR="000B4013" w:rsidRPr="0045216F" w:rsidRDefault="00000000" w:rsidP="0045216F">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Tinidazole is excreted in breast milk.  Tinidazole may continue to appear in breast milk for more than 72 hours after administration.  Women should not nurse until at least 3 days after having discontinued taking </w:t>
      </w:r>
      <w:r w:rsidRPr="0045216F">
        <w:rPr>
          <w:rFonts w:cs="Times New Roman"/>
          <w:color w:val="FF0000"/>
          <w:sz w:val="28"/>
          <w:szCs w:val="28"/>
          <w:lang w:val="en-US"/>
        </w:rPr>
        <w:t>&lt;Generic Name&gt;</w:t>
      </w:r>
      <w:r w:rsidRPr="0045216F">
        <w:rPr>
          <w:rFonts w:cs="Times New Roman"/>
          <w:sz w:val="28"/>
          <w:szCs w:val="28"/>
          <w:lang w:val="en-US"/>
        </w:rPr>
        <w:t xml:space="preserve">.  </w:t>
      </w:r>
    </w:p>
    <w:p w14:paraId="36101E49" w14:textId="77777777" w:rsidR="000B4013" w:rsidRPr="0045216F" w:rsidRDefault="00000000" w:rsidP="0045216F">
      <w:pPr>
        <w:pStyle w:val="Heading2"/>
        <w:spacing w:after="240" w:line="360" w:lineRule="auto"/>
        <w:ind w:left="720" w:hanging="11"/>
        <w:jc w:val="thaiDistribute"/>
        <w:rPr>
          <w:sz w:val="28"/>
          <w:szCs w:val="28"/>
        </w:rPr>
      </w:pPr>
      <w:r w:rsidRPr="0045216F">
        <w:rPr>
          <w:sz w:val="28"/>
          <w:szCs w:val="28"/>
        </w:rPr>
        <w:t>Fertility</w:t>
      </w:r>
      <w:r w:rsidRPr="0045216F">
        <w:rPr>
          <w:sz w:val="28"/>
          <w:szCs w:val="28"/>
          <w:u w:val="none"/>
        </w:rPr>
        <w:t xml:space="preserve">  </w:t>
      </w:r>
    </w:p>
    <w:p w14:paraId="2366B651" w14:textId="77777777"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There are no human data on the effect of tinidazole on fertility. Male and female fertility may be impacted based on animal studies that have shown adverse effects on male and female fertility (see section 5.3).  </w:t>
      </w:r>
    </w:p>
    <w:p w14:paraId="481F49AD" w14:textId="77777777" w:rsidR="001D42B1" w:rsidRDefault="001D42B1">
      <w:pPr>
        <w:spacing w:after="160" w:line="278" w:lineRule="auto"/>
        <w:ind w:left="0" w:firstLine="0"/>
        <w:rPr>
          <w:rFonts w:cs="Times New Roman"/>
          <w:b/>
          <w:sz w:val="28"/>
          <w:szCs w:val="28"/>
          <w:lang w:val="en-TH" w:eastAsia="en-US"/>
        </w:rPr>
      </w:pPr>
      <w:r>
        <w:rPr>
          <w:sz w:val="28"/>
          <w:szCs w:val="28"/>
        </w:rPr>
        <w:br w:type="page"/>
      </w:r>
    </w:p>
    <w:p w14:paraId="6A20AA76" w14:textId="600F5AE7" w:rsidR="000B4013" w:rsidRPr="0045216F" w:rsidRDefault="00000000" w:rsidP="001D42B1">
      <w:pPr>
        <w:pStyle w:val="Heading3"/>
        <w:numPr>
          <w:ilvl w:val="1"/>
          <w:numId w:val="3"/>
        </w:numPr>
        <w:tabs>
          <w:tab w:val="center" w:pos="2959"/>
        </w:tabs>
        <w:spacing w:after="0"/>
        <w:ind w:left="788" w:hanging="431"/>
        <w:rPr>
          <w:sz w:val="28"/>
          <w:szCs w:val="28"/>
        </w:rPr>
      </w:pPr>
      <w:r w:rsidRPr="0045216F">
        <w:rPr>
          <w:sz w:val="28"/>
          <w:szCs w:val="28"/>
        </w:rPr>
        <w:lastRenderedPageBreak/>
        <w:t xml:space="preserve">Effects on ability to drive and use machines  </w:t>
      </w:r>
    </w:p>
    <w:p w14:paraId="023857BF" w14:textId="77777777" w:rsidR="000B4013" w:rsidRPr="0045216F" w:rsidRDefault="00000000">
      <w:pPr>
        <w:spacing w:after="0" w:line="259" w:lineRule="auto"/>
        <w:ind w:left="721" w:firstLine="0"/>
        <w:rPr>
          <w:rFonts w:cs="Times New Roman"/>
          <w:sz w:val="28"/>
          <w:szCs w:val="28"/>
          <w:lang w:val="en-US"/>
        </w:rPr>
      </w:pPr>
      <w:r w:rsidRPr="0045216F">
        <w:rPr>
          <w:rFonts w:cs="Times New Roman"/>
          <w:sz w:val="28"/>
          <w:szCs w:val="28"/>
          <w:lang w:val="en-US"/>
        </w:rPr>
        <w:t xml:space="preserve">  </w:t>
      </w:r>
    </w:p>
    <w:p w14:paraId="468AFCEC" w14:textId="77777777"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No special precautions should be necessary.  However, drugs of similar chemical structure, including </w:t>
      </w:r>
      <w:r w:rsidRPr="0045216F">
        <w:rPr>
          <w:rFonts w:cs="Times New Roman"/>
          <w:color w:val="FF0000"/>
          <w:sz w:val="28"/>
          <w:szCs w:val="28"/>
          <w:lang w:val="en-US"/>
        </w:rPr>
        <w:t>&lt;Generic Name&gt;</w:t>
      </w:r>
      <w:r w:rsidRPr="0045216F">
        <w:rPr>
          <w:rFonts w:cs="Times New Roman"/>
          <w:sz w:val="28"/>
          <w:szCs w:val="28"/>
          <w:lang w:val="en-US"/>
        </w:rPr>
        <w:t xml:space="preserve">, have been associated with various neurological disturbances such as dizziness, vertigo, ataxia, peripheral neuropathy (paraesthesia, sensory disturbances, hypoaesthesia) and rarely convulsions.  If any abnormal neurological signs develop during </w:t>
      </w:r>
      <w:r w:rsidRPr="0045216F">
        <w:rPr>
          <w:rFonts w:cs="Times New Roman"/>
          <w:color w:val="FF0000"/>
          <w:sz w:val="28"/>
          <w:szCs w:val="28"/>
          <w:lang w:val="en-US"/>
        </w:rPr>
        <w:t>&lt;Generic Name&gt;</w:t>
      </w:r>
      <w:r w:rsidRPr="0045216F">
        <w:rPr>
          <w:rFonts w:cs="Times New Roman"/>
          <w:sz w:val="28"/>
          <w:szCs w:val="28"/>
          <w:lang w:val="en-US"/>
        </w:rPr>
        <w:t xml:space="preserve"> therapy, the drug should be discontinued.  </w:t>
      </w:r>
    </w:p>
    <w:p w14:paraId="48AD2D0C" w14:textId="39B6F1FE" w:rsidR="000B4013" w:rsidRPr="001D42B1" w:rsidRDefault="00000000" w:rsidP="001D42B1">
      <w:pPr>
        <w:pStyle w:val="Heading3"/>
        <w:numPr>
          <w:ilvl w:val="1"/>
          <w:numId w:val="3"/>
        </w:numPr>
        <w:tabs>
          <w:tab w:val="center" w:pos="1717"/>
        </w:tabs>
        <w:spacing w:after="240"/>
        <w:ind w:left="788" w:hanging="431"/>
        <w:rPr>
          <w:sz w:val="28"/>
          <w:szCs w:val="28"/>
        </w:rPr>
      </w:pPr>
      <w:r w:rsidRPr="0045216F">
        <w:rPr>
          <w:sz w:val="28"/>
          <w:szCs w:val="28"/>
        </w:rPr>
        <w:t xml:space="preserve">Undesirable effects  </w:t>
      </w:r>
    </w:p>
    <w:p w14:paraId="182DE55C" w14:textId="6286969D" w:rsidR="000B4013" w:rsidRPr="001D42B1" w:rsidRDefault="00000000" w:rsidP="001D42B1">
      <w:pPr>
        <w:spacing w:after="240" w:line="360" w:lineRule="auto"/>
        <w:ind w:left="720" w:firstLine="0"/>
        <w:jc w:val="thaiDistribute"/>
        <w:rPr>
          <w:sz w:val="28"/>
          <w:szCs w:val="28"/>
          <w:lang w:val="en-US"/>
        </w:rPr>
      </w:pPr>
      <w:r w:rsidRPr="001D42B1">
        <w:rPr>
          <w:sz w:val="28"/>
          <w:szCs w:val="28"/>
          <w:lang w:val="en-US"/>
        </w:rPr>
        <w:t xml:space="preserve">Reported side effects have generally been infrequent, mild and self-limiting.  </w:t>
      </w:r>
    </w:p>
    <w:p w14:paraId="33C4B132" w14:textId="77777777" w:rsidR="000B4013" w:rsidRPr="001D42B1" w:rsidRDefault="00000000" w:rsidP="001D42B1">
      <w:pPr>
        <w:spacing w:line="360" w:lineRule="auto"/>
        <w:ind w:left="721" w:firstLine="0"/>
        <w:jc w:val="thaiDistribute"/>
        <w:rPr>
          <w:sz w:val="28"/>
          <w:szCs w:val="28"/>
          <w:lang w:val="en-US"/>
        </w:rPr>
      </w:pPr>
      <w:r w:rsidRPr="001D42B1">
        <w:rPr>
          <w:sz w:val="28"/>
          <w:szCs w:val="28"/>
          <w:lang w:val="en-US"/>
        </w:rPr>
        <w:t>The reported undesirable effects are listed below according to MedDRA system organ class classification and frequency. Within each frequency category, the ADRs are presented in the order of clinical importance. Frequency categories are expressed as: very common (</w:t>
      </w:r>
      <w:r w:rsidRPr="001D42B1">
        <w:rPr>
          <w:rFonts w:eastAsia="Segoe UI Symbol"/>
          <w:sz w:val="28"/>
          <w:szCs w:val="28"/>
          <w:lang w:val="en-US"/>
        </w:rPr>
        <w:t>≥</w:t>
      </w:r>
      <w:r w:rsidRPr="001D42B1">
        <w:rPr>
          <w:sz w:val="28"/>
          <w:szCs w:val="28"/>
          <w:lang w:val="en-US"/>
        </w:rPr>
        <w:t xml:space="preserve">1/10); common  </w:t>
      </w:r>
    </w:p>
    <w:p w14:paraId="1BCE9C8A" w14:textId="77777777" w:rsidR="000B4013" w:rsidRPr="001D42B1" w:rsidRDefault="00000000" w:rsidP="001D42B1">
      <w:pPr>
        <w:spacing w:line="360" w:lineRule="auto"/>
        <w:ind w:left="721" w:firstLine="0"/>
        <w:jc w:val="thaiDistribute"/>
        <w:rPr>
          <w:sz w:val="28"/>
          <w:szCs w:val="28"/>
          <w:lang w:val="en-US"/>
        </w:rPr>
      </w:pPr>
      <w:r w:rsidRPr="001D42B1">
        <w:rPr>
          <w:sz w:val="28"/>
          <w:szCs w:val="28"/>
          <w:lang w:val="en-US"/>
        </w:rPr>
        <w:t>(</w:t>
      </w:r>
      <w:r w:rsidRPr="001D42B1">
        <w:rPr>
          <w:rFonts w:eastAsia="Segoe UI Symbol"/>
          <w:sz w:val="28"/>
          <w:szCs w:val="28"/>
          <w:lang w:val="en-US"/>
        </w:rPr>
        <w:t>≥</w:t>
      </w:r>
      <w:r w:rsidRPr="001D42B1">
        <w:rPr>
          <w:sz w:val="28"/>
          <w:szCs w:val="28"/>
          <w:lang w:val="en-US"/>
        </w:rPr>
        <w:t xml:space="preserve">1/100 to </w:t>
      </w:r>
      <w:r w:rsidRPr="001D42B1">
        <w:rPr>
          <w:rFonts w:eastAsia="Segoe UI Symbol"/>
          <w:sz w:val="28"/>
          <w:szCs w:val="28"/>
          <w:lang w:val="en-US"/>
        </w:rPr>
        <w:t>&lt;</w:t>
      </w:r>
      <w:r w:rsidRPr="001D42B1">
        <w:rPr>
          <w:sz w:val="28"/>
          <w:szCs w:val="28"/>
          <w:lang w:val="en-US"/>
        </w:rPr>
        <w:t>1/10); uncommon (</w:t>
      </w:r>
      <w:r w:rsidRPr="001D42B1">
        <w:rPr>
          <w:rFonts w:eastAsia="Segoe UI Symbol"/>
          <w:sz w:val="28"/>
          <w:szCs w:val="28"/>
          <w:lang w:val="en-US"/>
        </w:rPr>
        <w:t>≥</w:t>
      </w:r>
      <w:r w:rsidRPr="001D42B1">
        <w:rPr>
          <w:sz w:val="28"/>
          <w:szCs w:val="28"/>
          <w:lang w:val="en-US"/>
        </w:rPr>
        <w:t xml:space="preserve">1/1,000 to </w:t>
      </w:r>
      <w:r w:rsidRPr="001D42B1">
        <w:rPr>
          <w:rFonts w:eastAsia="Segoe UI Symbol"/>
          <w:sz w:val="28"/>
          <w:szCs w:val="28"/>
          <w:lang w:val="en-US"/>
        </w:rPr>
        <w:t>&lt;</w:t>
      </w:r>
      <w:r w:rsidRPr="001D42B1">
        <w:rPr>
          <w:sz w:val="28"/>
          <w:szCs w:val="28"/>
          <w:lang w:val="en-US"/>
        </w:rPr>
        <w:t>1/100); rare (</w:t>
      </w:r>
      <w:r w:rsidRPr="001D42B1">
        <w:rPr>
          <w:rFonts w:eastAsia="Segoe UI Symbol"/>
          <w:sz w:val="28"/>
          <w:szCs w:val="28"/>
          <w:lang w:val="en-US"/>
        </w:rPr>
        <w:t>≥</w:t>
      </w:r>
      <w:r w:rsidRPr="001D42B1">
        <w:rPr>
          <w:sz w:val="28"/>
          <w:szCs w:val="28"/>
          <w:lang w:val="en-US"/>
        </w:rPr>
        <w:t xml:space="preserve">1/10,000 to  </w:t>
      </w:r>
    </w:p>
    <w:p w14:paraId="2E901A04" w14:textId="6FB1973E" w:rsidR="000B4013" w:rsidRPr="001D42B1" w:rsidRDefault="00000000" w:rsidP="001D42B1">
      <w:pPr>
        <w:spacing w:line="360" w:lineRule="auto"/>
        <w:ind w:left="721" w:firstLine="0"/>
        <w:jc w:val="thaiDistribute"/>
        <w:rPr>
          <w:sz w:val="28"/>
          <w:szCs w:val="28"/>
          <w:lang w:val="en-US"/>
        </w:rPr>
      </w:pPr>
      <w:r w:rsidRPr="001D42B1">
        <w:rPr>
          <w:rFonts w:eastAsia="Segoe UI Symbol"/>
          <w:sz w:val="28"/>
          <w:szCs w:val="28"/>
          <w:lang w:val="en-US"/>
        </w:rPr>
        <w:t>&lt;</w:t>
      </w:r>
      <w:r w:rsidRPr="001D42B1">
        <w:rPr>
          <w:sz w:val="28"/>
          <w:szCs w:val="28"/>
          <w:lang w:val="en-US"/>
        </w:rPr>
        <w:t>1/1,000); very rare (</w:t>
      </w:r>
      <w:r w:rsidRPr="001D42B1">
        <w:rPr>
          <w:rFonts w:eastAsia="Segoe UI Symbol"/>
          <w:sz w:val="28"/>
          <w:szCs w:val="28"/>
          <w:lang w:val="en-US"/>
        </w:rPr>
        <w:t>&lt;</w:t>
      </w:r>
      <w:r w:rsidRPr="001D42B1">
        <w:rPr>
          <w:sz w:val="28"/>
          <w:szCs w:val="28"/>
          <w:lang w:val="en-US"/>
        </w:rPr>
        <w:t xml:space="preserve">1/10,000); not known (the frequency cannot be estimated from the available data).  </w:t>
      </w:r>
    </w:p>
    <w:tbl>
      <w:tblPr>
        <w:tblStyle w:val="TableGrid"/>
        <w:tblW w:w="7712" w:type="dxa"/>
        <w:tblInd w:w="728" w:type="dxa"/>
        <w:tblCellMar>
          <w:top w:w="95" w:type="dxa"/>
          <w:left w:w="108" w:type="dxa"/>
          <w:bottom w:w="0" w:type="dxa"/>
          <w:right w:w="20" w:type="dxa"/>
        </w:tblCellMar>
        <w:tblLook w:val="04A0" w:firstRow="1" w:lastRow="0" w:firstColumn="1" w:lastColumn="0" w:noHBand="0" w:noVBand="1"/>
      </w:tblPr>
      <w:tblGrid>
        <w:gridCol w:w="3122"/>
        <w:gridCol w:w="2127"/>
        <w:gridCol w:w="2463"/>
      </w:tblGrid>
      <w:tr w:rsidR="000B4013" w:rsidRPr="0045216F" w14:paraId="7A6E23E3" w14:textId="77777777" w:rsidTr="001D42B1">
        <w:trPr>
          <w:cantSplit/>
          <w:trHeight w:val="370"/>
          <w:tblHeader/>
        </w:trPr>
        <w:tc>
          <w:tcPr>
            <w:tcW w:w="3122" w:type="dxa"/>
            <w:tcBorders>
              <w:top w:val="single" w:sz="6" w:space="0" w:color="000000"/>
              <w:left w:val="single" w:sz="6" w:space="0" w:color="000000"/>
              <w:bottom w:val="single" w:sz="6" w:space="0" w:color="000000"/>
              <w:right w:val="single" w:sz="6" w:space="0" w:color="000000"/>
            </w:tcBorders>
          </w:tcPr>
          <w:p w14:paraId="6942D5B4" w14:textId="66E718E1" w:rsidR="000B4013" w:rsidRPr="001D42B1" w:rsidRDefault="00000000" w:rsidP="001D42B1">
            <w:pPr>
              <w:spacing w:after="0" w:line="259" w:lineRule="auto"/>
              <w:ind w:left="38" w:firstLine="0"/>
              <w:jc w:val="center"/>
              <w:rPr>
                <w:b/>
                <w:bCs/>
                <w:iCs/>
                <w:sz w:val="28"/>
                <w:szCs w:val="28"/>
              </w:rPr>
            </w:pPr>
            <w:r w:rsidRPr="001D42B1">
              <w:rPr>
                <w:b/>
                <w:bCs/>
                <w:iCs/>
                <w:sz w:val="28"/>
                <w:szCs w:val="28"/>
              </w:rPr>
              <w:t>System Organ Class</w:t>
            </w:r>
          </w:p>
        </w:tc>
        <w:tc>
          <w:tcPr>
            <w:tcW w:w="2127" w:type="dxa"/>
            <w:tcBorders>
              <w:top w:val="single" w:sz="6" w:space="0" w:color="000000"/>
              <w:left w:val="single" w:sz="6" w:space="0" w:color="000000"/>
              <w:bottom w:val="single" w:sz="6" w:space="0" w:color="000000"/>
              <w:right w:val="single" w:sz="6" w:space="0" w:color="000000"/>
            </w:tcBorders>
          </w:tcPr>
          <w:p w14:paraId="440D5AD1" w14:textId="4AB2599D" w:rsidR="000B4013" w:rsidRPr="001D42B1" w:rsidRDefault="00000000" w:rsidP="001D42B1">
            <w:pPr>
              <w:spacing w:after="0" w:line="259" w:lineRule="auto"/>
              <w:ind w:left="5" w:firstLine="0"/>
              <w:jc w:val="center"/>
              <w:rPr>
                <w:b/>
                <w:bCs/>
                <w:iCs/>
                <w:sz w:val="28"/>
                <w:szCs w:val="28"/>
              </w:rPr>
            </w:pPr>
            <w:r w:rsidRPr="001D42B1">
              <w:rPr>
                <w:b/>
                <w:bCs/>
                <w:iCs/>
                <w:sz w:val="28"/>
                <w:szCs w:val="28"/>
              </w:rPr>
              <w:t>Common</w:t>
            </w:r>
          </w:p>
        </w:tc>
        <w:tc>
          <w:tcPr>
            <w:tcW w:w="2463" w:type="dxa"/>
            <w:tcBorders>
              <w:top w:val="single" w:sz="6" w:space="0" w:color="000000"/>
              <w:left w:val="single" w:sz="6" w:space="0" w:color="000000"/>
              <w:bottom w:val="single" w:sz="6" w:space="0" w:color="000000"/>
              <w:right w:val="single" w:sz="6" w:space="0" w:color="000000"/>
            </w:tcBorders>
          </w:tcPr>
          <w:p w14:paraId="4F61EA81" w14:textId="3724A8C3" w:rsidR="000B4013" w:rsidRPr="001D42B1" w:rsidRDefault="00000000" w:rsidP="001D42B1">
            <w:pPr>
              <w:spacing w:after="0" w:line="259" w:lineRule="auto"/>
              <w:ind w:left="5" w:firstLine="0"/>
              <w:jc w:val="center"/>
              <w:rPr>
                <w:b/>
                <w:bCs/>
                <w:iCs/>
                <w:sz w:val="28"/>
                <w:szCs w:val="28"/>
              </w:rPr>
            </w:pPr>
            <w:r w:rsidRPr="001D42B1">
              <w:rPr>
                <w:b/>
                <w:bCs/>
                <w:iCs/>
                <w:sz w:val="28"/>
                <w:szCs w:val="28"/>
              </w:rPr>
              <w:t>Not known</w:t>
            </w:r>
          </w:p>
        </w:tc>
      </w:tr>
      <w:tr w:rsidR="000B4013" w:rsidRPr="0045216F" w14:paraId="3B3BEB51" w14:textId="77777777" w:rsidTr="001D42B1">
        <w:trPr>
          <w:trHeight w:val="662"/>
        </w:trPr>
        <w:tc>
          <w:tcPr>
            <w:tcW w:w="3122" w:type="dxa"/>
            <w:tcBorders>
              <w:top w:val="single" w:sz="6" w:space="0" w:color="000000"/>
              <w:left w:val="single" w:sz="6" w:space="0" w:color="000000"/>
              <w:bottom w:val="single" w:sz="6" w:space="0" w:color="000000"/>
              <w:right w:val="single" w:sz="6" w:space="0" w:color="000000"/>
            </w:tcBorders>
          </w:tcPr>
          <w:p w14:paraId="6E63B12D" w14:textId="77777777" w:rsidR="000B4013" w:rsidRPr="0045216F" w:rsidRDefault="00000000" w:rsidP="001D42B1">
            <w:pPr>
              <w:spacing w:after="0" w:line="259" w:lineRule="auto"/>
              <w:ind w:left="38" w:firstLine="0"/>
              <w:rPr>
                <w:sz w:val="28"/>
                <w:szCs w:val="28"/>
                <w:lang w:val="en-US"/>
              </w:rPr>
            </w:pPr>
            <w:r w:rsidRPr="0045216F">
              <w:rPr>
                <w:sz w:val="28"/>
                <w:szCs w:val="28"/>
                <w:lang w:val="en-US"/>
              </w:rPr>
              <w:t xml:space="preserve">Blood and the lymphatic system disorders  </w:t>
            </w:r>
          </w:p>
        </w:tc>
        <w:tc>
          <w:tcPr>
            <w:tcW w:w="2127" w:type="dxa"/>
            <w:tcBorders>
              <w:top w:val="single" w:sz="6" w:space="0" w:color="000000"/>
              <w:left w:val="single" w:sz="6" w:space="0" w:color="000000"/>
              <w:bottom w:val="single" w:sz="6" w:space="0" w:color="000000"/>
              <w:right w:val="single" w:sz="6" w:space="0" w:color="000000"/>
            </w:tcBorders>
          </w:tcPr>
          <w:p w14:paraId="0190F2FA" w14:textId="77777777" w:rsidR="000B4013" w:rsidRPr="0045216F" w:rsidRDefault="00000000" w:rsidP="001D42B1">
            <w:pPr>
              <w:spacing w:after="0" w:line="259" w:lineRule="auto"/>
              <w:ind w:left="5" w:firstLine="0"/>
              <w:rPr>
                <w:sz w:val="28"/>
                <w:szCs w:val="28"/>
                <w:lang w:val="en-US"/>
              </w:rPr>
            </w:pPr>
            <w:r w:rsidRPr="0045216F">
              <w:rPr>
                <w:sz w:val="28"/>
                <w:szCs w:val="28"/>
                <w:lang w:val="en-US"/>
              </w:rP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30C61C64" w14:textId="77777777" w:rsidR="000B4013" w:rsidRPr="0045216F" w:rsidRDefault="00000000" w:rsidP="001D42B1">
            <w:pPr>
              <w:spacing w:after="0" w:line="259" w:lineRule="auto"/>
              <w:ind w:left="5" w:firstLine="0"/>
              <w:rPr>
                <w:sz w:val="28"/>
                <w:szCs w:val="28"/>
              </w:rPr>
            </w:pPr>
            <w:r w:rsidRPr="0045216F">
              <w:rPr>
                <w:sz w:val="28"/>
                <w:szCs w:val="28"/>
              </w:rPr>
              <w:t xml:space="preserve">Leukopenia  </w:t>
            </w:r>
          </w:p>
        </w:tc>
      </w:tr>
      <w:tr w:rsidR="000B4013" w:rsidRPr="0045216F" w14:paraId="0FD61555" w14:textId="77777777" w:rsidTr="001D42B1">
        <w:trPr>
          <w:trHeight w:val="370"/>
        </w:trPr>
        <w:tc>
          <w:tcPr>
            <w:tcW w:w="3122" w:type="dxa"/>
            <w:tcBorders>
              <w:top w:val="single" w:sz="6" w:space="0" w:color="000000"/>
              <w:left w:val="single" w:sz="6" w:space="0" w:color="000000"/>
              <w:bottom w:val="single" w:sz="6" w:space="0" w:color="000000"/>
              <w:right w:val="single" w:sz="6" w:space="0" w:color="000000"/>
            </w:tcBorders>
          </w:tcPr>
          <w:p w14:paraId="04BF503E" w14:textId="77777777" w:rsidR="000B4013" w:rsidRPr="0045216F" w:rsidRDefault="00000000" w:rsidP="001D42B1">
            <w:pPr>
              <w:spacing w:after="0" w:line="259" w:lineRule="auto"/>
              <w:ind w:left="38" w:firstLine="0"/>
              <w:rPr>
                <w:sz w:val="28"/>
                <w:szCs w:val="28"/>
              </w:rPr>
            </w:pPr>
            <w:r w:rsidRPr="0045216F">
              <w:rPr>
                <w:sz w:val="28"/>
                <w:szCs w:val="28"/>
              </w:rPr>
              <w:t xml:space="preserve">Immune system disorders  </w:t>
            </w:r>
          </w:p>
        </w:tc>
        <w:tc>
          <w:tcPr>
            <w:tcW w:w="2127" w:type="dxa"/>
            <w:tcBorders>
              <w:top w:val="single" w:sz="6" w:space="0" w:color="000000"/>
              <w:left w:val="single" w:sz="6" w:space="0" w:color="000000"/>
              <w:bottom w:val="single" w:sz="6" w:space="0" w:color="000000"/>
              <w:right w:val="single" w:sz="6" w:space="0" w:color="000000"/>
            </w:tcBorders>
          </w:tcPr>
          <w:p w14:paraId="3A76132B" w14:textId="77777777" w:rsidR="000B4013" w:rsidRPr="0045216F" w:rsidRDefault="00000000" w:rsidP="001D42B1">
            <w:pPr>
              <w:spacing w:after="0" w:line="259" w:lineRule="auto"/>
              <w:ind w:left="0" w:firstLine="0"/>
              <w:rPr>
                <w:sz w:val="28"/>
                <w:szCs w:val="28"/>
              </w:rPr>
            </w:pPr>
            <w:r w:rsidRPr="0045216F">
              <w:rPr>
                <w:sz w:val="28"/>
                <w:szCs w:val="28"/>
              </w:rP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5ECA3EBF" w14:textId="77777777" w:rsidR="000B4013" w:rsidRPr="0045216F" w:rsidRDefault="00000000" w:rsidP="001D42B1">
            <w:pPr>
              <w:spacing w:after="0" w:line="259" w:lineRule="auto"/>
              <w:ind w:left="0" w:firstLine="0"/>
              <w:rPr>
                <w:sz w:val="28"/>
                <w:szCs w:val="28"/>
              </w:rPr>
            </w:pPr>
            <w:r w:rsidRPr="0045216F">
              <w:rPr>
                <w:sz w:val="28"/>
                <w:szCs w:val="28"/>
              </w:rPr>
              <w:t xml:space="preserve">Drug hypersensitivity  </w:t>
            </w:r>
          </w:p>
        </w:tc>
      </w:tr>
      <w:tr w:rsidR="000B4013" w:rsidRPr="0045216F" w14:paraId="3F5230E7" w14:textId="77777777" w:rsidTr="001D42B1">
        <w:trPr>
          <w:trHeight w:val="668"/>
        </w:trPr>
        <w:tc>
          <w:tcPr>
            <w:tcW w:w="3122" w:type="dxa"/>
            <w:tcBorders>
              <w:top w:val="single" w:sz="6" w:space="0" w:color="000000"/>
              <w:left w:val="single" w:sz="6" w:space="0" w:color="000000"/>
              <w:bottom w:val="single" w:sz="6" w:space="0" w:color="000000"/>
              <w:right w:val="single" w:sz="6" w:space="0" w:color="000000"/>
            </w:tcBorders>
          </w:tcPr>
          <w:p w14:paraId="22FD1F98" w14:textId="77777777" w:rsidR="000B4013" w:rsidRPr="0045216F" w:rsidRDefault="00000000" w:rsidP="001D42B1">
            <w:pPr>
              <w:spacing w:after="0" w:line="259" w:lineRule="auto"/>
              <w:ind w:left="38" w:firstLine="0"/>
              <w:rPr>
                <w:sz w:val="28"/>
                <w:szCs w:val="28"/>
              </w:rPr>
            </w:pPr>
            <w:r w:rsidRPr="0045216F">
              <w:rPr>
                <w:sz w:val="28"/>
                <w:szCs w:val="28"/>
              </w:rPr>
              <w:t xml:space="preserve">Metabolism and nutrition disorders  </w:t>
            </w:r>
          </w:p>
        </w:tc>
        <w:tc>
          <w:tcPr>
            <w:tcW w:w="2127" w:type="dxa"/>
            <w:tcBorders>
              <w:top w:val="single" w:sz="6" w:space="0" w:color="000000"/>
              <w:left w:val="single" w:sz="6" w:space="0" w:color="000000"/>
              <w:bottom w:val="single" w:sz="6" w:space="0" w:color="000000"/>
              <w:right w:val="single" w:sz="6" w:space="0" w:color="000000"/>
            </w:tcBorders>
          </w:tcPr>
          <w:p w14:paraId="63B1C928" w14:textId="77777777" w:rsidR="000B4013" w:rsidRPr="0045216F" w:rsidRDefault="00000000" w:rsidP="001D42B1">
            <w:pPr>
              <w:spacing w:after="0" w:line="259" w:lineRule="auto"/>
              <w:ind w:left="5" w:firstLine="0"/>
              <w:rPr>
                <w:sz w:val="28"/>
                <w:szCs w:val="28"/>
              </w:rPr>
            </w:pPr>
            <w:r w:rsidRPr="0045216F">
              <w:rPr>
                <w:sz w:val="28"/>
                <w:szCs w:val="28"/>
              </w:rPr>
              <w:t xml:space="preserve">Decreased appetite  </w:t>
            </w:r>
          </w:p>
        </w:tc>
        <w:tc>
          <w:tcPr>
            <w:tcW w:w="2463" w:type="dxa"/>
            <w:tcBorders>
              <w:top w:val="single" w:sz="6" w:space="0" w:color="000000"/>
              <w:left w:val="single" w:sz="6" w:space="0" w:color="000000"/>
              <w:bottom w:val="single" w:sz="6" w:space="0" w:color="000000"/>
              <w:right w:val="single" w:sz="6" w:space="0" w:color="000000"/>
            </w:tcBorders>
          </w:tcPr>
          <w:p w14:paraId="367EF38D" w14:textId="77777777" w:rsidR="000B4013" w:rsidRPr="0045216F" w:rsidRDefault="00000000" w:rsidP="001D42B1">
            <w:pPr>
              <w:spacing w:after="0" w:line="259" w:lineRule="auto"/>
              <w:ind w:left="5" w:firstLine="0"/>
              <w:rPr>
                <w:sz w:val="28"/>
                <w:szCs w:val="28"/>
              </w:rPr>
            </w:pPr>
            <w:r w:rsidRPr="0045216F">
              <w:rPr>
                <w:sz w:val="28"/>
                <w:szCs w:val="28"/>
              </w:rPr>
              <w:t xml:space="preserve">  </w:t>
            </w:r>
          </w:p>
        </w:tc>
      </w:tr>
      <w:tr w:rsidR="000B4013" w:rsidRPr="0045216F" w14:paraId="5A13BAFF" w14:textId="77777777" w:rsidTr="001D42B1">
        <w:trPr>
          <w:trHeight w:val="2453"/>
        </w:trPr>
        <w:tc>
          <w:tcPr>
            <w:tcW w:w="3122" w:type="dxa"/>
            <w:tcBorders>
              <w:top w:val="single" w:sz="6" w:space="0" w:color="000000"/>
              <w:left w:val="single" w:sz="6" w:space="0" w:color="000000"/>
              <w:bottom w:val="single" w:sz="6" w:space="0" w:color="000000"/>
              <w:right w:val="single" w:sz="6" w:space="0" w:color="000000"/>
            </w:tcBorders>
          </w:tcPr>
          <w:p w14:paraId="186D043F" w14:textId="77777777" w:rsidR="000B4013" w:rsidRPr="0045216F" w:rsidRDefault="00000000">
            <w:pPr>
              <w:spacing w:after="0" w:line="259" w:lineRule="auto"/>
              <w:ind w:left="34" w:firstLine="0"/>
              <w:rPr>
                <w:sz w:val="28"/>
                <w:szCs w:val="28"/>
              </w:rPr>
            </w:pPr>
            <w:r w:rsidRPr="0045216F">
              <w:rPr>
                <w:sz w:val="28"/>
                <w:szCs w:val="28"/>
              </w:rPr>
              <w:lastRenderedPageBreak/>
              <w:t xml:space="preserve">Nervous system disorders  </w:t>
            </w:r>
          </w:p>
        </w:tc>
        <w:tc>
          <w:tcPr>
            <w:tcW w:w="2127" w:type="dxa"/>
            <w:tcBorders>
              <w:top w:val="single" w:sz="6" w:space="0" w:color="000000"/>
              <w:left w:val="single" w:sz="6" w:space="0" w:color="000000"/>
              <w:bottom w:val="single" w:sz="6" w:space="0" w:color="000000"/>
              <w:right w:val="single" w:sz="6" w:space="0" w:color="000000"/>
            </w:tcBorders>
          </w:tcPr>
          <w:p w14:paraId="29489870" w14:textId="77777777" w:rsidR="000B4013" w:rsidRPr="0045216F" w:rsidRDefault="00000000">
            <w:pPr>
              <w:spacing w:after="0" w:line="259" w:lineRule="auto"/>
              <w:ind w:left="0" w:firstLine="0"/>
              <w:rPr>
                <w:sz w:val="28"/>
                <w:szCs w:val="28"/>
              </w:rPr>
            </w:pPr>
            <w:r w:rsidRPr="0045216F">
              <w:rPr>
                <w:sz w:val="28"/>
                <w:szCs w:val="28"/>
              </w:rPr>
              <w:t xml:space="preserve">Headache  </w:t>
            </w:r>
          </w:p>
        </w:tc>
        <w:tc>
          <w:tcPr>
            <w:tcW w:w="2463" w:type="dxa"/>
            <w:tcBorders>
              <w:top w:val="single" w:sz="6" w:space="0" w:color="000000"/>
              <w:left w:val="single" w:sz="6" w:space="0" w:color="000000"/>
              <w:bottom w:val="single" w:sz="6" w:space="0" w:color="000000"/>
              <w:right w:val="single" w:sz="6" w:space="0" w:color="000000"/>
            </w:tcBorders>
          </w:tcPr>
          <w:p w14:paraId="610CD953" w14:textId="77777777" w:rsidR="000B4013" w:rsidRPr="0045216F" w:rsidRDefault="00000000">
            <w:pPr>
              <w:spacing w:after="43" w:line="259" w:lineRule="auto"/>
              <w:ind w:left="5" w:firstLine="0"/>
              <w:rPr>
                <w:sz w:val="28"/>
                <w:szCs w:val="28"/>
                <w:lang w:val="en-US"/>
              </w:rPr>
            </w:pPr>
            <w:r w:rsidRPr="0045216F">
              <w:rPr>
                <w:sz w:val="28"/>
                <w:szCs w:val="28"/>
                <w:lang w:val="en-US"/>
              </w:rPr>
              <w:t xml:space="preserve">Convulsions  </w:t>
            </w:r>
          </w:p>
          <w:p w14:paraId="44FA40C9" w14:textId="77777777" w:rsidR="000B4013" w:rsidRPr="0045216F" w:rsidRDefault="00000000">
            <w:pPr>
              <w:spacing w:after="43" w:line="259" w:lineRule="auto"/>
              <w:ind w:left="0" w:firstLine="0"/>
              <w:rPr>
                <w:sz w:val="28"/>
                <w:szCs w:val="28"/>
                <w:lang w:val="en-US"/>
              </w:rPr>
            </w:pPr>
            <w:r w:rsidRPr="0045216F">
              <w:rPr>
                <w:sz w:val="28"/>
                <w:szCs w:val="28"/>
                <w:lang w:val="en-US"/>
              </w:rPr>
              <w:t xml:space="preserve">Neuropathy peripheral  </w:t>
            </w:r>
          </w:p>
          <w:p w14:paraId="4F942D9E" w14:textId="77777777" w:rsidR="000B4013" w:rsidRPr="0045216F" w:rsidRDefault="00000000">
            <w:pPr>
              <w:spacing w:after="43" w:line="259" w:lineRule="auto"/>
              <w:ind w:left="0" w:firstLine="0"/>
              <w:rPr>
                <w:sz w:val="28"/>
                <w:szCs w:val="28"/>
                <w:lang w:val="en-US"/>
              </w:rPr>
            </w:pPr>
            <w:r w:rsidRPr="0045216F">
              <w:rPr>
                <w:sz w:val="28"/>
                <w:szCs w:val="28"/>
                <w:lang w:val="en-US"/>
              </w:rPr>
              <w:t xml:space="preserve">Paraesthesia  </w:t>
            </w:r>
          </w:p>
          <w:p w14:paraId="02A6F4FF" w14:textId="77777777" w:rsidR="000B4013" w:rsidRPr="0045216F" w:rsidRDefault="00000000">
            <w:pPr>
              <w:spacing w:after="44" w:line="259" w:lineRule="auto"/>
              <w:ind w:left="0" w:firstLine="0"/>
              <w:rPr>
                <w:sz w:val="28"/>
                <w:szCs w:val="28"/>
                <w:lang w:val="en-US"/>
              </w:rPr>
            </w:pPr>
            <w:r w:rsidRPr="0045216F">
              <w:rPr>
                <w:sz w:val="28"/>
                <w:szCs w:val="28"/>
                <w:lang w:val="en-US"/>
              </w:rPr>
              <w:t xml:space="preserve">Hypoaesthesia  </w:t>
            </w:r>
          </w:p>
          <w:p w14:paraId="5A119202" w14:textId="77777777" w:rsidR="000B4013" w:rsidRPr="0045216F" w:rsidRDefault="00000000">
            <w:pPr>
              <w:spacing w:after="41" w:line="259" w:lineRule="auto"/>
              <w:ind w:left="0" w:firstLine="0"/>
              <w:rPr>
                <w:sz w:val="28"/>
                <w:szCs w:val="28"/>
                <w:lang w:val="en-US"/>
              </w:rPr>
            </w:pPr>
            <w:r w:rsidRPr="0045216F">
              <w:rPr>
                <w:sz w:val="28"/>
                <w:szCs w:val="28"/>
                <w:lang w:val="en-US"/>
              </w:rPr>
              <w:t xml:space="preserve">Sensory disturbances  </w:t>
            </w:r>
          </w:p>
          <w:p w14:paraId="6F1B397B" w14:textId="77777777" w:rsidR="000B4013" w:rsidRPr="0045216F" w:rsidRDefault="00000000">
            <w:pPr>
              <w:spacing w:after="42" w:line="259" w:lineRule="auto"/>
              <w:ind w:left="0" w:firstLine="0"/>
              <w:rPr>
                <w:sz w:val="28"/>
                <w:szCs w:val="28"/>
              </w:rPr>
            </w:pPr>
            <w:r w:rsidRPr="0045216F">
              <w:rPr>
                <w:sz w:val="28"/>
                <w:szCs w:val="28"/>
              </w:rPr>
              <w:t xml:space="preserve">Ataxia  </w:t>
            </w:r>
          </w:p>
          <w:p w14:paraId="027923F7" w14:textId="77777777" w:rsidR="000B4013" w:rsidRPr="0045216F" w:rsidRDefault="00000000">
            <w:pPr>
              <w:spacing w:after="42" w:line="259" w:lineRule="auto"/>
              <w:ind w:left="0" w:firstLine="0"/>
              <w:rPr>
                <w:sz w:val="28"/>
                <w:szCs w:val="28"/>
              </w:rPr>
            </w:pPr>
            <w:r w:rsidRPr="0045216F">
              <w:rPr>
                <w:sz w:val="28"/>
                <w:szCs w:val="28"/>
              </w:rPr>
              <w:t xml:space="preserve">Dizziness  </w:t>
            </w:r>
          </w:p>
          <w:p w14:paraId="7C656D01" w14:textId="77777777" w:rsidR="000B4013" w:rsidRPr="0045216F" w:rsidRDefault="00000000">
            <w:pPr>
              <w:spacing w:after="0" w:line="259" w:lineRule="auto"/>
              <w:ind w:left="0" w:firstLine="0"/>
              <w:rPr>
                <w:sz w:val="28"/>
                <w:szCs w:val="28"/>
              </w:rPr>
            </w:pPr>
            <w:r w:rsidRPr="0045216F">
              <w:rPr>
                <w:sz w:val="28"/>
                <w:szCs w:val="28"/>
              </w:rPr>
              <w:t xml:space="preserve">Dysgeusia  </w:t>
            </w:r>
          </w:p>
        </w:tc>
      </w:tr>
      <w:tr w:rsidR="000B4013" w:rsidRPr="0045216F" w14:paraId="4C0B979D" w14:textId="77777777" w:rsidTr="001D42B1">
        <w:trPr>
          <w:trHeight w:val="370"/>
        </w:trPr>
        <w:tc>
          <w:tcPr>
            <w:tcW w:w="3122" w:type="dxa"/>
            <w:tcBorders>
              <w:top w:val="single" w:sz="6" w:space="0" w:color="000000"/>
              <w:left w:val="single" w:sz="6" w:space="0" w:color="000000"/>
              <w:bottom w:val="single" w:sz="6" w:space="0" w:color="000000"/>
              <w:right w:val="single" w:sz="6" w:space="0" w:color="000000"/>
            </w:tcBorders>
          </w:tcPr>
          <w:p w14:paraId="41F9AE2A" w14:textId="77777777" w:rsidR="000B4013" w:rsidRPr="0045216F" w:rsidRDefault="00000000">
            <w:pPr>
              <w:spacing w:after="0" w:line="259" w:lineRule="auto"/>
              <w:ind w:left="34" w:firstLine="0"/>
              <w:rPr>
                <w:sz w:val="28"/>
                <w:szCs w:val="28"/>
              </w:rPr>
            </w:pPr>
            <w:r w:rsidRPr="0045216F">
              <w:rPr>
                <w:sz w:val="28"/>
                <w:szCs w:val="28"/>
              </w:rPr>
              <w:t xml:space="preserve">Ear and labyrinth disorders  </w:t>
            </w:r>
          </w:p>
        </w:tc>
        <w:tc>
          <w:tcPr>
            <w:tcW w:w="2127" w:type="dxa"/>
            <w:tcBorders>
              <w:top w:val="single" w:sz="6" w:space="0" w:color="000000"/>
              <w:left w:val="single" w:sz="6" w:space="0" w:color="000000"/>
              <w:bottom w:val="single" w:sz="6" w:space="0" w:color="000000"/>
              <w:right w:val="single" w:sz="6" w:space="0" w:color="000000"/>
            </w:tcBorders>
          </w:tcPr>
          <w:p w14:paraId="229B5FD2" w14:textId="77777777" w:rsidR="000B4013" w:rsidRPr="0045216F" w:rsidRDefault="00000000">
            <w:pPr>
              <w:spacing w:after="0" w:line="259" w:lineRule="auto"/>
              <w:ind w:left="0" w:firstLine="0"/>
              <w:rPr>
                <w:sz w:val="28"/>
                <w:szCs w:val="28"/>
              </w:rPr>
            </w:pPr>
            <w:r w:rsidRPr="0045216F">
              <w:rPr>
                <w:sz w:val="28"/>
                <w:szCs w:val="28"/>
              </w:rPr>
              <w:t xml:space="preserve">Vertigo  </w:t>
            </w:r>
          </w:p>
        </w:tc>
        <w:tc>
          <w:tcPr>
            <w:tcW w:w="2463" w:type="dxa"/>
            <w:tcBorders>
              <w:top w:val="single" w:sz="6" w:space="0" w:color="000000"/>
              <w:left w:val="single" w:sz="6" w:space="0" w:color="000000"/>
              <w:bottom w:val="single" w:sz="6" w:space="0" w:color="000000"/>
              <w:right w:val="single" w:sz="6" w:space="0" w:color="000000"/>
            </w:tcBorders>
          </w:tcPr>
          <w:p w14:paraId="3DB7B79B" w14:textId="77777777" w:rsidR="000B4013" w:rsidRPr="0045216F" w:rsidRDefault="00000000">
            <w:pPr>
              <w:spacing w:after="0" w:line="259" w:lineRule="auto"/>
              <w:ind w:left="0" w:firstLine="0"/>
              <w:rPr>
                <w:sz w:val="28"/>
                <w:szCs w:val="28"/>
              </w:rPr>
            </w:pPr>
            <w:r w:rsidRPr="0045216F">
              <w:rPr>
                <w:sz w:val="28"/>
                <w:szCs w:val="28"/>
              </w:rPr>
              <w:t xml:space="preserve">  </w:t>
            </w:r>
          </w:p>
        </w:tc>
      </w:tr>
      <w:tr w:rsidR="000B4013" w:rsidRPr="0045216F" w14:paraId="511B876B" w14:textId="77777777" w:rsidTr="001D42B1">
        <w:trPr>
          <w:trHeight w:val="370"/>
        </w:trPr>
        <w:tc>
          <w:tcPr>
            <w:tcW w:w="3122" w:type="dxa"/>
            <w:tcBorders>
              <w:top w:val="single" w:sz="6" w:space="0" w:color="000000"/>
              <w:left w:val="single" w:sz="6" w:space="0" w:color="000000"/>
              <w:bottom w:val="single" w:sz="6" w:space="0" w:color="000000"/>
              <w:right w:val="single" w:sz="6" w:space="0" w:color="000000"/>
            </w:tcBorders>
          </w:tcPr>
          <w:p w14:paraId="73C447DC" w14:textId="77777777" w:rsidR="000B4013" w:rsidRPr="0045216F" w:rsidRDefault="00000000">
            <w:pPr>
              <w:spacing w:after="0" w:line="259" w:lineRule="auto"/>
              <w:ind w:left="34" w:firstLine="0"/>
              <w:rPr>
                <w:sz w:val="28"/>
                <w:szCs w:val="28"/>
              </w:rPr>
            </w:pPr>
            <w:r w:rsidRPr="0045216F">
              <w:rPr>
                <w:sz w:val="28"/>
                <w:szCs w:val="28"/>
              </w:rPr>
              <w:t xml:space="preserve">Vascular disorders  </w:t>
            </w:r>
          </w:p>
        </w:tc>
        <w:tc>
          <w:tcPr>
            <w:tcW w:w="2127" w:type="dxa"/>
            <w:tcBorders>
              <w:top w:val="single" w:sz="6" w:space="0" w:color="000000"/>
              <w:left w:val="single" w:sz="6" w:space="0" w:color="000000"/>
              <w:bottom w:val="single" w:sz="6" w:space="0" w:color="000000"/>
              <w:right w:val="single" w:sz="6" w:space="0" w:color="000000"/>
            </w:tcBorders>
          </w:tcPr>
          <w:p w14:paraId="4C05BD5B" w14:textId="77777777" w:rsidR="000B4013" w:rsidRPr="0045216F" w:rsidRDefault="00000000">
            <w:pPr>
              <w:spacing w:after="0" w:line="259" w:lineRule="auto"/>
              <w:ind w:left="0" w:firstLine="0"/>
              <w:rPr>
                <w:sz w:val="28"/>
                <w:szCs w:val="28"/>
              </w:rPr>
            </w:pPr>
            <w:r w:rsidRPr="0045216F">
              <w:rPr>
                <w:sz w:val="28"/>
                <w:szCs w:val="28"/>
              </w:rP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133E1E42" w14:textId="77777777" w:rsidR="000B4013" w:rsidRPr="0045216F" w:rsidRDefault="00000000">
            <w:pPr>
              <w:spacing w:after="0" w:line="259" w:lineRule="auto"/>
              <w:ind w:left="0" w:firstLine="0"/>
              <w:rPr>
                <w:sz w:val="28"/>
                <w:szCs w:val="28"/>
              </w:rPr>
            </w:pPr>
            <w:r w:rsidRPr="0045216F">
              <w:rPr>
                <w:sz w:val="28"/>
                <w:szCs w:val="28"/>
              </w:rPr>
              <w:t xml:space="preserve">Flushing  </w:t>
            </w:r>
          </w:p>
        </w:tc>
      </w:tr>
      <w:tr w:rsidR="000B4013" w:rsidRPr="0045216F" w14:paraId="5A3EABB1" w14:textId="77777777" w:rsidTr="001D42B1">
        <w:trPr>
          <w:trHeight w:val="1258"/>
        </w:trPr>
        <w:tc>
          <w:tcPr>
            <w:tcW w:w="3122" w:type="dxa"/>
            <w:tcBorders>
              <w:top w:val="single" w:sz="6" w:space="0" w:color="000000"/>
              <w:left w:val="single" w:sz="6" w:space="0" w:color="000000"/>
              <w:bottom w:val="single" w:sz="6" w:space="0" w:color="000000"/>
              <w:right w:val="single" w:sz="6" w:space="0" w:color="000000"/>
            </w:tcBorders>
          </w:tcPr>
          <w:p w14:paraId="2826EB9D" w14:textId="77777777" w:rsidR="000B4013" w:rsidRPr="0045216F" w:rsidRDefault="00000000">
            <w:pPr>
              <w:spacing w:after="0" w:line="259" w:lineRule="auto"/>
              <w:ind w:left="34" w:firstLine="0"/>
              <w:rPr>
                <w:sz w:val="28"/>
                <w:szCs w:val="28"/>
              </w:rPr>
            </w:pPr>
            <w:r w:rsidRPr="0045216F">
              <w:rPr>
                <w:sz w:val="28"/>
                <w:szCs w:val="28"/>
              </w:rPr>
              <w:t xml:space="preserve">Gastrointestinal disorders  </w:t>
            </w:r>
          </w:p>
        </w:tc>
        <w:tc>
          <w:tcPr>
            <w:tcW w:w="2127" w:type="dxa"/>
            <w:tcBorders>
              <w:top w:val="single" w:sz="6" w:space="0" w:color="000000"/>
              <w:left w:val="single" w:sz="6" w:space="0" w:color="000000"/>
              <w:bottom w:val="single" w:sz="6" w:space="0" w:color="000000"/>
              <w:right w:val="single" w:sz="6" w:space="0" w:color="000000"/>
            </w:tcBorders>
          </w:tcPr>
          <w:p w14:paraId="7829B468" w14:textId="77777777" w:rsidR="000B4013" w:rsidRPr="0045216F" w:rsidRDefault="00000000">
            <w:pPr>
              <w:spacing w:after="42" w:line="259" w:lineRule="auto"/>
              <w:ind w:left="0" w:firstLine="0"/>
              <w:rPr>
                <w:sz w:val="28"/>
                <w:szCs w:val="28"/>
                <w:lang w:val="en-US"/>
              </w:rPr>
            </w:pPr>
            <w:r w:rsidRPr="0045216F">
              <w:rPr>
                <w:sz w:val="28"/>
                <w:szCs w:val="28"/>
                <w:lang w:val="en-US"/>
              </w:rPr>
              <w:t xml:space="preserve">Vomiting  </w:t>
            </w:r>
          </w:p>
          <w:p w14:paraId="72FAF9D5" w14:textId="77777777" w:rsidR="000B4013" w:rsidRPr="0045216F" w:rsidRDefault="00000000">
            <w:pPr>
              <w:spacing w:after="41" w:line="259" w:lineRule="auto"/>
              <w:ind w:left="0" w:firstLine="0"/>
              <w:rPr>
                <w:sz w:val="28"/>
                <w:szCs w:val="28"/>
                <w:lang w:val="en-US"/>
              </w:rPr>
            </w:pPr>
            <w:r w:rsidRPr="0045216F">
              <w:rPr>
                <w:sz w:val="28"/>
                <w:szCs w:val="28"/>
                <w:lang w:val="en-US"/>
              </w:rPr>
              <w:t xml:space="preserve">Diarrhoea  </w:t>
            </w:r>
          </w:p>
          <w:p w14:paraId="214F4A8E" w14:textId="77777777" w:rsidR="000B4013" w:rsidRPr="0045216F" w:rsidRDefault="00000000">
            <w:pPr>
              <w:spacing w:after="43" w:line="259" w:lineRule="auto"/>
              <w:ind w:left="0" w:firstLine="0"/>
              <w:rPr>
                <w:sz w:val="28"/>
                <w:szCs w:val="28"/>
                <w:lang w:val="en-US"/>
              </w:rPr>
            </w:pPr>
            <w:r w:rsidRPr="0045216F">
              <w:rPr>
                <w:sz w:val="28"/>
                <w:szCs w:val="28"/>
                <w:lang w:val="en-US"/>
              </w:rPr>
              <w:t xml:space="preserve">Nausea  </w:t>
            </w:r>
          </w:p>
          <w:p w14:paraId="79EBEBE5" w14:textId="77777777" w:rsidR="000B4013" w:rsidRPr="0045216F" w:rsidRDefault="00000000">
            <w:pPr>
              <w:spacing w:after="0" w:line="259" w:lineRule="auto"/>
              <w:ind w:left="0" w:firstLine="0"/>
              <w:rPr>
                <w:sz w:val="28"/>
                <w:szCs w:val="28"/>
                <w:lang w:val="en-US"/>
              </w:rPr>
            </w:pPr>
            <w:r w:rsidRPr="0045216F">
              <w:rPr>
                <w:sz w:val="28"/>
                <w:szCs w:val="28"/>
                <w:lang w:val="en-US"/>
              </w:rPr>
              <w:t xml:space="preserve">Abdominal pain  </w:t>
            </w:r>
          </w:p>
        </w:tc>
        <w:tc>
          <w:tcPr>
            <w:tcW w:w="2463" w:type="dxa"/>
            <w:tcBorders>
              <w:top w:val="single" w:sz="6" w:space="0" w:color="000000"/>
              <w:left w:val="single" w:sz="6" w:space="0" w:color="000000"/>
              <w:bottom w:val="single" w:sz="6" w:space="0" w:color="000000"/>
              <w:right w:val="single" w:sz="6" w:space="0" w:color="000000"/>
            </w:tcBorders>
          </w:tcPr>
          <w:p w14:paraId="6AC5A6E0" w14:textId="77777777" w:rsidR="000B4013" w:rsidRPr="0045216F" w:rsidRDefault="00000000">
            <w:pPr>
              <w:spacing w:after="42" w:line="259" w:lineRule="auto"/>
              <w:ind w:left="0" w:firstLine="0"/>
              <w:rPr>
                <w:sz w:val="28"/>
                <w:szCs w:val="28"/>
              </w:rPr>
            </w:pPr>
            <w:r w:rsidRPr="0045216F">
              <w:rPr>
                <w:sz w:val="28"/>
                <w:szCs w:val="28"/>
              </w:rPr>
              <w:t xml:space="preserve">Glossitis  </w:t>
            </w:r>
          </w:p>
          <w:p w14:paraId="3B9FD4CA" w14:textId="77777777" w:rsidR="000B4013" w:rsidRPr="0045216F" w:rsidRDefault="00000000">
            <w:pPr>
              <w:spacing w:after="43" w:line="259" w:lineRule="auto"/>
              <w:ind w:left="0" w:firstLine="0"/>
              <w:rPr>
                <w:sz w:val="28"/>
                <w:szCs w:val="28"/>
              </w:rPr>
            </w:pPr>
            <w:r w:rsidRPr="0045216F">
              <w:rPr>
                <w:sz w:val="28"/>
                <w:szCs w:val="28"/>
              </w:rPr>
              <w:t xml:space="preserve">Stomatitus  </w:t>
            </w:r>
          </w:p>
          <w:p w14:paraId="7DB31522" w14:textId="77777777" w:rsidR="000B4013" w:rsidRPr="0045216F" w:rsidRDefault="00000000">
            <w:pPr>
              <w:spacing w:after="0" w:line="259" w:lineRule="auto"/>
              <w:ind w:left="0" w:firstLine="0"/>
              <w:rPr>
                <w:sz w:val="28"/>
                <w:szCs w:val="28"/>
              </w:rPr>
            </w:pPr>
            <w:r w:rsidRPr="0045216F">
              <w:rPr>
                <w:sz w:val="28"/>
                <w:szCs w:val="28"/>
              </w:rPr>
              <w:t xml:space="preserve">Tongue discolouration  </w:t>
            </w:r>
          </w:p>
        </w:tc>
      </w:tr>
      <w:tr w:rsidR="000B4013" w:rsidRPr="0045216F" w14:paraId="544FABC6" w14:textId="77777777" w:rsidTr="001D42B1">
        <w:trPr>
          <w:trHeight w:val="668"/>
        </w:trPr>
        <w:tc>
          <w:tcPr>
            <w:tcW w:w="3122" w:type="dxa"/>
            <w:tcBorders>
              <w:top w:val="single" w:sz="6" w:space="0" w:color="000000"/>
              <w:left w:val="single" w:sz="6" w:space="0" w:color="000000"/>
              <w:bottom w:val="single" w:sz="6" w:space="0" w:color="000000"/>
              <w:right w:val="single" w:sz="6" w:space="0" w:color="000000"/>
            </w:tcBorders>
          </w:tcPr>
          <w:p w14:paraId="314D862F" w14:textId="77777777" w:rsidR="000B4013" w:rsidRPr="0045216F" w:rsidRDefault="00000000">
            <w:pPr>
              <w:spacing w:after="0" w:line="259" w:lineRule="auto"/>
              <w:ind w:left="34" w:firstLine="0"/>
              <w:rPr>
                <w:sz w:val="28"/>
                <w:szCs w:val="28"/>
                <w:lang w:val="en-US"/>
              </w:rPr>
            </w:pPr>
            <w:r w:rsidRPr="0045216F">
              <w:rPr>
                <w:sz w:val="28"/>
                <w:szCs w:val="28"/>
                <w:lang w:val="en-US"/>
              </w:rPr>
              <w:t xml:space="preserve">Skin and subcutaneous tissue disorders  </w:t>
            </w:r>
          </w:p>
        </w:tc>
        <w:tc>
          <w:tcPr>
            <w:tcW w:w="2127" w:type="dxa"/>
            <w:tcBorders>
              <w:top w:val="single" w:sz="6" w:space="0" w:color="000000"/>
              <w:left w:val="single" w:sz="6" w:space="0" w:color="000000"/>
              <w:bottom w:val="single" w:sz="6" w:space="0" w:color="000000"/>
              <w:right w:val="single" w:sz="6" w:space="0" w:color="000000"/>
            </w:tcBorders>
          </w:tcPr>
          <w:p w14:paraId="06218D99" w14:textId="77777777" w:rsidR="000B4013" w:rsidRPr="0045216F" w:rsidRDefault="00000000">
            <w:pPr>
              <w:spacing w:after="0" w:line="259" w:lineRule="auto"/>
              <w:ind w:left="0" w:firstLine="0"/>
              <w:rPr>
                <w:sz w:val="28"/>
                <w:szCs w:val="28"/>
              </w:rPr>
            </w:pPr>
            <w:r w:rsidRPr="0045216F">
              <w:rPr>
                <w:sz w:val="28"/>
                <w:szCs w:val="28"/>
              </w:rPr>
              <w:t xml:space="preserve">Dermatitis allergic Pruritis  </w:t>
            </w:r>
          </w:p>
        </w:tc>
        <w:tc>
          <w:tcPr>
            <w:tcW w:w="2463" w:type="dxa"/>
            <w:tcBorders>
              <w:top w:val="single" w:sz="6" w:space="0" w:color="000000"/>
              <w:left w:val="single" w:sz="6" w:space="0" w:color="000000"/>
              <w:bottom w:val="single" w:sz="6" w:space="0" w:color="000000"/>
              <w:right w:val="single" w:sz="6" w:space="0" w:color="000000"/>
            </w:tcBorders>
          </w:tcPr>
          <w:p w14:paraId="5041D5DC" w14:textId="77777777" w:rsidR="000B4013" w:rsidRPr="0045216F" w:rsidRDefault="00000000">
            <w:pPr>
              <w:spacing w:after="42" w:line="259" w:lineRule="auto"/>
              <w:ind w:left="0" w:firstLine="0"/>
              <w:rPr>
                <w:sz w:val="28"/>
                <w:szCs w:val="28"/>
              </w:rPr>
            </w:pPr>
            <w:r w:rsidRPr="0045216F">
              <w:rPr>
                <w:sz w:val="28"/>
                <w:szCs w:val="28"/>
              </w:rPr>
              <w:t xml:space="preserve">Angioedema  </w:t>
            </w:r>
          </w:p>
          <w:p w14:paraId="08B64A5E" w14:textId="77777777" w:rsidR="000B4013" w:rsidRPr="0045216F" w:rsidRDefault="00000000">
            <w:pPr>
              <w:spacing w:after="0" w:line="259" w:lineRule="auto"/>
              <w:ind w:left="0" w:firstLine="0"/>
              <w:rPr>
                <w:sz w:val="28"/>
                <w:szCs w:val="28"/>
              </w:rPr>
            </w:pPr>
            <w:r w:rsidRPr="0045216F">
              <w:rPr>
                <w:sz w:val="28"/>
                <w:szCs w:val="28"/>
              </w:rPr>
              <w:t xml:space="preserve">Urticaria  </w:t>
            </w:r>
          </w:p>
        </w:tc>
      </w:tr>
      <w:tr w:rsidR="000B4013" w:rsidRPr="0045216F" w14:paraId="54AE7B0F" w14:textId="77777777" w:rsidTr="001D42B1">
        <w:trPr>
          <w:trHeight w:val="370"/>
        </w:trPr>
        <w:tc>
          <w:tcPr>
            <w:tcW w:w="3122" w:type="dxa"/>
            <w:tcBorders>
              <w:top w:val="single" w:sz="6" w:space="0" w:color="000000"/>
              <w:left w:val="single" w:sz="6" w:space="0" w:color="000000"/>
              <w:bottom w:val="single" w:sz="6" w:space="0" w:color="000000"/>
              <w:right w:val="single" w:sz="6" w:space="0" w:color="000000"/>
            </w:tcBorders>
          </w:tcPr>
          <w:p w14:paraId="0F7DAA8B" w14:textId="77777777" w:rsidR="000B4013" w:rsidRPr="0045216F" w:rsidRDefault="00000000">
            <w:pPr>
              <w:spacing w:after="0" w:line="259" w:lineRule="auto"/>
              <w:ind w:left="34" w:firstLine="0"/>
              <w:rPr>
                <w:sz w:val="28"/>
                <w:szCs w:val="28"/>
              </w:rPr>
            </w:pPr>
            <w:r w:rsidRPr="0045216F">
              <w:rPr>
                <w:sz w:val="28"/>
                <w:szCs w:val="28"/>
              </w:rPr>
              <w:t xml:space="preserve">Renal and urinary disorders  </w:t>
            </w:r>
          </w:p>
        </w:tc>
        <w:tc>
          <w:tcPr>
            <w:tcW w:w="2127" w:type="dxa"/>
            <w:tcBorders>
              <w:top w:val="single" w:sz="6" w:space="0" w:color="000000"/>
              <w:left w:val="single" w:sz="6" w:space="0" w:color="000000"/>
              <w:bottom w:val="single" w:sz="6" w:space="0" w:color="000000"/>
              <w:right w:val="single" w:sz="6" w:space="0" w:color="000000"/>
            </w:tcBorders>
          </w:tcPr>
          <w:p w14:paraId="63044147" w14:textId="77777777" w:rsidR="000B4013" w:rsidRPr="0045216F" w:rsidRDefault="00000000">
            <w:pPr>
              <w:spacing w:after="0" w:line="259" w:lineRule="auto"/>
              <w:ind w:left="0" w:firstLine="0"/>
              <w:rPr>
                <w:sz w:val="28"/>
                <w:szCs w:val="28"/>
              </w:rPr>
            </w:pPr>
            <w:r w:rsidRPr="0045216F">
              <w:rPr>
                <w:sz w:val="28"/>
                <w:szCs w:val="28"/>
              </w:rP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35493622" w14:textId="77777777" w:rsidR="000B4013" w:rsidRPr="0045216F" w:rsidRDefault="00000000">
            <w:pPr>
              <w:spacing w:after="0" w:line="259" w:lineRule="auto"/>
              <w:ind w:left="0" w:firstLine="0"/>
              <w:rPr>
                <w:sz w:val="28"/>
                <w:szCs w:val="28"/>
              </w:rPr>
            </w:pPr>
            <w:r w:rsidRPr="0045216F">
              <w:rPr>
                <w:sz w:val="28"/>
                <w:szCs w:val="28"/>
              </w:rPr>
              <w:t xml:space="preserve">Chromaturia  </w:t>
            </w:r>
          </w:p>
        </w:tc>
      </w:tr>
      <w:tr w:rsidR="000B4013" w:rsidRPr="0045216F" w14:paraId="684E7FA5" w14:textId="77777777" w:rsidTr="001D42B1">
        <w:trPr>
          <w:trHeight w:val="662"/>
        </w:trPr>
        <w:tc>
          <w:tcPr>
            <w:tcW w:w="3122" w:type="dxa"/>
            <w:tcBorders>
              <w:top w:val="single" w:sz="6" w:space="0" w:color="000000"/>
              <w:left w:val="single" w:sz="6" w:space="0" w:color="000000"/>
              <w:bottom w:val="single" w:sz="6" w:space="0" w:color="000000"/>
              <w:right w:val="single" w:sz="6" w:space="0" w:color="000000"/>
            </w:tcBorders>
          </w:tcPr>
          <w:p w14:paraId="44B3DDF1" w14:textId="77777777" w:rsidR="000B4013" w:rsidRPr="0045216F" w:rsidRDefault="00000000">
            <w:pPr>
              <w:spacing w:after="0" w:line="259" w:lineRule="auto"/>
              <w:ind w:left="34" w:firstLine="0"/>
              <w:rPr>
                <w:sz w:val="28"/>
                <w:szCs w:val="28"/>
                <w:lang w:val="en-US"/>
              </w:rPr>
            </w:pPr>
            <w:r w:rsidRPr="0045216F">
              <w:rPr>
                <w:sz w:val="28"/>
                <w:szCs w:val="28"/>
                <w:lang w:val="en-US"/>
              </w:rPr>
              <w:t xml:space="preserve">General disorders and administration site conditions  </w:t>
            </w:r>
          </w:p>
        </w:tc>
        <w:tc>
          <w:tcPr>
            <w:tcW w:w="2127" w:type="dxa"/>
            <w:tcBorders>
              <w:top w:val="single" w:sz="6" w:space="0" w:color="000000"/>
              <w:left w:val="single" w:sz="6" w:space="0" w:color="000000"/>
              <w:bottom w:val="single" w:sz="6" w:space="0" w:color="000000"/>
              <w:right w:val="single" w:sz="6" w:space="0" w:color="000000"/>
            </w:tcBorders>
          </w:tcPr>
          <w:p w14:paraId="43564B2E" w14:textId="77777777" w:rsidR="000B4013" w:rsidRPr="0045216F" w:rsidRDefault="00000000">
            <w:pPr>
              <w:spacing w:after="0" w:line="259" w:lineRule="auto"/>
              <w:ind w:left="0" w:firstLine="0"/>
              <w:rPr>
                <w:sz w:val="28"/>
                <w:szCs w:val="28"/>
                <w:lang w:val="en-US"/>
              </w:rPr>
            </w:pPr>
            <w:r w:rsidRPr="0045216F">
              <w:rPr>
                <w:sz w:val="28"/>
                <w:szCs w:val="28"/>
                <w:lang w:val="en-US"/>
              </w:rPr>
              <w:t xml:space="preserve">  </w:t>
            </w:r>
          </w:p>
        </w:tc>
        <w:tc>
          <w:tcPr>
            <w:tcW w:w="2463" w:type="dxa"/>
            <w:tcBorders>
              <w:top w:val="single" w:sz="6" w:space="0" w:color="000000"/>
              <w:left w:val="single" w:sz="6" w:space="0" w:color="000000"/>
              <w:bottom w:val="single" w:sz="6" w:space="0" w:color="000000"/>
              <w:right w:val="single" w:sz="6" w:space="0" w:color="000000"/>
            </w:tcBorders>
          </w:tcPr>
          <w:p w14:paraId="608EFB60" w14:textId="77777777" w:rsidR="000B4013" w:rsidRPr="0045216F" w:rsidRDefault="00000000">
            <w:pPr>
              <w:spacing w:after="0" w:line="259" w:lineRule="auto"/>
              <w:ind w:left="0" w:firstLine="0"/>
              <w:rPr>
                <w:sz w:val="28"/>
                <w:szCs w:val="28"/>
              </w:rPr>
            </w:pPr>
            <w:r w:rsidRPr="0045216F">
              <w:rPr>
                <w:sz w:val="28"/>
                <w:szCs w:val="28"/>
              </w:rPr>
              <w:t xml:space="preserve">Pyrexia Fatigue  </w:t>
            </w:r>
          </w:p>
        </w:tc>
      </w:tr>
    </w:tbl>
    <w:p w14:paraId="51FE519A" w14:textId="77777777" w:rsidR="001D42B1" w:rsidRDefault="00000000" w:rsidP="001D42B1">
      <w:pPr>
        <w:pStyle w:val="Heading2"/>
        <w:spacing w:before="240" w:after="240" w:line="360" w:lineRule="auto"/>
        <w:ind w:left="0" w:firstLine="720"/>
        <w:rPr>
          <w:sz w:val="28"/>
          <w:szCs w:val="28"/>
          <w:u w:val="none"/>
        </w:rPr>
      </w:pPr>
      <w:r w:rsidRPr="0045216F">
        <w:rPr>
          <w:sz w:val="28"/>
          <w:szCs w:val="28"/>
        </w:rPr>
        <w:lastRenderedPageBreak/>
        <w:t>Reporting of suspected adverse reactions</w:t>
      </w:r>
      <w:r w:rsidRPr="0045216F">
        <w:rPr>
          <w:sz w:val="28"/>
          <w:szCs w:val="28"/>
          <w:u w:val="none"/>
        </w:rPr>
        <w:t xml:space="preserve">  </w:t>
      </w:r>
    </w:p>
    <w:p w14:paraId="26A0417A" w14:textId="0FE4A799" w:rsidR="000B4013" w:rsidRPr="0045216F" w:rsidRDefault="001D42B1" w:rsidP="001D42B1">
      <w:pPr>
        <w:pStyle w:val="Heading2"/>
        <w:spacing w:before="240" w:after="240" w:line="360" w:lineRule="auto"/>
        <w:ind w:left="720" w:firstLine="72"/>
        <w:jc w:val="thaiDistribute"/>
        <w:rPr>
          <w:sz w:val="28"/>
          <w:szCs w:val="28"/>
        </w:rPr>
      </w:pPr>
      <w:r w:rsidRPr="001D42B1">
        <w:rPr>
          <w:sz w:val="28"/>
          <w:szCs w:val="28"/>
          <w:u w:val="none"/>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 Thai FDA.  </w:t>
      </w:r>
    </w:p>
    <w:p w14:paraId="6CB3969C" w14:textId="67481B81" w:rsidR="000B4013" w:rsidRPr="0045216F" w:rsidRDefault="00000000" w:rsidP="001D42B1">
      <w:pPr>
        <w:pStyle w:val="Heading3"/>
        <w:numPr>
          <w:ilvl w:val="1"/>
          <w:numId w:val="3"/>
        </w:numPr>
        <w:tabs>
          <w:tab w:val="center" w:pos="1220"/>
        </w:tabs>
        <w:rPr>
          <w:sz w:val="28"/>
          <w:szCs w:val="28"/>
        </w:rPr>
      </w:pPr>
      <w:r w:rsidRPr="0045216F">
        <w:rPr>
          <w:sz w:val="28"/>
          <w:szCs w:val="28"/>
        </w:rPr>
        <w:t xml:space="preserve">Overdose  </w:t>
      </w:r>
    </w:p>
    <w:p w14:paraId="40A5C613" w14:textId="77777777" w:rsidR="000B4013" w:rsidRPr="0045216F" w:rsidRDefault="00000000">
      <w:pPr>
        <w:spacing w:after="0" w:line="259" w:lineRule="auto"/>
        <w:ind w:left="14" w:firstLine="0"/>
        <w:rPr>
          <w:rFonts w:cs="Times New Roman"/>
          <w:sz w:val="28"/>
          <w:szCs w:val="28"/>
          <w:lang w:val="en-US"/>
        </w:rPr>
      </w:pPr>
      <w:r w:rsidRPr="0045216F">
        <w:rPr>
          <w:rFonts w:cs="Times New Roman"/>
          <w:sz w:val="28"/>
          <w:szCs w:val="28"/>
          <w:lang w:val="en-US"/>
        </w:rPr>
        <w:t xml:space="preserve">  </w:t>
      </w:r>
    </w:p>
    <w:p w14:paraId="32AC93DB" w14:textId="77777777"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Signs and symptoms of overdosage: There are no reported overdoses in humans with </w:t>
      </w:r>
      <w:r w:rsidRPr="0045216F">
        <w:rPr>
          <w:rFonts w:cs="Times New Roman"/>
          <w:color w:val="FF0000"/>
          <w:sz w:val="28"/>
          <w:szCs w:val="28"/>
          <w:lang w:val="en-US"/>
        </w:rPr>
        <w:t>&lt;Generic Name&gt;</w:t>
      </w:r>
      <w:r w:rsidRPr="0045216F">
        <w:rPr>
          <w:rFonts w:cs="Times New Roman"/>
          <w:sz w:val="28"/>
          <w:szCs w:val="28"/>
          <w:lang w:val="en-US"/>
        </w:rPr>
        <w:t xml:space="preserve">.  </w:t>
      </w:r>
    </w:p>
    <w:p w14:paraId="1E7DE2DD" w14:textId="77777777" w:rsidR="000B4013" w:rsidRPr="0045216F" w:rsidRDefault="00000000" w:rsidP="001D42B1">
      <w:pPr>
        <w:spacing w:after="240" w:line="360" w:lineRule="auto"/>
        <w:ind w:left="714" w:right="23" w:firstLine="0"/>
        <w:jc w:val="thaiDistribute"/>
        <w:rPr>
          <w:rFonts w:cs="Times New Roman"/>
          <w:sz w:val="28"/>
          <w:szCs w:val="28"/>
          <w:lang w:val="en-US"/>
        </w:rPr>
      </w:pPr>
      <w:r w:rsidRPr="0045216F">
        <w:rPr>
          <w:rFonts w:cs="Times New Roman"/>
          <w:sz w:val="28"/>
          <w:szCs w:val="28"/>
          <w:lang w:val="en-US"/>
        </w:rPr>
        <w:t xml:space="preserve">Treatment for overdosage: There is no specific antidote for treatment of overdosage with tinidazole. Treatment is symptomatic and supportive. Gastric lavage may be useful. Tinidazole is easily dialysable.  </w:t>
      </w:r>
    </w:p>
    <w:p w14:paraId="6E721856" w14:textId="77777777" w:rsidR="001D42B1" w:rsidRDefault="00000000" w:rsidP="001D42B1">
      <w:pPr>
        <w:pStyle w:val="Heading1"/>
        <w:numPr>
          <w:ilvl w:val="0"/>
          <w:numId w:val="3"/>
        </w:numPr>
        <w:tabs>
          <w:tab w:val="center" w:pos="3152"/>
        </w:tabs>
        <w:spacing w:after="240"/>
        <w:ind w:left="357" w:hanging="357"/>
        <w:rPr>
          <w:szCs w:val="28"/>
        </w:rPr>
      </w:pPr>
      <w:r w:rsidRPr="0045216F">
        <w:rPr>
          <w:szCs w:val="28"/>
        </w:rPr>
        <w:t xml:space="preserve">PHARMACOLOGICAL PROPERTIES  </w:t>
      </w:r>
    </w:p>
    <w:p w14:paraId="05C25AE8" w14:textId="77777777" w:rsidR="001D42B1" w:rsidRPr="001D42B1" w:rsidRDefault="00000000" w:rsidP="001D42B1">
      <w:pPr>
        <w:pStyle w:val="Heading1"/>
        <w:numPr>
          <w:ilvl w:val="1"/>
          <w:numId w:val="3"/>
        </w:numPr>
        <w:tabs>
          <w:tab w:val="center" w:pos="3152"/>
        </w:tabs>
        <w:spacing w:after="240"/>
        <w:ind w:left="788" w:hanging="431"/>
        <w:rPr>
          <w:szCs w:val="28"/>
        </w:rPr>
      </w:pPr>
      <w:r w:rsidRPr="001D42B1">
        <w:rPr>
          <w:szCs w:val="28"/>
          <w:u w:color="000000"/>
        </w:rPr>
        <w:t xml:space="preserve">Pharmacodynamic properties  </w:t>
      </w:r>
    </w:p>
    <w:p w14:paraId="79DFC6B0" w14:textId="0FE01892" w:rsidR="000B4013" w:rsidRPr="001D42B1" w:rsidRDefault="00000000" w:rsidP="001D42B1">
      <w:pPr>
        <w:pStyle w:val="Heading1"/>
        <w:tabs>
          <w:tab w:val="center" w:pos="3152"/>
        </w:tabs>
        <w:spacing w:line="360" w:lineRule="auto"/>
        <w:ind w:left="792" w:firstLine="0"/>
        <w:rPr>
          <w:b w:val="0"/>
          <w:bCs/>
          <w:szCs w:val="28"/>
        </w:rPr>
      </w:pPr>
      <w:r w:rsidRPr="001D42B1">
        <w:rPr>
          <w:b w:val="0"/>
          <w:bCs/>
          <w:szCs w:val="28"/>
          <w:lang w:val="en-US"/>
        </w:rPr>
        <w:t xml:space="preserve">Pharmacotherapeutic group: Antiinfectives for systemic use  </w:t>
      </w:r>
    </w:p>
    <w:p w14:paraId="18D63FAE" w14:textId="77777777" w:rsidR="000B4013" w:rsidRPr="001D42B1" w:rsidRDefault="00000000" w:rsidP="001D42B1">
      <w:pPr>
        <w:spacing w:after="240" w:line="360" w:lineRule="auto"/>
        <w:ind w:left="725" w:right="23" w:hanging="11"/>
        <w:rPr>
          <w:rFonts w:cs="Times New Roman"/>
          <w:bCs/>
          <w:sz w:val="28"/>
          <w:szCs w:val="28"/>
          <w:lang w:val="en-US"/>
        </w:rPr>
      </w:pPr>
      <w:r w:rsidRPr="001D42B1">
        <w:rPr>
          <w:rFonts w:cs="Times New Roman"/>
          <w:bCs/>
          <w:sz w:val="28"/>
          <w:szCs w:val="28"/>
          <w:lang w:val="en-US"/>
        </w:rPr>
        <w:t xml:space="preserve">ATC code: J 01XD02  </w:t>
      </w:r>
    </w:p>
    <w:p w14:paraId="5A8C6B2B" w14:textId="1BA1DC66"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color w:val="FF0000"/>
          <w:sz w:val="28"/>
          <w:szCs w:val="28"/>
          <w:lang w:val="en-US"/>
        </w:rPr>
        <w:t>&lt;Generic Name&gt;</w:t>
      </w:r>
      <w:r w:rsidRPr="0045216F">
        <w:rPr>
          <w:rFonts w:cs="Times New Roman"/>
          <w:sz w:val="28"/>
          <w:szCs w:val="28"/>
          <w:lang w:val="en-US"/>
        </w:rPr>
        <w:t xml:space="preserve"> is active against both protozoa and obligate anaerobic bacteria.  The activity against protozoa involves </w:t>
      </w:r>
      <w:r w:rsidRPr="0045216F">
        <w:rPr>
          <w:rFonts w:cs="Times New Roman"/>
          <w:i/>
          <w:sz w:val="28"/>
          <w:szCs w:val="28"/>
          <w:lang w:val="en-US"/>
        </w:rPr>
        <w:t>Trichomonas vaginalis</w:t>
      </w:r>
      <w:r w:rsidRPr="0045216F">
        <w:rPr>
          <w:rFonts w:cs="Times New Roman"/>
          <w:sz w:val="28"/>
          <w:szCs w:val="28"/>
          <w:lang w:val="en-US"/>
        </w:rPr>
        <w:t xml:space="preserve">, </w:t>
      </w:r>
      <w:r w:rsidRPr="0045216F">
        <w:rPr>
          <w:rFonts w:cs="Times New Roman"/>
          <w:i/>
          <w:sz w:val="28"/>
          <w:szCs w:val="28"/>
          <w:lang w:val="en-US"/>
        </w:rPr>
        <w:t>Entamoeba histolytica</w:t>
      </w:r>
      <w:r w:rsidRPr="0045216F">
        <w:rPr>
          <w:rFonts w:cs="Times New Roman"/>
          <w:sz w:val="28"/>
          <w:szCs w:val="28"/>
          <w:lang w:val="en-US"/>
        </w:rPr>
        <w:t xml:space="preserve"> and </w:t>
      </w:r>
      <w:r w:rsidRPr="0045216F">
        <w:rPr>
          <w:rFonts w:cs="Times New Roman"/>
          <w:i/>
          <w:sz w:val="28"/>
          <w:szCs w:val="28"/>
          <w:lang w:val="en-US"/>
        </w:rPr>
        <w:t>Giardia lamblia.</w:t>
      </w:r>
      <w:r w:rsidRPr="0045216F">
        <w:rPr>
          <w:rFonts w:cs="Times New Roman"/>
          <w:sz w:val="28"/>
          <w:szCs w:val="28"/>
          <w:lang w:val="en-US"/>
        </w:rPr>
        <w:t xml:space="preserve">  </w:t>
      </w:r>
    </w:p>
    <w:p w14:paraId="57F837F2" w14:textId="77777777" w:rsidR="000B4013" w:rsidRPr="0045216F" w:rsidRDefault="00000000" w:rsidP="001D42B1">
      <w:pPr>
        <w:spacing w:line="360" w:lineRule="auto"/>
        <w:ind w:left="725" w:right="23"/>
        <w:jc w:val="thaiDistribute"/>
        <w:rPr>
          <w:rFonts w:cs="Times New Roman"/>
          <w:sz w:val="28"/>
          <w:szCs w:val="28"/>
          <w:lang w:val="en-US"/>
        </w:rPr>
      </w:pPr>
      <w:r w:rsidRPr="0045216F">
        <w:rPr>
          <w:rFonts w:cs="Times New Roman"/>
          <w:sz w:val="28"/>
          <w:szCs w:val="28"/>
          <w:lang w:val="en-US"/>
        </w:rPr>
        <w:t xml:space="preserve">The mode of action of </w:t>
      </w:r>
      <w:r w:rsidRPr="0045216F">
        <w:rPr>
          <w:rFonts w:cs="Times New Roman"/>
          <w:color w:val="FF0000"/>
          <w:sz w:val="28"/>
          <w:szCs w:val="28"/>
          <w:lang w:val="en-US"/>
        </w:rPr>
        <w:t>&lt;Generic Name&gt;</w:t>
      </w:r>
      <w:r w:rsidRPr="0045216F">
        <w:rPr>
          <w:rFonts w:cs="Times New Roman"/>
          <w:sz w:val="28"/>
          <w:szCs w:val="28"/>
          <w:lang w:val="en-US"/>
        </w:rPr>
        <w:t xml:space="preserve"> against anaerobic bacteria and protozoa involves penetration of the drug into the cell of the micro-organism and subsequent damage of DNA strands or inhibition of their synthesis.  </w:t>
      </w:r>
    </w:p>
    <w:p w14:paraId="249375D8" w14:textId="5FA92226" w:rsidR="000B4013" w:rsidRPr="0045216F" w:rsidRDefault="00000000" w:rsidP="001D42B1">
      <w:pPr>
        <w:spacing w:after="240" w:line="360" w:lineRule="auto"/>
        <w:ind w:left="714" w:right="23" w:firstLine="0"/>
        <w:jc w:val="thaiDistribute"/>
        <w:rPr>
          <w:rFonts w:cs="Times New Roman"/>
          <w:sz w:val="28"/>
          <w:szCs w:val="28"/>
          <w:lang w:val="en-US"/>
        </w:rPr>
      </w:pPr>
      <w:r w:rsidRPr="0045216F">
        <w:rPr>
          <w:rFonts w:cs="Times New Roman"/>
          <w:color w:val="FF0000"/>
          <w:sz w:val="28"/>
          <w:szCs w:val="28"/>
          <w:lang w:val="en-US"/>
        </w:rPr>
        <w:lastRenderedPageBreak/>
        <w:t>&lt;Generic Name&gt;</w:t>
      </w:r>
      <w:r w:rsidRPr="0045216F">
        <w:rPr>
          <w:rFonts w:cs="Times New Roman"/>
          <w:sz w:val="28"/>
          <w:szCs w:val="28"/>
          <w:lang w:val="en-US"/>
        </w:rPr>
        <w:t xml:space="preserve"> is active against </w:t>
      </w:r>
      <w:r w:rsidRPr="0045216F">
        <w:rPr>
          <w:rFonts w:cs="Times New Roman"/>
          <w:i/>
          <w:sz w:val="28"/>
          <w:szCs w:val="28"/>
          <w:lang w:val="en-US"/>
        </w:rPr>
        <w:t>Helicobacter pylori</w:t>
      </w:r>
      <w:r w:rsidRPr="0045216F">
        <w:rPr>
          <w:rFonts w:cs="Times New Roman"/>
          <w:sz w:val="28"/>
          <w:szCs w:val="28"/>
          <w:lang w:val="en-US"/>
        </w:rPr>
        <w:t xml:space="preserve">, </w:t>
      </w:r>
      <w:r w:rsidRPr="0045216F">
        <w:rPr>
          <w:rFonts w:cs="Times New Roman"/>
          <w:i/>
          <w:sz w:val="28"/>
          <w:szCs w:val="28"/>
          <w:lang w:val="en-US"/>
        </w:rPr>
        <w:t>Gardnerella vaginalis</w:t>
      </w:r>
      <w:r w:rsidRPr="0045216F">
        <w:rPr>
          <w:rFonts w:cs="Times New Roman"/>
          <w:sz w:val="28"/>
          <w:szCs w:val="28"/>
          <w:lang w:val="en-US"/>
        </w:rPr>
        <w:t xml:space="preserve"> and most anaerobic bacteria including </w:t>
      </w:r>
      <w:r w:rsidRPr="0045216F">
        <w:rPr>
          <w:rFonts w:cs="Times New Roman"/>
          <w:i/>
          <w:sz w:val="28"/>
          <w:szCs w:val="28"/>
          <w:lang w:val="en-US"/>
        </w:rPr>
        <w:t>Bacteroides fragilis</w:t>
      </w:r>
      <w:r w:rsidRPr="0045216F">
        <w:rPr>
          <w:rFonts w:cs="Times New Roman"/>
          <w:sz w:val="28"/>
          <w:szCs w:val="28"/>
          <w:lang w:val="en-US"/>
        </w:rPr>
        <w:t xml:space="preserve">, </w:t>
      </w:r>
      <w:r w:rsidRPr="0045216F">
        <w:rPr>
          <w:rFonts w:cs="Times New Roman"/>
          <w:i/>
          <w:sz w:val="28"/>
          <w:szCs w:val="28"/>
          <w:lang w:val="en-US"/>
        </w:rPr>
        <w:t>Bacteroides melaninogenicus</w:t>
      </w:r>
      <w:r w:rsidRPr="0045216F">
        <w:rPr>
          <w:rFonts w:cs="Times New Roman"/>
          <w:sz w:val="28"/>
          <w:szCs w:val="28"/>
          <w:lang w:val="en-US"/>
        </w:rPr>
        <w:t xml:space="preserve">, Bacteroides spp., Clostridium spp., Eubacterium spp., </w:t>
      </w:r>
      <w:r w:rsidR="001D42B1" w:rsidRPr="001D42B1">
        <w:rPr>
          <w:rFonts w:cs="Times New Roman"/>
          <w:sz w:val="28"/>
          <w:szCs w:val="28"/>
          <w:lang w:val="en-US"/>
        </w:rPr>
        <w:t xml:space="preserve">Fusobacterium spp., Peptococcus spp., Peptostreptococcus spp. and Veillonella spp.  </w:t>
      </w:r>
    </w:p>
    <w:p w14:paraId="07742993" w14:textId="09D9A466" w:rsidR="000B4013" w:rsidRPr="0045216F" w:rsidRDefault="00000000" w:rsidP="001D42B1">
      <w:pPr>
        <w:spacing w:after="240" w:line="360" w:lineRule="auto"/>
        <w:ind w:left="714" w:right="23" w:firstLine="0"/>
        <w:jc w:val="thaiDistribute"/>
        <w:rPr>
          <w:rFonts w:cs="Times New Roman"/>
          <w:sz w:val="28"/>
          <w:szCs w:val="28"/>
          <w:lang w:val="en-US"/>
        </w:rPr>
      </w:pPr>
      <w:r w:rsidRPr="0045216F">
        <w:rPr>
          <w:rFonts w:cs="Times New Roman"/>
          <w:i/>
          <w:sz w:val="28"/>
          <w:szCs w:val="28"/>
          <w:lang w:val="en-US"/>
        </w:rPr>
        <w:t>Helicobacter pylori (</w:t>
      </w:r>
      <w:proofErr w:type="gramStart"/>
      <w:r w:rsidRPr="0045216F">
        <w:rPr>
          <w:rFonts w:cs="Times New Roman"/>
          <w:i/>
          <w:sz w:val="28"/>
          <w:szCs w:val="28"/>
          <w:lang w:val="en-US"/>
        </w:rPr>
        <w:t>H.pylori</w:t>
      </w:r>
      <w:proofErr w:type="gramEnd"/>
      <w:r w:rsidRPr="0045216F">
        <w:rPr>
          <w:rFonts w:cs="Times New Roman"/>
          <w:i/>
          <w:sz w:val="28"/>
          <w:szCs w:val="28"/>
          <w:lang w:val="en-US"/>
        </w:rPr>
        <w:t>)</w:t>
      </w:r>
      <w:r w:rsidRPr="0045216F">
        <w:rPr>
          <w:rFonts w:cs="Times New Roman"/>
          <w:sz w:val="28"/>
          <w:szCs w:val="28"/>
          <w:lang w:val="en-US"/>
        </w:rPr>
        <w:t xml:space="preserve"> is associated with acid peptic disease including duodenal ulcer and gastric ulcer in which about 95% and 80% of patients respectively are infected with this agent.  </w:t>
      </w:r>
      <w:proofErr w:type="gramStart"/>
      <w:r w:rsidRPr="0045216F">
        <w:rPr>
          <w:rFonts w:cs="Times New Roman"/>
          <w:i/>
          <w:sz w:val="28"/>
          <w:szCs w:val="28"/>
          <w:lang w:val="en-US"/>
        </w:rPr>
        <w:t>H.pylori</w:t>
      </w:r>
      <w:proofErr w:type="gramEnd"/>
      <w:r w:rsidRPr="0045216F">
        <w:rPr>
          <w:rFonts w:cs="Times New Roman"/>
          <w:sz w:val="28"/>
          <w:szCs w:val="28"/>
          <w:lang w:val="en-US"/>
        </w:rPr>
        <w:t xml:space="preserve"> is also implicated as a major contributing factor in the development of gastritis and ulcer recurrence in such patients.  Evidence suggests a causative link between </w:t>
      </w:r>
      <w:proofErr w:type="gramStart"/>
      <w:r w:rsidRPr="0045216F">
        <w:rPr>
          <w:rFonts w:cs="Times New Roman"/>
          <w:i/>
          <w:sz w:val="28"/>
          <w:szCs w:val="28"/>
          <w:lang w:val="en-US"/>
        </w:rPr>
        <w:t>H.pylori</w:t>
      </w:r>
      <w:proofErr w:type="gramEnd"/>
      <w:r w:rsidRPr="0045216F">
        <w:rPr>
          <w:rFonts w:cs="Times New Roman"/>
          <w:sz w:val="28"/>
          <w:szCs w:val="28"/>
          <w:lang w:val="en-US"/>
        </w:rPr>
        <w:t xml:space="preserve"> and gastric carcinoma.  </w:t>
      </w:r>
    </w:p>
    <w:p w14:paraId="53489C3E" w14:textId="01370FB4"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Clinical evidence has shown that the combination of </w:t>
      </w:r>
      <w:r w:rsidRPr="0045216F">
        <w:rPr>
          <w:rFonts w:cs="Times New Roman"/>
          <w:color w:val="FF0000"/>
          <w:sz w:val="28"/>
          <w:szCs w:val="28"/>
          <w:lang w:val="en-US"/>
        </w:rPr>
        <w:t>&lt;Generic Name&gt;</w:t>
      </w:r>
      <w:r w:rsidRPr="0045216F">
        <w:rPr>
          <w:rFonts w:cs="Times New Roman"/>
          <w:sz w:val="28"/>
          <w:szCs w:val="28"/>
          <w:lang w:val="en-US"/>
        </w:rPr>
        <w:t xml:space="preserve"> with omeprazole and clarithromycin eradicates 91-96% of </w:t>
      </w:r>
      <w:proofErr w:type="gramStart"/>
      <w:r w:rsidRPr="0045216F">
        <w:rPr>
          <w:rFonts w:cs="Times New Roman"/>
          <w:i/>
          <w:sz w:val="28"/>
          <w:szCs w:val="28"/>
          <w:lang w:val="en-US"/>
        </w:rPr>
        <w:t>H.pylori</w:t>
      </w:r>
      <w:proofErr w:type="gramEnd"/>
      <w:r w:rsidRPr="0045216F">
        <w:rPr>
          <w:rFonts w:cs="Times New Roman"/>
          <w:sz w:val="28"/>
          <w:szCs w:val="28"/>
          <w:lang w:val="en-US"/>
        </w:rPr>
        <w:t xml:space="preserve"> isolates.  </w:t>
      </w:r>
    </w:p>
    <w:p w14:paraId="4178C8AB" w14:textId="77777777" w:rsidR="001D42B1"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Various different </w:t>
      </w:r>
      <w:proofErr w:type="gramStart"/>
      <w:r w:rsidRPr="0045216F">
        <w:rPr>
          <w:rFonts w:cs="Times New Roman"/>
          <w:i/>
          <w:sz w:val="28"/>
          <w:szCs w:val="28"/>
          <w:lang w:val="en-US"/>
        </w:rPr>
        <w:t>H.pylori</w:t>
      </w:r>
      <w:proofErr w:type="gramEnd"/>
      <w:r w:rsidRPr="0045216F">
        <w:rPr>
          <w:rFonts w:cs="Times New Roman"/>
          <w:sz w:val="28"/>
          <w:szCs w:val="28"/>
          <w:lang w:val="en-US"/>
        </w:rPr>
        <w:t xml:space="preserve"> eradication regimens have shown that eradication of </w:t>
      </w:r>
      <w:r w:rsidRPr="0045216F">
        <w:rPr>
          <w:rFonts w:cs="Times New Roman"/>
          <w:i/>
          <w:sz w:val="28"/>
          <w:szCs w:val="28"/>
          <w:lang w:val="en-US"/>
        </w:rPr>
        <w:t>H.pylori</w:t>
      </w:r>
      <w:r w:rsidRPr="0045216F">
        <w:rPr>
          <w:rFonts w:cs="Times New Roman"/>
          <w:sz w:val="28"/>
          <w:szCs w:val="28"/>
          <w:lang w:val="en-US"/>
        </w:rPr>
        <w:t xml:space="preserve"> heals duodenal ulcers and reduces the risk of ulcer recurrence.  </w:t>
      </w:r>
    </w:p>
    <w:p w14:paraId="6644DF9C" w14:textId="3A89FE80" w:rsidR="000B4013" w:rsidRPr="001D42B1" w:rsidRDefault="00000000" w:rsidP="001D42B1">
      <w:pPr>
        <w:pStyle w:val="ListParagraph"/>
        <w:numPr>
          <w:ilvl w:val="1"/>
          <w:numId w:val="3"/>
        </w:numPr>
        <w:spacing w:after="240" w:line="360" w:lineRule="auto"/>
        <w:ind w:left="788" w:right="23" w:hanging="431"/>
        <w:contextualSpacing w:val="0"/>
        <w:jc w:val="thaiDistribute"/>
        <w:rPr>
          <w:rFonts w:cs="Times New Roman"/>
          <w:sz w:val="28"/>
          <w:szCs w:val="28"/>
          <w:lang w:val="en-US"/>
        </w:rPr>
      </w:pPr>
      <w:r w:rsidRPr="001D42B1">
        <w:rPr>
          <w:rFonts w:cs="Times New Roman"/>
          <w:b/>
          <w:sz w:val="28"/>
          <w:szCs w:val="28"/>
          <w:u w:color="000000"/>
        </w:rPr>
        <w:t xml:space="preserve">Pharmacokinetic properties  </w:t>
      </w:r>
    </w:p>
    <w:p w14:paraId="5F45091F" w14:textId="1B27E5DC" w:rsidR="000B4013" w:rsidRPr="0045216F" w:rsidRDefault="00000000" w:rsidP="001D42B1">
      <w:pPr>
        <w:spacing w:after="240" w:line="360" w:lineRule="auto"/>
        <w:ind w:left="732" w:right="6" w:hanging="23"/>
        <w:jc w:val="both"/>
        <w:rPr>
          <w:rFonts w:cs="Times New Roman"/>
          <w:sz w:val="28"/>
          <w:szCs w:val="28"/>
          <w:lang w:val="en-US"/>
        </w:rPr>
      </w:pPr>
      <w:r w:rsidRPr="0045216F">
        <w:rPr>
          <w:rFonts w:cs="Times New Roman"/>
          <w:color w:val="FF0000"/>
          <w:sz w:val="28"/>
          <w:szCs w:val="28"/>
          <w:lang w:val="en-US"/>
        </w:rPr>
        <w:t>&lt;Generic Name&gt;</w:t>
      </w:r>
      <w:r w:rsidRPr="0045216F">
        <w:rPr>
          <w:rFonts w:cs="Times New Roman"/>
          <w:sz w:val="28"/>
          <w:szCs w:val="28"/>
          <w:lang w:val="en-US"/>
        </w:rPr>
        <w:t xml:space="preserve"> is rapidly and completely absorbed following oral administration.  In studies with healthy volunteers receiving 2g tinidazole orally, peak serum levels of 40-51 micrograms/ml were achieved within two hours and decreased to between 11-19 micrograms/ml at 24 hours. Healthy volunteers who received 800mg and 1.6g tinidazole IV over 10-15 minutes achieved peak plasma </w:t>
      </w:r>
      <w:r w:rsidRPr="0045216F">
        <w:rPr>
          <w:rFonts w:cs="Times New Roman"/>
          <w:sz w:val="28"/>
          <w:szCs w:val="28"/>
          <w:lang w:val="en-US"/>
        </w:rPr>
        <w:lastRenderedPageBreak/>
        <w:t xml:space="preserve">concentrations that ranged from 14 to 21mcg/ml for the 800mg dose and averaged 32mcg/ml for the 1.6g dose. At 24 hours </w:t>
      </w:r>
      <w:r w:rsidR="001D42B1" w:rsidRPr="0045216F">
        <w:rPr>
          <w:rFonts w:cs="Times New Roman"/>
          <w:sz w:val="28"/>
          <w:szCs w:val="28"/>
          <w:lang w:val="en-US"/>
        </w:rPr>
        <w:t>post infusion</w:t>
      </w:r>
      <w:r w:rsidRPr="0045216F">
        <w:rPr>
          <w:rFonts w:cs="Times New Roman"/>
          <w:sz w:val="28"/>
          <w:szCs w:val="28"/>
          <w:lang w:val="en-US"/>
        </w:rPr>
        <w:t xml:space="preserve">, plasma levels of tinidazole decreased to 4-5mcg/ml and 8.6mcg/ml respectively, justifying once daily dosing. Plasma levels decline slowly and tinidazole can be detected in plasma at concentrations of up to 1 microgram/ml at 72 hours after oral administration.  The plasma elimination half-life for tinidazole is between 12-14 hours.  </w:t>
      </w:r>
    </w:p>
    <w:p w14:paraId="05A3252C" w14:textId="77777777" w:rsidR="000B4013" w:rsidRPr="0045216F" w:rsidRDefault="00000000" w:rsidP="001D42B1">
      <w:pPr>
        <w:spacing w:after="240" w:line="360" w:lineRule="auto"/>
        <w:ind w:left="709" w:right="6" w:firstLine="0"/>
        <w:jc w:val="both"/>
        <w:rPr>
          <w:rFonts w:cs="Times New Roman"/>
          <w:sz w:val="28"/>
          <w:szCs w:val="28"/>
          <w:lang w:val="en-US"/>
        </w:rPr>
      </w:pPr>
      <w:r w:rsidRPr="0045216F">
        <w:rPr>
          <w:rFonts w:cs="Times New Roman"/>
          <w:sz w:val="28"/>
          <w:szCs w:val="28"/>
          <w:lang w:val="en-US"/>
        </w:rPr>
        <w:t xml:space="preserve">Tinidazole is widely distributed in all body tissues </w:t>
      </w:r>
      <w:proofErr w:type="gramStart"/>
      <w:r w:rsidRPr="0045216F">
        <w:rPr>
          <w:rFonts w:cs="Times New Roman"/>
          <w:sz w:val="28"/>
          <w:szCs w:val="28"/>
          <w:lang w:val="en-US"/>
        </w:rPr>
        <w:t>and also</w:t>
      </w:r>
      <w:proofErr w:type="gramEnd"/>
      <w:r w:rsidRPr="0045216F">
        <w:rPr>
          <w:rFonts w:cs="Times New Roman"/>
          <w:sz w:val="28"/>
          <w:szCs w:val="28"/>
          <w:lang w:val="en-US"/>
        </w:rPr>
        <w:t xml:space="preserve"> crosses the blood brain barrier, obtaining clinically effective concentrations in all tissues.  The apparent volume of distribution is about 50 litres.  About 12% of plasma tinidazole is bound to plasma protein.  </w:t>
      </w:r>
    </w:p>
    <w:p w14:paraId="586C90E6" w14:textId="7BE352FC" w:rsidR="000B4013" w:rsidRPr="0045216F" w:rsidRDefault="00000000" w:rsidP="001D42B1">
      <w:pPr>
        <w:spacing w:after="240" w:line="360" w:lineRule="auto"/>
        <w:ind w:left="709" w:right="6" w:firstLine="0"/>
        <w:jc w:val="both"/>
        <w:rPr>
          <w:rFonts w:cs="Times New Roman"/>
          <w:sz w:val="28"/>
          <w:szCs w:val="28"/>
          <w:lang w:val="en-US"/>
        </w:rPr>
      </w:pPr>
      <w:r w:rsidRPr="0045216F">
        <w:rPr>
          <w:rFonts w:cs="Times New Roman"/>
          <w:sz w:val="28"/>
          <w:szCs w:val="28"/>
          <w:lang w:val="en-US"/>
        </w:rPr>
        <w:t xml:space="preserve">Tinidazole is excreted by the liver and kidneys.  Studies in healthy patients have shown that over 5 days, 60-65% of an administered dose is excreted by the kidneys with 2025% of the administered dose excreted as unchanged tinidazole.  Up to 5% of the administered dose is excreted in the faeces.  </w:t>
      </w:r>
    </w:p>
    <w:p w14:paraId="57FF9EC5" w14:textId="77777777" w:rsidR="000B4013" w:rsidRPr="0045216F" w:rsidRDefault="00000000" w:rsidP="001D42B1">
      <w:pPr>
        <w:spacing w:after="240" w:line="360" w:lineRule="auto"/>
        <w:ind w:left="732" w:right="6" w:hanging="23"/>
        <w:jc w:val="both"/>
        <w:rPr>
          <w:rFonts w:cs="Times New Roman"/>
          <w:sz w:val="28"/>
          <w:szCs w:val="28"/>
          <w:lang w:val="en-US"/>
        </w:rPr>
      </w:pPr>
      <w:r w:rsidRPr="0045216F">
        <w:rPr>
          <w:rFonts w:cs="Times New Roman"/>
          <w:sz w:val="28"/>
          <w:szCs w:val="28"/>
          <w:lang w:val="en-US"/>
        </w:rPr>
        <w:t xml:space="preserve">Studies in patients with renal failure (creatinine clearance &lt;22ml/min) indicate that there is no statistically significant change in tinidazole pharmacokinetic parameters in these patients, (see section 4.2).  </w:t>
      </w:r>
    </w:p>
    <w:p w14:paraId="65BF598A" w14:textId="77777777" w:rsidR="001D42B1" w:rsidRPr="001D42B1" w:rsidRDefault="00000000" w:rsidP="001D42B1">
      <w:pPr>
        <w:pStyle w:val="ListParagraph"/>
        <w:numPr>
          <w:ilvl w:val="1"/>
          <w:numId w:val="3"/>
        </w:numPr>
        <w:tabs>
          <w:tab w:val="center" w:pos="1867"/>
        </w:tabs>
        <w:spacing w:after="240" w:line="259" w:lineRule="auto"/>
        <w:ind w:left="788" w:hanging="431"/>
        <w:contextualSpacing w:val="0"/>
        <w:rPr>
          <w:rFonts w:cs="Times New Roman"/>
          <w:sz w:val="28"/>
          <w:szCs w:val="28"/>
          <w:lang w:val="en-US"/>
        </w:rPr>
      </w:pPr>
      <w:r w:rsidRPr="001D42B1">
        <w:rPr>
          <w:rFonts w:cs="Times New Roman"/>
          <w:b/>
          <w:sz w:val="28"/>
          <w:szCs w:val="28"/>
          <w:lang w:val="en-US"/>
        </w:rPr>
        <w:t xml:space="preserve">Preclinical safety data  </w:t>
      </w:r>
    </w:p>
    <w:p w14:paraId="7EE29392" w14:textId="77777777" w:rsidR="001D42B1" w:rsidRPr="001D42B1" w:rsidRDefault="00000000" w:rsidP="001D42B1">
      <w:pPr>
        <w:pStyle w:val="ListParagraph"/>
        <w:tabs>
          <w:tab w:val="center" w:pos="1867"/>
        </w:tabs>
        <w:spacing w:after="240" w:line="259" w:lineRule="auto"/>
        <w:ind w:left="794" w:firstLine="0"/>
        <w:contextualSpacing w:val="0"/>
        <w:rPr>
          <w:sz w:val="28"/>
          <w:szCs w:val="28"/>
          <w:u w:color="000000"/>
          <w:lang w:val="en-US"/>
        </w:rPr>
      </w:pPr>
      <w:r w:rsidRPr="001D42B1">
        <w:rPr>
          <w:sz w:val="28"/>
          <w:szCs w:val="28"/>
          <w:u w:val="single"/>
          <w:lang w:val="en-US"/>
        </w:rPr>
        <w:t>Repeat-dose toxicity</w:t>
      </w:r>
      <w:r w:rsidRPr="001D42B1">
        <w:rPr>
          <w:sz w:val="28"/>
          <w:szCs w:val="28"/>
          <w:u w:val="single" w:color="000000"/>
          <w:lang w:val="en-US"/>
        </w:rPr>
        <w:t xml:space="preserve"> </w:t>
      </w:r>
      <w:r w:rsidRPr="001D42B1">
        <w:rPr>
          <w:sz w:val="28"/>
          <w:szCs w:val="28"/>
          <w:u w:color="000000"/>
          <w:lang w:val="en-US"/>
        </w:rPr>
        <w:t xml:space="preserve">  </w:t>
      </w:r>
    </w:p>
    <w:p w14:paraId="68F31348" w14:textId="77777777" w:rsidR="001D42B1" w:rsidRDefault="001D42B1" w:rsidP="001D42B1">
      <w:pPr>
        <w:pStyle w:val="ListParagraph"/>
        <w:tabs>
          <w:tab w:val="center" w:pos="1867"/>
        </w:tabs>
        <w:spacing w:after="240" w:line="360" w:lineRule="auto"/>
        <w:ind w:left="794" w:firstLine="0"/>
        <w:contextualSpacing w:val="0"/>
        <w:jc w:val="thaiDistribute"/>
        <w:rPr>
          <w:rFonts w:cs="Times New Roman"/>
          <w:sz w:val="28"/>
          <w:szCs w:val="28"/>
          <w:u w:color="000000"/>
          <w:lang w:val="en-US"/>
        </w:rPr>
      </w:pPr>
      <w:r>
        <w:rPr>
          <w:sz w:val="28"/>
          <w:szCs w:val="28"/>
          <w:u w:color="000000"/>
          <w:lang w:val="en-US"/>
        </w:rPr>
        <w:tab/>
      </w:r>
      <w:r w:rsidRPr="001D42B1">
        <w:rPr>
          <w:rFonts w:cs="Times New Roman"/>
          <w:sz w:val="28"/>
          <w:szCs w:val="28"/>
          <w:u w:color="000000"/>
          <w:lang w:val="en-US"/>
        </w:rPr>
        <w:t xml:space="preserve">In a repeat-dose toxicity study in beagle dogs, oral administration of tinidazole increased atrophy of the thymus in both sexes at </w:t>
      </w:r>
      <w:r w:rsidRPr="001D42B1">
        <w:rPr>
          <w:rFonts w:cs="Times New Roman"/>
          <w:sz w:val="28"/>
          <w:szCs w:val="28"/>
          <w:u w:color="000000"/>
          <w:cs/>
          <w:lang w:bidi="th"/>
        </w:rPr>
        <w:t xml:space="preserve">300 </w:t>
      </w:r>
      <w:r w:rsidRPr="001D42B1">
        <w:rPr>
          <w:rFonts w:cs="Times New Roman"/>
          <w:sz w:val="28"/>
          <w:szCs w:val="28"/>
          <w:u w:color="000000"/>
          <w:lang w:val="en-US"/>
        </w:rPr>
        <w:t xml:space="preserve">and </w:t>
      </w:r>
      <w:r w:rsidRPr="001D42B1">
        <w:rPr>
          <w:rFonts w:cs="Times New Roman"/>
          <w:sz w:val="28"/>
          <w:szCs w:val="28"/>
          <w:u w:color="000000"/>
          <w:cs/>
          <w:lang w:bidi="th"/>
        </w:rPr>
        <w:t xml:space="preserve">600 </w:t>
      </w:r>
      <w:r w:rsidRPr="001D42B1">
        <w:rPr>
          <w:rFonts w:cs="Times New Roman"/>
          <w:sz w:val="28"/>
          <w:szCs w:val="28"/>
          <w:u w:color="000000"/>
          <w:lang w:val="en-US"/>
        </w:rPr>
        <w:t xml:space="preserve">mg/kg/day, and atrophy of the prostate in males at all doses of </w:t>
      </w:r>
      <w:r w:rsidRPr="001D42B1">
        <w:rPr>
          <w:rFonts w:cs="Times New Roman"/>
          <w:sz w:val="28"/>
          <w:szCs w:val="28"/>
          <w:u w:color="000000"/>
          <w:cs/>
          <w:lang w:bidi="th"/>
        </w:rPr>
        <w:t>100</w:t>
      </w:r>
      <w:r w:rsidRPr="001D42B1">
        <w:rPr>
          <w:rFonts w:cs="Times New Roman"/>
          <w:sz w:val="28"/>
          <w:szCs w:val="28"/>
          <w:u w:color="000000"/>
          <w:lang w:val="en-US"/>
        </w:rPr>
        <w:t xml:space="preserve">, </w:t>
      </w:r>
      <w:r w:rsidRPr="001D42B1">
        <w:rPr>
          <w:rFonts w:cs="Times New Roman"/>
          <w:sz w:val="28"/>
          <w:szCs w:val="28"/>
          <w:u w:color="000000"/>
          <w:cs/>
          <w:lang w:bidi="th"/>
        </w:rPr>
        <w:t xml:space="preserve">300 </w:t>
      </w:r>
      <w:r w:rsidRPr="001D42B1">
        <w:rPr>
          <w:rFonts w:cs="Times New Roman"/>
          <w:sz w:val="28"/>
          <w:szCs w:val="28"/>
          <w:u w:color="000000"/>
          <w:lang w:val="en-US"/>
        </w:rPr>
        <w:lastRenderedPageBreak/>
        <w:t xml:space="preserve">and </w:t>
      </w:r>
      <w:r w:rsidRPr="001D42B1">
        <w:rPr>
          <w:rFonts w:cs="Times New Roman"/>
          <w:sz w:val="28"/>
          <w:szCs w:val="28"/>
          <w:u w:color="000000"/>
          <w:cs/>
          <w:lang w:bidi="th"/>
        </w:rPr>
        <w:t xml:space="preserve">600 </w:t>
      </w:r>
      <w:r w:rsidRPr="001D42B1">
        <w:rPr>
          <w:rFonts w:cs="Times New Roman"/>
          <w:sz w:val="28"/>
          <w:szCs w:val="28"/>
          <w:u w:color="000000"/>
          <w:lang w:val="en-US"/>
        </w:rPr>
        <w:t xml:space="preserve">mg/kg/day. The initial highest dose of </w:t>
      </w:r>
      <w:r w:rsidRPr="001D42B1">
        <w:rPr>
          <w:rFonts w:cs="Times New Roman"/>
          <w:sz w:val="28"/>
          <w:szCs w:val="28"/>
          <w:u w:color="000000"/>
          <w:cs/>
          <w:lang w:bidi="th"/>
        </w:rPr>
        <w:t xml:space="preserve">1000 </w:t>
      </w:r>
      <w:r w:rsidRPr="001D42B1">
        <w:rPr>
          <w:rFonts w:cs="Times New Roman"/>
          <w:sz w:val="28"/>
          <w:szCs w:val="28"/>
          <w:u w:color="000000"/>
          <w:lang w:val="en-US"/>
        </w:rPr>
        <w:t xml:space="preserve">mg/kg/day was lowered to </w:t>
      </w:r>
      <w:r w:rsidRPr="001D42B1">
        <w:rPr>
          <w:rFonts w:cs="Times New Roman"/>
          <w:sz w:val="28"/>
          <w:szCs w:val="28"/>
          <w:u w:color="000000"/>
          <w:cs/>
          <w:lang w:bidi="th"/>
        </w:rPr>
        <w:t xml:space="preserve">600 </w:t>
      </w:r>
      <w:r w:rsidRPr="001D42B1">
        <w:rPr>
          <w:rFonts w:cs="Times New Roman"/>
          <w:sz w:val="28"/>
          <w:szCs w:val="28"/>
          <w:u w:color="000000"/>
          <w:lang w:val="en-US"/>
        </w:rPr>
        <w:t xml:space="preserve">mg/kg/day due to severe clinical signs. The no-observed-adverse-effect level for females was </w:t>
      </w:r>
      <w:r w:rsidRPr="001D42B1">
        <w:rPr>
          <w:rFonts w:cs="Times New Roman"/>
          <w:sz w:val="28"/>
          <w:szCs w:val="28"/>
          <w:u w:color="000000"/>
          <w:cs/>
          <w:lang w:bidi="th"/>
        </w:rPr>
        <w:t xml:space="preserve">100 </w:t>
      </w:r>
      <w:r w:rsidRPr="001D42B1">
        <w:rPr>
          <w:rFonts w:cs="Times New Roman"/>
          <w:sz w:val="28"/>
          <w:szCs w:val="28"/>
          <w:u w:color="000000"/>
          <w:lang w:val="en-US"/>
        </w:rPr>
        <w:t xml:space="preserve">mg/kg/day (approximately </w:t>
      </w:r>
      <w:r w:rsidRPr="001D42B1">
        <w:rPr>
          <w:rFonts w:cs="Times New Roman"/>
          <w:sz w:val="28"/>
          <w:szCs w:val="28"/>
          <w:u w:color="000000"/>
          <w:cs/>
          <w:lang w:bidi="th"/>
        </w:rPr>
        <w:t xml:space="preserve">0.9 </w:t>
      </w:r>
      <w:r w:rsidRPr="001D42B1">
        <w:rPr>
          <w:rFonts w:cs="Times New Roman"/>
          <w:sz w:val="28"/>
          <w:szCs w:val="28"/>
          <w:u w:color="000000"/>
          <w:lang w:val="en-US"/>
        </w:rPr>
        <w:t xml:space="preserve">times the highest human dose based upon plasma AUC).  </w:t>
      </w:r>
    </w:p>
    <w:p w14:paraId="330AF46C" w14:textId="77777777" w:rsidR="001D42B1" w:rsidRDefault="00000000" w:rsidP="001D42B1">
      <w:pPr>
        <w:pStyle w:val="ListParagraph"/>
        <w:tabs>
          <w:tab w:val="center" w:pos="1867"/>
        </w:tabs>
        <w:spacing w:after="30" w:line="360" w:lineRule="auto"/>
        <w:ind w:left="792" w:firstLine="0"/>
        <w:jc w:val="thaiDistribute"/>
        <w:rPr>
          <w:rFonts w:cs="Times New Roman"/>
          <w:sz w:val="28"/>
          <w:szCs w:val="28"/>
          <w:u w:val="single" w:color="000000"/>
          <w:lang w:val="en-US"/>
        </w:rPr>
      </w:pPr>
      <w:r w:rsidRPr="001D42B1">
        <w:rPr>
          <w:rFonts w:cs="Times New Roman"/>
          <w:sz w:val="28"/>
          <w:szCs w:val="28"/>
          <w:u w:val="single"/>
          <w:lang w:val="en-US"/>
        </w:rPr>
        <w:t>Genotoxicity/carcinogenicity</w:t>
      </w:r>
      <w:r w:rsidRPr="001D42B1">
        <w:rPr>
          <w:rFonts w:cs="Times New Roman"/>
          <w:sz w:val="28"/>
          <w:szCs w:val="28"/>
          <w:u w:val="single" w:color="000000"/>
          <w:lang w:val="en-US"/>
        </w:rPr>
        <w:t xml:space="preserve">   </w:t>
      </w:r>
    </w:p>
    <w:p w14:paraId="6B7A9CDC" w14:textId="74105E9F" w:rsidR="001D42B1" w:rsidRPr="001D42B1" w:rsidRDefault="001D42B1" w:rsidP="001D42B1">
      <w:pPr>
        <w:pStyle w:val="ListParagraph"/>
        <w:tabs>
          <w:tab w:val="center" w:pos="1867"/>
        </w:tabs>
        <w:spacing w:after="240" w:line="360" w:lineRule="auto"/>
        <w:ind w:left="794" w:firstLine="0"/>
        <w:contextualSpacing w:val="0"/>
        <w:jc w:val="thaiDistribute"/>
        <w:rPr>
          <w:rFonts w:cs="Times New Roman"/>
          <w:sz w:val="28"/>
          <w:szCs w:val="28"/>
          <w:u w:color="000000"/>
          <w:lang w:val="en-US"/>
        </w:rPr>
      </w:pPr>
      <w:r w:rsidRPr="001D42B1">
        <w:rPr>
          <w:rFonts w:cs="Times New Roman"/>
          <w:sz w:val="28"/>
          <w:szCs w:val="28"/>
          <w:u w:color="000000"/>
          <w:lang w:val="en-US"/>
        </w:rPr>
        <w:t xml:space="preserve">Tinidazole showed some evidence of mutagenic potential. In an in vitro mutagenicity assay, tinidazole was mutagenic in the TA </w:t>
      </w:r>
      <w:r w:rsidRPr="001D42B1">
        <w:rPr>
          <w:rFonts w:cs="Times New Roman"/>
          <w:sz w:val="28"/>
          <w:szCs w:val="28"/>
          <w:u w:color="000000"/>
          <w:cs/>
          <w:lang w:bidi="th"/>
        </w:rPr>
        <w:t>100</w:t>
      </w:r>
      <w:r w:rsidRPr="001D42B1">
        <w:rPr>
          <w:rFonts w:cs="Times New Roman"/>
          <w:sz w:val="28"/>
          <w:szCs w:val="28"/>
          <w:u w:color="000000"/>
          <w:lang w:val="en-US"/>
        </w:rPr>
        <w:t>, S. typhimurium tester strain both with and without metabolic activation.  Tinidazole was negative for mutagenicity in a mammalian cell culture system utilising Chinese hamster lung V</w:t>
      </w:r>
      <w:r w:rsidRPr="001D42B1">
        <w:rPr>
          <w:rFonts w:cs="Times New Roman"/>
          <w:sz w:val="28"/>
          <w:szCs w:val="28"/>
          <w:u w:color="000000"/>
          <w:cs/>
          <w:lang w:bidi="th"/>
        </w:rPr>
        <w:t>79</w:t>
      </w:r>
      <w:r w:rsidRPr="001D42B1">
        <w:rPr>
          <w:rFonts w:cs="Times New Roman"/>
          <w:sz w:val="28"/>
          <w:szCs w:val="28"/>
          <w:u w:color="000000"/>
          <w:lang w:val="en-US" w:bidi="th"/>
        </w:rPr>
        <w:t xml:space="preserve"> </w:t>
      </w:r>
      <w:r w:rsidRPr="001D42B1">
        <w:rPr>
          <w:rFonts w:cs="Times New Roman"/>
          <w:sz w:val="28"/>
          <w:szCs w:val="28"/>
          <w:u w:color="000000"/>
          <w:lang w:val="en-US"/>
        </w:rPr>
        <w:t xml:space="preserve">cells (HGPRT test system) and negative for genotoxicity in the Chinese hamster ovary (CHO) sister chromatid exchange assay.  Tinidazole was positive for in vivo genotoxicity in the mouse micronucleus assay.  </w:t>
      </w:r>
    </w:p>
    <w:p w14:paraId="13067C54" w14:textId="4372BBC4" w:rsidR="000B4013" w:rsidRPr="001D42B1" w:rsidRDefault="001D42B1" w:rsidP="001D42B1">
      <w:pPr>
        <w:pStyle w:val="ListParagraph"/>
        <w:tabs>
          <w:tab w:val="center" w:pos="1867"/>
        </w:tabs>
        <w:spacing w:after="120" w:line="360" w:lineRule="auto"/>
        <w:ind w:left="794" w:firstLine="0"/>
        <w:contextualSpacing w:val="0"/>
        <w:jc w:val="thaiDistribute"/>
        <w:rPr>
          <w:rFonts w:cs="Times New Roman"/>
          <w:sz w:val="28"/>
          <w:szCs w:val="28"/>
          <w:u w:val="single"/>
          <w:lang w:val="en-US"/>
        </w:rPr>
      </w:pPr>
      <w:r w:rsidRPr="001D42B1">
        <w:rPr>
          <w:rFonts w:cs="Times New Roman"/>
          <w:sz w:val="28"/>
          <w:szCs w:val="28"/>
          <w:u w:color="000000"/>
          <w:lang w:val="en-US"/>
        </w:rPr>
        <w:t xml:space="preserve">Tinidazole carcinogenicity studies in rats, mice or hamsters have not been reported. However, metronidazole, a </w:t>
      </w:r>
      <w:proofErr w:type="gramStart"/>
      <w:r w:rsidRPr="001D42B1">
        <w:rPr>
          <w:rFonts w:cs="Times New Roman"/>
          <w:sz w:val="28"/>
          <w:szCs w:val="28"/>
          <w:u w:color="000000"/>
          <w:lang w:val="en-US"/>
        </w:rPr>
        <w:t>chemically-related</w:t>
      </w:r>
      <w:proofErr w:type="gramEnd"/>
      <w:r w:rsidRPr="001D42B1">
        <w:rPr>
          <w:rFonts w:cs="Times New Roman"/>
          <w:sz w:val="28"/>
          <w:szCs w:val="28"/>
          <w:u w:color="000000"/>
          <w:lang w:val="en-US"/>
        </w:rPr>
        <w:t xml:space="preserve"> nitroimidazole, has been reported to be carcinogenic in mice and rats but not hamsters. In several studies metronidazole showed evidence of pulmonary, hepatic, and lymphatic tumorigenesis in mice and mammary and hepatic tumours in female rats.  </w:t>
      </w:r>
    </w:p>
    <w:p w14:paraId="7ADC6580" w14:textId="77777777" w:rsidR="000B4013" w:rsidRPr="0045216F" w:rsidRDefault="00000000" w:rsidP="001D42B1">
      <w:pPr>
        <w:pStyle w:val="Heading2"/>
        <w:spacing w:after="0"/>
        <w:ind w:left="720" w:hanging="11"/>
        <w:rPr>
          <w:sz w:val="28"/>
          <w:szCs w:val="28"/>
        </w:rPr>
      </w:pPr>
      <w:r w:rsidRPr="0045216F">
        <w:rPr>
          <w:sz w:val="28"/>
          <w:szCs w:val="28"/>
        </w:rPr>
        <w:t>Reproductive and developmental toxicity</w:t>
      </w:r>
      <w:r w:rsidRPr="0045216F">
        <w:rPr>
          <w:sz w:val="28"/>
          <w:szCs w:val="28"/>
          <w:u w:val="none"/>
        </w:rPr>
        <w:t xml:space="preserve">   </w:t>
      </w:r>
    </w:p>
    <w:p w14:paraId="742EC82C" w14:textId="77777777" w:rsidR="000B4013" w:rsidRPr="0045216F" w:rsidRDefault="00000000">
      <w:pPr>
        <w:spacing w:after="0" w:line="259" w:lineRule="auto"/>
        <w:ind w:left="721" w:firstLine="0"/>
        <w:rPr>
          <w:rFonts w:cs="Times New Roman"/>
          <w:sz w:val="28"/>
          <w:szCs w:val="28"/>
          <w:lang w:val="en-US"/>
        </w:rPr>
      </w:pPr>
      <w:r w:rsidRPr="0045216F">
        <w:rPr>
          <w:rFonts w:cs="Times New Roman"/>
          <w:i/>
          <w:sz w:val="28"/>
          <w:szCs w:val="28"/>
          <w:lang w:val="en-US"/>
        </w:rPr>
        <w:t xml:space="preserve"> </w:t>
      </w:r>
      <w:r w:rsidRPr="0045216F">
        <w:rPr>
          <w:rFonts w:cs="Times New Roman"/>
          <w:sz w:val="28"/>
          <w:szCs w:val="28"/>
          <w:lang w:val="en-US"/>
        </w:rPr>
        <w:t xml:space="preserve"> </w:t>
      </w:r>
    </w:p>
    <w:p w14:paraId="41C236BF" w14:textId="77777777" w:rsidR="000B4013" w:rsidRPr="0045216F" w:rsidRDefault="00000000" w:rsidP="001D42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Tinidazole did not cause malformations in mice or rats. In rats, oral administration of tinidazole reduced embryo-fetal viability and growth retardation (reduced fetal weight and increased skeletal variations) from 500 mg/kg/day (approximately 2 times the highest human </w:t>
      </w:r>
      <w:r w:rsidRPr="0045216F">
        <w:rPr>
          <w:rFonts w:cs="Times New Roman"/>
          <w:sz w:val="28"/>
          <w:szCs w:val="28"/>
          <w:lang w:val="en-US"/>
        </w:rPr>
        <w:lastRenderedPageBreak/>
        <w:t xml:space="preserve">therapeutic dose based upon body surface area). In a rat developmental toxicity study, a higher incidence of fetal mortality was noted following oral administration of 600 mg/kg (approximately 3 times the highest human therapeutic dose based upon body surface area). Embryo-fetal toxicity was not observed in mice at the highest dose level of 2,500 mg/kg (approximately 6 times the highest human therapeutic dose based upon body surface area).   </w:t>
      </w:r>
    </w:p>
    <w:p w14:paraId="6DE72435" w14:textId="1816F5B2" w:rsidR="000B4013" w:rsidRPr="0045216F" w:rsidRDefault="00000000" w:rsidP="00C039B1">
      <w:pPr>
        <w:spacing w:after="240" w:line="360" w:lineRule="auto"/>
        <w:ind w:left="725" w:right="23" w:hanging="11"/>
        <w:jc w:val="thaiDistribute"/>
        <w:rPr>
          <w:rFonts w:cs="Times New Roman"/>
          <w:sz w:val="28"/>
          <w:szCs w:val="28"/>
          <w:lang w:val="en-US"/>
        </w:rPr>
      </w:pPr>
      <w:r w:rsidRPr="0045216F">
        <w:rPr>
          <w:rFonts w:cs="Times New Roman"/>
          <w:sz w:val="28"/>
          <w:szCs w:val="28"/>
          <w:lang w:val="en-US"/>
        </w:rPr>
        <w:t xml:space="preserve">In a male rat fertility study, oral administration of tinidazole reduced fertility at 600 mg/kg/day. Degeneration of the seminiferous tubules in the testes with corresponding effects on spermatogenic measures were noted at 300 and 600 mg/kg/day. The NOAEL for testicular and spermatogenic effects was 100 mg/kg/day (approximately 0.5 times the highest human therapeutic dose based upon body surface area). In another study, oral administration of tinidazole reduced fertility in male rats at 300 mg/kg/day and in female rats at 150 and 300 mg/kg/day.   </w:t>
      </w:r>
    </w:p>
    <w:p w14:paraId="64EF7308" w14:textId="77777777" w:rsidR="00C039B1" w:rsidRDefault="00000000" w:rsidP="00C039B1">
      <w:pPr>
        <w:pStyle w:val="Heading1"/>
        <w:numPr>
          <w:ilvl w:val="0"/>
          <w:numId w:val="3"/>
        </w:numPr>
        <w:tabs>
          <w:tab w:val="center" w:pos="3124"/>
        </w:tabs>
        <w:spacing w:after="240"/>
        <w:ind w:left="357" w:hanging="357"/>
        <w:rPr>
          <w:szCs w:val="28"/>
        </w:rPr>
      </w:pPr>
      <w:r w:rsidRPr="0045216F">
        <w:rPr>
          <w:szCs w:val="28"/>
        </w:rPr>
        <w:t xml:space="preserve">PHARMACEUTICAL PARTICULARS  </w:t>
      </w:r>
    </w:p>
    <w:p w14:paraId="200121B3" w14:textId="77777777" w:rsidR="00C039B1" w:rsidRPr="00C039B1" w:rsidRDefault="00000000" w:rsidP="00C039B1">
      <w:pPr>
        <w:pStyle w:val="Heading1"/>
        <w:numPr>
          <w:ilvl w:val="1"/>
          <w:numId w:val="3"/>
        </w:numPr>
        <w:tabs>
          <w:tab w:val="center" w:pos="3124"/>
        </w:tabs>
        <w:spacing w:after="240" w:line="360" w:lineRule="auto"/>
        <w:ind w:left="788" w:hanging="431"/>
        <w:rPr>
          <w:szCs w:val="28"/>
        </w:rPr>
      </w:pPr>
      <w:r w:rsidRPr="00C039B1">
        <w:rPr>
          <w:szCs w:val="28"/>
          <w:lang w:val="en-US"/>
        </w:rPr>
        <w:t xml:space="preserve">List of excipients  </w:t>
      </w:r>
    </w:p>
    <w:p w14:paraId="0EA043FC" w14:textId="77777777" w:rsidR="00C039B1" w:rsidRPr="00C039B1" w:rsidRDefault="00000000" w:rsidP="00C039B1">
      <w:pPr>
        <w:pStyle w:val="Heading1"/>
        <w:tabs>
          <w:tab w:val="center" w:pos="3124"/>
        </w:tabs>
        <w:spacing w:after="240" w:line="360" w:lineRule="auto"/>
        <w:ind w:left="794" w:firstLine="0"/>
        <w:rPr>
          <w:b w:val="0"/>
          <w:bCs/>
          <w:color w:val="FF0000"/>
          <w:szCs w:val="28"/>
          <w:lang w:val="en-US"/>
        </w:rPr>
      </w:pPr>
      <w:r w:rsidRPr="00C039B1">
        <w:rPr>
          <w:b w:val="0"/>
          <w:bCs/>
          <w:color w:val="FF0000"/>
          <w:szCs w:val="28"/>
          <w:lang w:val="en-US"/>
        </w:rPr>
        <w:t xml:space="preserve">&lt;Regarding the approval&gt; </w:t>
      </w:r>
    </w:p>
    <w:p w14:paraId="1B5AB3BF" w14:textId="77777777" w:rsidR="00C039B1" w:rsidRPr="00C039B1" w:rsidRDefault="00000000" w:rsidP="00C039B1">
      <w:pPr>
        <w:pStyle w:val="Heading1"/>
        <w:numPr>
          <w:ilvl w:val="1"/>
          <w:numId w:val="3"/>
        </w:numPr>
        <w:tabs>
          <w:tab w:val="center" w:pos="3124"/>
        </w:tabs>
        <w:spacing w:after="240" w:line="360" w:lineRule="auto"/>
        <w:ind w:left="788" w:hanging="431"/>
        <w:rPr>
          <w:szCs w:val="28"/>
        </w:rPr>
      </w:pPr>
      <w:r w:rsidRPr="0045216F">
        <w:rPr>
          <w:szCs w:val="28"/>
          <w:lang w:val="en-US"/>
        </w:rPr>
        <w:t xml:space="preserve">Incompatibilities  </w:t>
      </w:r>
    </w:p>
    <w:p w14:paraId="65CDCA24" w14:textId="77777777" w:rsidR="00C039B1" w:rsidRDefault="00000000" w:rsidP="00C039B1">
      <w:pPr>
        <w:pStyle w:val="Heading1"/>
        <w:tabs>
          <w:tab w:val="center" w:pos="3124"/>
        </w:tabs>
        <w:spacing w:after="240" w:line="360" w:lineRule="auto"/>
        <w:ind w:left="794" w:firstLine="0"/>
        <w:rPr>
          <w:b w:val="0"/>
          <w:bCs/>
          <w:szCs w:val="28"/>
          <w:lang w:val="en-US"/>
        </w:rPr>
      </w:pPr>
      <w:r w:rsidRPr="00C039B1">
        <w:rPr>
          <w:b w:val="0"/>
          <w:bCs/>
          <w:szCs w:val="28"/>
          <w:lang w:val="en-US"/>
        </w:rPr>
        <w:t xml:space="preserve">Not applicable.  </w:t>
      </w:r>
    </w:p>
    <w:p w14:paraId="5662DF4C" w14:textId="6A47F6A3" w:rsidR="000B4013" w:rsidRPr="00C039B1" w:rsidRDefault="00000000" w:rsidP="00C039B1">
      <w:pPr>
        <w:pStyle w:val="Heading1"/>
        <w:numPr>
          <w:ilvl w:val="1"/>
          <w:numId w:val="3"/>
        </w:numPr>
        <w:tabs>
          <w:tab w:val="center" w:pos="3124"/>
        </w:tabs>
        <w:spacing w:after="240" w:line="360" w:lineRule="auto"/>
        <w:rPr>
          <w:b w:val="0"/>
          <w:bCs/>
          <w:szCs w:val="28"/>
        </w:rPr>
      </w:pPr>
      <w:r w:rsidRPr="0045216F">
        <w:rPr>
          <w:szCs w:val="28"/>
          <w:lang w:val="en-US"/>
        </w:rPr>
        <w:t xml:space="preserve">Shelf life  </w:t>
      </w:r>
    </w:p>
    <w:p w14:paraId="3E8375DB" w14:textId="77777777" w:rsidR="000B4013" w:rsidRPr="0045216F" w:rsidRDefault="00000000" w:rsidP="00C039B1">
      <w:pPr>
        <w:spacing w:after="24" w:line="259" w:lineRule="auto"/>
        <w:ind w:left="0" w:right="1" w:firstLine="720"/>
        <w:rPr>
          <w:rFonts w:cs="Times New Roman"/>
          <w:sz w:val="28"/>
          <w:szCs w:val="28"/>
          <w:lang w:val="en-US"/>
        </w:rPr>
      </w:pPr>
      <w:r w:rsidRPr="0045216F">
        <w:rPr>
          <w:rFonts w:cs="Times New Roman"/>
          <w:color w:val="FF0000"/>
          <w:sz w:val="28"/>
          <w:szCs w:val="28"/>
          <w:lang w:val="en-US"/>
        </w:rPr>
        <w:t xml:space="preserve">&lt;Regarding the approval&gt; </w:t>
      </w:r>
    </w:p>
    <w:p w14:paraId="544D2B46" w14:textId="77777777" w:rsidR="000B4013" w:rsidRPr="0045216F" w:rsidRDefault="00000000">
      <w:pPr>
        <w:spacing w:after="21" w:line="259" w:lineRule="auto"/>
        <w:ind w:left="735" w:firstLine="0"/>
        <w:rPr>
          <w:rFonts w:cs="Times New Roman"/>
          <w:sz w:val="28"/>
          <w:szCs w:val="28"/>
          <w:lang w:val="en-US"/>
        </w:rPr>
      </w:pPr>
      <w:r w:rsidRPr="0045216F">
        <w:rPr>
          <w:rFonts w:cs="Times New Roman"/>
          <w:sz w:val="28"/>
          <w:szCs w:val="28"/>
          <w:lang w:val="en-US"/>
        </w:rPr>
        <w:t xml:space="preserve">  </w:t>
      </w:r>
    </w:p>
    <w:p w14:paraId="59BC60B5" w14:textId="77777777" w:rsidR="00C039B1" w:rsidRDefault="00000000" w:rsidP="00C039B1">
      <w:pPr>
        <w:pStyle w:val="ListParagraph"/>
        <w:numPr>
          <w:ilvl w:val="1"/>
          <w:numId w:val="3"/>
        </w:numPr>
        <w:tabs>
          <w:tab w:val="center" w:pos="2318"/>
        </w:tabs>
        <w:spacing w:after="240" w:line="259" w:lineRule="auto"/>
        <w:ind w:left="788" w:hanging="431"/>
        <w:contextualSpacing w:val="0"/>
        <w:rPr>
          <w:rFonts w:cs="Times New Roman"/>
          <w:sz w:val="28"/>
          <w:szCs w:val="28"/>
          <w:lang w:val="en-US"/>
        </w:rPr>
      </w:pPr>
      <w:r w:rsidRPr="00C039B1">
        <w:rPr>
          <w:rFonts w:cs="Times New Roman"/>
          <w:b/>
          <w:sz w:val="28"/>
          <w:szCs w:val="28"/>
          <w:lang w:val="en-US"/>
        </w:rPr>
        <w:lastRenderedPageBreak/>
        <w:t xml:space="preserve">Special precautions for storage </w:t>
      </w:r>
      <w:r w:rsidRPr="00C039B1">
        <w:rPr>
          <w:rFonts w:cs="Times New Roman"/>
          <w:sz w:val="28"/>
          <w:szCs w:val="28"/>
          <w:lang w:val="en-US"/>
        </w:rPr>
        <w:t xml:space="preserve"> </w:t>
      </w:r>
    </w:p>
    <w:p w14:paraId="6C85F96F" w14:textId="17880F37" w:rsidR="000B4013" w:rsidRPr="00C039B1" w:rsidRDefault="00000000" w:rsidP="00C039B1">
      <w:pPr>
        <w:pStyle w:val="ListParagraph"/>
        <w:tabs>
          <w:tab w:val="center" w:pos="2318"/>
        </w:tabs>
        <w:spacing w:after="240" w:line="259" w:lineRule="auto"/>
        <w:ind w:left="794" w:firstLine="0"/>
        <w:contextualSpacing w:val="0"/>
        <w:rPr>
          <w:rFonts w:cs="Times New Roman"/>
          <w:sz w:val="28"/>
          <w:szCs w:val="28"/>
          <w:lang w:val="en-US"/>
        </w:rPr>
      </w:pPr>
      <w:r w:rsidRPr="00C039B1">
        <w:rPr>
          <w:rFonts w:cs="Times New Roman"/>
          <w:color w:val="FF0000"/>
          <w:sz w:val="28"/>
          <w:szCs w:val="28"/>
          <w:lang w:val="en-US"/>
        </w:rPr>
        <w:t xml:space="preserve">&lt;Regarding the approval&gt; </w:t>
      </w:r>
    </w:p>
    <w:p w14:paraId="1BF7C598" w14:textId="77777777" w:rsidR="00C039B1" w:rsidRPr="00C039B1" w:rsidRDefault="00000000" w:rsidP="00C039B1">
      <w:pPr>
        <w:pStyle w:val="ListParagraph"/>
        <w:numPr>
          <w:ilvl w:val="1"/>
          <w:numId w:val="3"/>
        </w:numPr>
        <w:tabs>
          <w:tab w:val="center" w:pos="2423"/>
        </w:tabs>
        <w:spacing w:after="240" w:line="259" w:lineRule="auto"/>
        <w:ind w:left="788" w:hanging="431"/>
        <w:contextualSpacing w:val="0"/>
        <w:rPr>
          <w:rFonts w:cs="Times New Roman"/>
          <w:sz w:val="28"/>
          <w:szCs w:val="28"/>
          <w:lang w:val="en-US"/>
        </w:rPr>
      </w:pPr>
      <w:r w:rsidRPr="00C039B1">
        <w:rPr>
          <w:rFonts w:cs="Times New Roman"/>
          <w:b/>
          <w:sz w:val="28"/>
          <w:szCs w:val="28"/>
          <w:lang w:val="en-US"/>
        </w:rPr>
        <w:t xml:space="preserve">Nature and contents of container  </w:t>
      </w:r>
    </w:p>
    <w:p w14:paraId="5A54B37F" w14:textId="39C6D575" w:rsidR="000B4013" w:rsidRPr="00C039B1" w:rsidRDefault="00000000" w:rsidP="00C039B1">
      <w:pPr>
        <w:pStyle w:val="ListParagraph"/>
        <w:tabs>
          <w:tab w:val="center" w:pos="2423"/>
        </w:tabs>
        <w:spacing w:after="0" w:line="259" w:lineRule="auto"/>
        <w:ind w:left="792" w:firstLine="0"/>
        <w:rPr>
          <w:rFonts w:cs="Times New Roman"/>
          <w:sz w:val="28"/>
          <w:szCs w:val="28"/>
          <w:lang w:val="en-US"/>
        </w:rPr>
      </w:pPr>
      <w:r w:rsidRPr="00C039B1">
        <w:rPr>
          <w:rFonts w:cs="Times New Roman"/>
          <w:color w:val="FF0000"/>
          <w:sz w:val="28"/>
          <w:szCs w:val="28"/>
          <w:lang w:val="en-US"/>
        </w:rPr>
        <w:t xml:space="preserve">&lt;Regarding the approval&gt; </w:t>
      </w:r>
    </w:p>
    <w:p w14:paraId="7E76E78C" w14:textId="77777777" w:rsidR="000B4013" w:rsidRPr="0045216F" w:rsidRDefault="00000000">
      <w:pPr>
        <w:spacing w:after="52" w:line="259" w:lineRule="auto"/>
        <w:ind w:left="14" w:firstLine="0"/>
        <w:rPr>
          <w:rFonts w:cs="Times New Roman"/>
          <w:sz w:val="28"/>
          <w:szCs w:val="28"/>
          <w:lang w:val="en-US"/>
        </w:rPr>
      </w:pPr>
      <w:r w:rsidRPr="0045216F">
        <w:rPr>
          <w:rFonts w:cs="Times New Roman"/>
          <w:sz w:val="28"/>
          <w:szCs w:val="28"/>
          <w:lang w:val="en-US"/>
        </w:rPr>
        <w:t xml:space="preserve">  </w:t>
      </w:r>
    </w:p>
    <w:p w14:paraId="58DD42BE" w14:textId="77777777" w:rsidR="00C039B1" w:rsidRPr="00C039B1" w:rsidRDefault="00000000" w:rsidP="00C039B1">
      <w:pPr>
        <w:pStyle w:val="ListParagraph"/>
        <w:numPr>
          <w:ilvl w:val="1"/>
          <w:numId w:val="3"/>
        </w:numPr>
        <w:tabs>
          <w:tab w:val="center" w:pos="3370"/>
        </w:tabs>
        <w:spacing w:after="240" w:line="259" w:lineRule="auto"/>
        <w:ind w:left="788" w:hanging="431"/>
        <w:contextualSpacing w:val="0"/>
        <w:rPr>
          <w:rFonts w:cs="Times New Roman"/>
          <w:sz w:val="28"/>
          <w:szCs w:val="28"/>
          <w:lang w:val="en-US"/>
        </w:rPr>
      </w:pPr>
      <w:r w:rsidRPr="00C039B1">
        <w:rPr>
          <w:rFonts w:cs="Times New Roman"/>
          <w:b/>
          <w:sz w:val="28"/>
          <w:szCs w:val="28"/>
          <w:lang w:val="en-US"/>
        </w:rPr>
        <w:t xml:space="preserve">Special precautions for disposal and other handling  </w:t>
      </w:r>
    </w:p>
    <w:p w14:paraId="33EA0481" w14:textId="498044D4" w:rsidR="000B4013" w:rsidRPr="00C039B1" w:rsidRDefault="00000000" w:rsidP="00C039B1">
      <w:pPr>
        <w:pStyle w:val="ListParagraph"/>
        <w:tabs>
          <w:tab w:val="center" w:pos="3370"/>
        </w:tabs>
        <w:spacing w:after="240" w:line="259" w:lineRule="auto"/>
        <w:ind w:left="794" w:firstLine="0"/>
        <w:contextualSpacing w:val="0"/>
        <w:rPr>
          <w:rFonts w:cs="Times New Roman"/>
          <w:sz w:val="28"/>
          <w:szCs w:val="28"/>
          <w:lang w:val="en-US"/>
        </w:rPr>
      </w:pPr>
      <w:r w:rsidRPr="00C039B1">
        <w:rPr>
          <w:rFonts w:cs="Times New Roman"/>
          <w:color w:val="FF0000"/>
          <w:sz w:val="28"/>
          <w:szCs w:val="28"/>
          <w:lang w:val="en-US"/>
        </w:rPr>
        <w:t xml:space="preserve">&lt;Regarding the approval&gt; </w:t>
      </w:r>
    </w:p>
    <w:p w14:paraId="28D2DD48" w14:textId="486FB4A9" w:rsidR="000B4013" w:rsidRPr="0045216F" w:rsidRDefault="00000000" w:rsidP="00C039B1">
      <w:pPr>
        <w:pStyle w:val="Heading1"/>
        <w:numPr>
          <w:ilvl w:val="0"/>
          <w:numId w:val="3"/>
        </w:numPr>
        <w:tabs>
          <w:tab w:val="center" w:pos="3490"/>
        </w:tabs>
        <w:spacing w:after="240"/>
        <w:ind w:left="357" w:hanging="357"/>
        <w:rPr>
          <w:szCs w:val="28"/>
        </w:rPr>
      </w:pPr>
      <w:r w:rsidRPr="0045216F">
        <w:rPr>
          <w:szCs w:val="28"/>
        </w:rPr>
        <w:t xml:space="preserve">MARKETING AUTHORISATION HOLDER  </w:t>
      </w:r>
    </w:p>
    <w:p w14:paraId="128006A4" w14:textId="11E438DB" w:rsidR="000B4013" w:rsidRPr="0045216F" w:rsidRDefault="00000000" w:rsidP="00C039B1">
      <w:pPr>
        <w:spacing w:after="240" w:line="259" w:lineRule="auto"/>
        <w:ind w:left="737" w:firstLine="0"/>
        <w:rPr>
          <w:rFonts w:cs="Times New Roman"/>
          <w:sz w:val="28"/>
          <w:szCs w:val="28"/>
          <w:lang w:val="en-US"/>
        </w:rPr>
      </w:pPr>
      <w:r w:rsidRPr="0045216F">
        <w:rPr>
          <w:rFonts w:cs="Times New Roman"/>
          <w:sz w:val="28"/>
          <w:szCs w:val="28"/>
          <w:lang w:val="en-US"/>
        </w:rPr>
        <w:t xml:space="preserve"> </w:t>
      </w:r>
      <w:r w:rsidRPr="0045216F">
        <w:rPr>
          <w:rFonts w:cs="Times New Roman"/>
          <w:color w:val="FF0000"/>
          <w:sz w:val="28"/>
          <w:szCs w:val="28"/>
          <w:lang w:val="en-US"/>
        </w:rPr>
        <w:t xml:space="preserve">&lt;Regarding the approval&gt; </w:t>
      </w:r>
    </w:p>
    <w:p w14:paraId="2A2B4E47" w14:textId="77777777" w:rsidR="00C039B1" w:rsidRDefault="00000000" w:rsidP="00C039B1">
      <w:pPr>
        <w:pStyle w:val="ListParagraph"/>
        <w:numPr>
          <w:ilvl w:val="0"/>
          <w:numId w:val="3"/>
        </w:numPr>
        <w:tabs>
          <w:tab w:val="center" w:pos="3130"/>
        </w:tabs>
        <w:spacing w:after="240" w:line="259" w:lineRule="auto"/>
        <w:ind w:left="357" w:hanging="357"/>
        <w:contextualSpacing w:val="0"/>
        <w:rPr>
          <w:rFonts w:cs="Times New Roman"/>
          <w:sz w:val="28"/>
          <w:szCs w:val="28"/>
          <w:lang w:val="en-US"/>
        </w:rPr>
      </w:pPr>
      <w:r w:rsidRPr="00C039B1">
        <w:rPr>
          <w:rFonts w:cs="Times New Roman"/>
          <w:b/>
          <w:sz w:val="28"/>
          <w:szCs w:val="28"/>
          <w:lang w:val="en-US"/>
        </w:rPr>
        <w:t xml:space="preserve">MARKETING AUTHORISATION NUMBER </w:t>
      </w:r>
      <w:r w:rsidRPr="00C039B1">
        <w:rPr>
          <w:rFonts w:cs="Times New Roman"/>
          <w:sz w:val="28"/>
          <w:szCs w:val="28"/>
          <w:lang w:val="en-US"/>
        </w:rPr>
        <w:t xml:space="preserve"> </w:t>
      </w:r>
    </w:p>
    <w:p w14:paraId="31E5DA5E" w14:textId="63AE20C0" w:rsidR="000B4013" w:rsidRPr="00C039B1" w:rsidRDefault="00000000" w:rsidP="00C039B1">
      <w:pPr>
        <w:pStyle w:val="ListParagraph"/>
        <w:tabs>
          <w:tab w:val="center" w:pos="3130"/>
        </w:tabs>
        <w:spacing w:after="240" w:line="259" w:lineRule="auto"/>
        <w:ind w:left="357" w:firstLine="0"/>
        <w:contextualSpacing w:val="0"/>
        <w:rPr>
          <w:rFonts w:cs="Times New Roman"/>
          <w:sz w:val="28"/>
          <w:szCs w:val="28"/>
          <w:lang w:val="en-US"/>
        </w:rPr>
      </w:pPr>
      <w:r w:rsidRPr="00C039B1">
        <w:rPr>
          <w:rFonts w:cs="Times New Roman"/>
          <w:color w:val="FF0000"/>
          <w:sz w:val="28"/>
          <w:szCs w:val="28"/>
          <w:lang w:val="en-US"/>
        </w:rPr>
        <w:t xml:space="preserve">&lt;Regarding the approval&gt; </w:t>
      </w:r>
    </w:p>
    <w:p w14:paraId="61C0F8FF" w14:textId="62B66EB9" w:rsidR="00C039B1" w:rsidRDefault="00000000" w:rsidP="00C039B1">
      <w:pPr>
        <w:pStyle w:val="ListParagraph"/>
        <w:numPr>
          <w:ilvl w:val="0"/>
          <w:numId w:val="3"/>
        </w:numPr>
        <w:spacing w:after="240" w:line="360" w:lineRule="auto"/>
        <w:ind w:left="357" w:hanging="357"/>
        <w:contextualSpacing w:val="0"/>
        <w:rPr>
          <w:rFonts w:cs="Times New Roman"/>
          <w:sz w:val="28"/>
          <w:szCs w:val="28"/>
          <w:lang w:val="en-US"/>
        </w:rPr>
      </w:pPr>
      <w:r w:rsidRPr="00C039B1">
        <w:rPr>
          <w:rFonts w:cs="Times New Roman"/>
          <w:b/>
          <w:sz w:val="28"/>
          <w:szCs w:val="28"/>
          <w:lang w:val="en-US"/>
        </w:rPr>
        <w:t xml:space="preserve">DATE OF FIRST AUTHORISATION/RENEWAL OF THE AUTHORISATION </w:t>
      </w:r>
    </w:p>
    <w:p w14:paraId="1F1682DF" w14:textId="77777777" w:rsidR="00C039B1" w:rsidRDefault="00C039B1" w:rsidP="00C039B1">
      <w:pPr>
        <w:pStyle w:val="ListParagraph"/>
        <w:spacing w:after="240" w:line="360" w:lineRule="auto"/>
        <w:ind w:left="357" w:firstLine="0"/>
        <w:contextualSpacing w:val="0"/>
        <w:rPr>
          <w:rFonts w:cs="Times New Roman"/>
          <w:color w:val="FF0000"/>
          <w:sz w:val="28"/>
          <w:szCs w:val="28"/>
          <w:lang w:val="en-US"/>
        </w:rPr>
      </w:pPr>
      <w:r w:rsidRPr="00C039B1">
        <w:rPr>
          <w:rFonts w:cs="Times New Roman"/>
          <w:color w:val="FF0000"/>
          <w:sz w:val="28"/>
          <w:szCs w:val="28"/>
          <w:lang w:val="en-US"/>
        </w:rPr>
        <w:t>&lt;</w:t>
      </w:r>
      <w:r w:rsidR="00000000" w:rsidRPr="00C039B1">
        <w:rPr>
          <w:rFonts w:cs="Times New Roman"/>
          <w:color w:val="FF0000"/>
          <w:sz w:val="28"/>
          <w:szCs w:val="28"/>
          <w:lang w:val="en-US"/>
        </w:rPr>
        <w:t xml:space="preserve">Regarding the approval&gt; </w:t>
      </w:r>
    </w:p>
    <w:p w14:paraId="1A296B0C" w14:textId="77777777" w:rsidR="00C039B1" w:rsidRPr="00C039B1" w:rsidRDefault="00000000" w:rsidP="00C039B1">
      <w:pPr>
        <w:pStyle w:val="ListParagraph"/>
        <w:numPr>
          <w:ilvl w:val="0"/>
          <w:numId w:val="3"/>
        </w:numPr>
        <w:spacing w:after="240" w:line="360" w:lineRule="auto"/>
        <w:ind w:left="357" w:hanging="357"/>
        <w:contextualSpacing w:val="0"/>
        <w:rPr>
          <w:rFonts w:cs="Times New Roman"/>
          <w:b/>
          <w:bCs/>
          <w:color w:val="FF0000"/>
          <w:sz w:val="28"/>
          <w:szCs w:val="28"/>
          <w:lang w:val="en-US"/>
        </w:rPr>
      </w:pPr>
      <w:r w:rsidRPr="00C039B1">
        <w:rPr>
          <w:rFonts w:cs="Times New Roman"/>
          <w:b/>
          <w:bCs/>
          <w:sz w:val="28"/>
          <w:szCs w:val="28"/>
          <w:lang w:val="en-US"/>
        </w:rPr>
        <w:t xml:space="preserve">DATE OF REVISION OF THE TEXT </w:t>
      </w:r>
      <w:r w:rsidRPr="00C039B1">
        <w:rPr>
          <w:rFonts w:cs="Times New Roman"/>
          <w:b/>
          <w:bCs/>
          <w:sz w:val="28"/>
          <w:szCs w:val="28"/>
          <w:vertAlign w:val="superscript"/>
          <w:lang w:val="en-US"/>
        </w:rPr>
        <w:t>1</w:t>
      </w:r>
      <w:r w:rsidRPr="00C039B1">
        <w:rPr>
          <w:rFonts w:cs="Times New Roman"/>
          <w:b/>
          <w:bCs/>
          <w:sz w:val="28"/>
          <w:szCs w:val="28"/>
          <w:lang w:val="en-US"/>
        </w:rPr>
        <w:t xml:space="preserve"> </w:t>
      </w:r>
    </w:p>
    <w:p w14:paraId="071E4A12" w14:textId="163C161F" w:rsidR="000B4013" w:rsidRPr="00C039B1" w:rsidRDefault="00000000" w:rsidP="00C039B1">
      <w:pPr>
        <w:pStyle w:val="ListParagraph"/>
        <w:spacing w:after="4" w:line="360" w:lineRule="auto"/>
        <w:ind w:left="360" w:firstLine="0"/>
        <w:rPr>
          <w:rFonts w:cs="Times New Roman"/>
          <w:b/>
          <w:bCs/>
          <w:color w:val="FF0000"/>
          <w:sz w:val="28"/>
          <w:szCs w:val="28"/>
          <w:lang w:val="en-US"/>
        </w:rPr>
      </w:pPr>
      <w:r w:rsidRPr="00C039B1">
        <w:rPr>
          <w:rFonts w:cs="Times New Roman"/>
          <w:color w:val="FF0000"/>
          <w:sz w:val="28"/>
          <w:szCs w:val="28"/>
          <w:lang w:val="en-US"/>
        </w:rPr>
        <w:t xml:space="preserve">&lt;Regarding the approval&gt; </w:t>
      </w:r>
    </w:p>
    <w:p w14:paraId="300C56DA" w14:textId="509E9132" w:rsidR="000B4013" w:rsidRDefault="000B4013" w:rsidP="00C039B1">
      <w:pPr>
        <w:spacing w:after="535" w:line="259" w:lineRule="auto"/>
        <w:rPr>
          <w:rFonts w:cs="Times New Roman"/>
          <w:sz w:val="28"/>
          <w:szCs w:val="28"/>
          <w:lang w:val="en-US"/>
        </w:rPr>
      </w:pPr>
    </w:p>
    <w:p w14:paraId="269BF408" w14:textId="77777777" w:rsidR="00C039B1" w:rsidRDefault="00C039B1" w:rsidP="00C039B1">
      <w:pPr>
        <w:spacing w:after="535" w:line="259" w:lineRule="auto"/>
        <w:rPr>
          <w:rFonts w:cs="Times New Roman"/>
          <w:sz w:val="28"/>
          <w:szCs w:val="28"/>
          <w:lang w:val="en-US"/>
        </w:rPr>
      </w:pPr>
    </w:p>
    <w:p w14:paraId="1E9D5E74" w14:textId="77777777" w:rsidR="00C039B1" w:rsidRPr="0045216F" w:rsidRDefault="00C039B1" w:rsidP="00C039B1">
      <w:pPr>
        <w:spacing w:after="535" w:line="259" w:lineRule="auto"/>
        <w:rPr>
          <w:rFonts w:cs="Times New Roman"/>
          <w:sz w:val="28"/>
          <w:szCs w:val="28"/>
          <w:lang w:val="en-US"/>
        </w:rPr>
      </w:pPr>
    </w:p>
    <w:p w14:paraId="646CB984" w14:textId="77777777" w:rsidR="000B4013" w:rsidRPr="0045216F" w:rsidRDefault="00000000" w:rsidP="00C039B1">
      <w:pPr>
        <w:spacing w:after="186" w:line="259" w:lineRule="auto"/>
        <w:ind w:left="0" w:right="3935" w:firstLine="0"/>
        <w:jc w:val="both"/>
        <w:rPr>
          <w:rFonts w:cs="Times New Roman"/>
          <w:sz w:val="28"/>
          <w:szCs w:val="28"/>
          <w:lang w:val="en-US"/>
        </w:rPr>
      </w:pPr>
      <w:r w:rsidRPr="0045216F">
        <w:rPr>
          <w:rFonts w:eastAsia="Calibri" w:cs="Times New Roman"/>
          <w:noProof/>
          <w:sz w:val="28"/>
          <w:szCs w:val="28"/>
        </w:rPr>
        <mc:AlternateContent>
          <mc:Choice Requires="wpg">
            <w:drawing>
              <wp:inline distT="0" distB="0" distL="0" distR="0" wp14:anchorId="76FFCBD3" wp14:editId="4E3B4906">
                <wp:extent cx="1829435" cy="6096"/>
                <wp:effectExtent l="0" t="0" r="0" b="0"/>
                <wp:docPr id="14878" name="Group 14878"/>
                <wp:cNvGraphicFramePr/>
                <a:graphic xmlns:a="http://schemas.openxmlformats.org/drawingml/2006/main">
                  <a:graphicData uri="http://schemas.microsoft.com/office/word/2010/wordprocessingGroup">
                    <wpg:wgp>
                      <wpg:cNvGrpSpPr/>
                      <wpg:grpSpPr>
                        <a:xfrm>
                          <a:off x="0" y="0"/>
                          <a:ext cx="1829435" cy="6096"/>
                          <a:chOff x="0" y="0"/>
                          <a:chExt cx="1829435" cy="6096"/>
                        </a:xfrm>
                      </wpg:grpSpPr>
                      <wps:wsp>
                        <wps:cNvPr id="16792" name="Shape 1679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78" style="width:144.05pt;height:0.47998pt;mso-position-horizontal-relative:char;mso-position-vertical-relative:line" coordsize="18294,60">
                <v:shape id="Shape 16793" style="position:absolute;width:18294;height:91;left:0;top:0;" coordsize="1829435,9144" path="m0,0l1829435,0l1829435,9144l0,9144l0,0">
                  <v:stroke weight="0pt" endcap="flat" joinstyle="miter" miterlimit="10" on="false" color="#000000" opacity="0"/>
                  <v:fill on="true" color="#000000"/>
                </v:shape>
              </v:group>
            </w:pict>
          </mc:Fallback>
        </mc:AlternateContent>
      </w:r>
      <w:r w:rsidRPr="0045216F">
        <w:rPr>
          <w:rFonts w:cs="Times New Roman"/>
          <w:sz w:val="28"/>
          <w:szCs w:val="28"/>
          <w:lang w:val="en-US"/>
        </w:rPr>
        <w:t xml:space="preserve"> </w:t>
      </w:r>
    </w:p>
    <w:p w14:paraId="3A15F25E" w14:textId="77777777" w:rsidR="000B4013" w:rsidRPr="0045216F" w:rsidRDefault="00000000" w:rsidP="00C039B1">
      <w:pPr>
        <w:spacing w:after="0" w:line="259" w:lineRule="auto"/>
        <w:ind w:left="0" w:firstLine="0"/>
        <w:jc w:val="both"/>
        <w:rPr>
          <w:rFonts w:cs="Times New Roman"/>
          <w:sz w:val="28"/>
          <w:szCs w:val="28"/>
          <w:lang w:val="en-US"/>
        </w:rPr>
      </w:pPr>
      <w:r w:rsidRPr="0045216F">
        <w:rPr>
          <w:rFonts w:cs="Times New Roman"/>
          <w:sz w:val="28"/>
          <w:szCs w:val="28"/>
          <w:lang w:val="en-US"/>
        </w:rPr>
        <w:t>1Ref: FASIGYN, MHRA, 24/04/2020</w:t>
      </w:r>
      <w:r w:rsidRPr="0045216F">
        <w:rPr>
          <w:rFonts w:cs="Times New Roman"/>
          <w:sz w:val="28"/>
          <w:szCs w:val="28"/>
          <w:vertAlign w:val="subscript"/>
          <w:lang w:val="en-US"/>
        </w:rPr>
        <w:t xml:space="preserve"> </w:t>
      </w:r>
    </w:p>
    <w:sectPr w:rsidR="000B4013" w:rsidRPr="0045216F" w:rsidSect="0045216F">
      <w:pgSz w:w="11899" w:h="16838"/>
      <w:pgMar w:top="1985" w:right="1418" w:bottom="1985"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1FD"/>
    <w:multiLevelType w:val="hybridMultilevel"/>
    <w:tmpl w:val="3232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0DA1"/>
    <w:multiLevelType w:val="hybridMultilevel"/>
    <w:tmpl w:val="378C3F3E"/>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 w15:restartNumberingAfterBreak="0">
    <w:nsid w:val="08170135"/>
    <w:multiLevelType w:val="hybridMultilevel"/>
    <w:tmpl w:val="1EC82B32"/>
    <w:lvl w:ilvl="0" w:tplc="0409000F">
      <w:start w:val="1"/>
      <w:numFmt w:val="decimal"/>
      <w:lvlText w:val="%1."/>
      <w:lvlJc w:val="left"/>
      <w:pPr>
        <w:ind w:left="-1507" w:hanging="360"/>
      </w:pPr>
    </w:lvl>
    <w:lvl w:ilvl="1" w:tplc="04090019" w:tentative="1">
      <w:start w:val="1"/>
      <w:numFmt w:val="lowerLetter"/>
      <w:lvlText w:val="%2."/>
      <w:lvlJc w:val="left"/>
      <w:pPr>
        <w:ind w:left="-787" w:hanging="360"/>
      </w:pPr>
    </w:lvl>
    <w:lvl w:ilvl="2" w:tplc="0409001B" w:tentative="1">
      <w:start w:val="1"/>
      <w:numFmt w:val="lowerRoman"/>
      <w:lvlText w:val="%3."/>
      <w:lvlJc w:val="right"/>
      <w:pPr>
        <w:ind w:left="-67" w:hanging="180"/>
      </w:pPr>
    </w:lvl>
    <w:lvl w:ilvl="3" w:tplc="0409000F" w:tentative="1">
      <w:start w:val="1"/>
      <w:numFmt w:val="decimal"/>
      <w:lvlText w:val="%4."/>
      <w:lvlJc w:val="left"/>
      <w:pPr>
        <w:ind w:left="653" w:hanging="360"/>
      </w:pPr>
    </w:lvl>
    <w:lvl w:ilvl="4" w:tplc="04090019" w:tentative="1">
      <w:start w:val="1"/>
      <w:numFmt w:val="lowerLetter"/>
      <w:lvlText w:val="%5."/>
      <w:lvlJc w:val="left"/>
      <w:pPr>
        <w:ind w:left="1373" w:hanging="360"/>
      </w:pPr>
    </w:lvl>
    <w:lvl w:ilvl="5" w:tplc="0409001B" w:tentative="1">
      <w:start w:val="1"/>
      <w:numFmt w:val="lowerRoman"/>
      <w:lvlText w:val="%6."/>
      <w:lvlJc w:val="right"/>
      <w:pPr>
        <w:ind w:left="2093" w:hanging="180"/>
      </w:pPr>
    </w:lvl>
    <w:lvl w:ilvl="6" w:tplc="0409000F" w:tentative="1">
      <w:start w:val="1"/>
      <w:numFmt w:val="decimal"/>
      <w:lvlText w:val="%7."/>
      <w:lvlJc w:val="left"/>
      <w:pPr>
        <w:ind w:left="2813" w:hanging="360"/>
      </w:pPr>
    </w:lvl>
    <w:lvl w:ilvl="7" w:tplc="04090019" w:tentative="1">
      <w:start w:val="1"/>
      <w:numFmt w:val="lowerLetter"/>
      <w:lvlText w:val="%8."/>
      <w:lvlJc w:val="left"/>
      <w:pPr>
        <w:ind w:left="3533" w:hanging="360"/>
      </w:pPr>
    </w:lvl>
    <w:lvl w:ilvl="8" w:tplc="0409001B" w:tentative="1">
      <w:start w:val="1"/>
      <w:numFmt w:val="lowerRoman"/>
      <w:lvlText w:val="%9."/>
      <w:lvlJc w:val="right"/>
      <w:pPr>
        <w:ind w:left="4253" w:hanging="180"/>
      </w:pPr>
    </w:lvl>
  </w:abstractNum>
  <w:abstractNum w:abstractNumId="3" w15:restartNumberingAfterBreak="0">
    <w:nsid w:val="3B10113C"/>
    <w:multiLevelType w:val="hybridMultilevel"/>
    <w:tmpl w:val="AB08F988"/>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 w15:restartNumberingAfterBreak="0">
    <w:nsid w:val="4E3C222E"/>
    <w:multiLevelType w:val="multilevel"/>
    <w:tmpl w:val="707A906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A01DDB"/>
    <w:multiLevelType w:val="multilevel"/>
    <w:tmpl w:val="1B2A7110"/>
    <w:lvl w:ilvl="0">
      <w:start w:val="1"/>
      <w:numFmt w:val="decimal"/>
      <w:lvlText w:val="%1."/>
      <w:lvlJc w:val="left"/>
      <w:pPr>
        <w:ind w:left="360" w:hanging="360"/>
      </w:pPr>
      <w:rPr>
        <w:b/>
        <w:bCs/>
        <w:color w:val="000000" w:themeColor="tex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685B6D"/>
    <w:multiLevelType w:val="hybridMultilevel"/>
    <w:tmpl w:val="B48AAB40"/>
    <w:lvl w:ilvl="0" w:tplc="04090001">
      <w:start w:val="1"/>
      <w:numFmt w:val="bullet"/>
      <w:lvlText w:val=""/>
      <w:lvlJc w:val="left"/>
      <w:pPr>
        <w:ind w:left="16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720DF7C">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4A060">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6B2FC">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C4798">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47EAE">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74B6">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4FE6A">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C0CB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E0177A"/>
    <w:multiLevelType w:val="multilevel"/>
    <w:tmpl w:val="0409001F"/>
    <w:lvl w:ilvl="0">
      <w:start w:val="1"/>
      <w:numFmt w:val="decimal"/>
      <w:lvlText w:val="%1."/>
      <w:lvlJc w:val="left"/>
      <w:pPr>
        <w:ind w:left="1075" w:hanging="360"/>
      </w:pPr>
    </w:lvl>
    <w:lvl w:ilvl="1">
      <w:start w:val="1"/>
      <w:numFmt w:val="decimal"/>
      <w:lvlText w:val="%1.%2."/>
      <w:lvlJc w:val="left"/>
      <w:pPr>
        <w:ind w:left="1507" w:hanging="432"/>
      </w:pPr>
    </w:lvl>
    <w:lvl w:ilvl="2">
      <w:start w:val="1"/>
      <w:numFmt w:val="decimal"/>
      <w:lvlText w:val="%1.%2.%3."/>
      <w:lvlJc w:val="left"/>
      <w:pPr>
        <w:ind w:left="1939" w:hanging="504"/>
      </w:pPr>
    </w:lvl>
    <w:lvl w:ilvl="3">
      <w:start w:val="1"/>
      <w:numFmt w:val="decimal"/>
      <w:lvlText w:val="%1.%2.%3.%4."/>
      <w:lvlJc w:val="left"/>
      <w:pPr>
        <w:ind w:left="2443" w:hanging="648"/>
      </w:pPr>
    </w:lvl>
    <w:lvl w:ilvl="4">
      <w:start w:val="1"/>
      <w:numFmt w:val="decimal"/>
      <w:lvlText w:val="%1.%2.%3.%4.%5."/>
      <w:lvlJc w:val="left"/>
      <w:pPr>
        <w:ind w:left="2947" w:hanging="792"/>
      </w:pPr>
    </w:lvl>
    <w:lvl w:ilvl="5">
      <w:start w:val="1"/>
      <w:numFmt w:val="decimal"/>
      <w:lvlText w:val="%1.%2.%3.%4.%5.%6."/>
      <w:lvlJc w:val="left"/>
      <w:pPr>
        <w:ind w:left="3451" w:hanging="936"/>
      </w:pPr>
    </w:lvl>
    <w:lvl w:ilvl="6">
      <w:start w:val="1"/>
      <w:numFmt w:val="decimal"/>
      <w:lvlText w:val="%1.%2.%3.%4.%5.%6.%7."/>
      <w:lvlJc w:val="left"/>
      <w:pPr>
        <w:ind w:left="3955" w:hanging="1080"/>
      </w:pPr>
    </w:lvl>
    <w:lvl w:ilvl="7">
      <w:start w:val="1"/>
      <w:numFmt w:val="decimal"/>
      <w:lvlText w:val="%1.%2.%3.%4.%5.%6.%7.%8."/>
      <w:lvlJc w:val="left"/>
      <w:pPr>
        <w:ind w:left="4459" w:hanging="1224"/>
      </w:pPr>
    </w:lvl>
    <w:lvl w:ilvl="8">
      <w:start w:val="1"/>
      <w:numFmt w:val="decimal"/>
      <w:lvlText w:val="%1.%2.%3.%4.%5.%6.%7.%8.%9."/>
      <w:lvlJc w:val="left"/>
      <w:pPr>
        <w:ind w:left="5035" w:hanging="1440"/>
      </w:pPr>
    </w:lvl>
  </w:abstractNum>
  <w:abstractNum w:abstractNumId="8" w15:restartNumberingAfterBreak="0">
    <w:nsid w:val="78E1212A"/>
    <w:multiLevelType w:val="multilevel"/>
    <w:tmpl w:val="707A906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5204282">
    <w:abstractNumId w:val="6"/>
  </w:num>
  <w:num w:numId="2" w16cid:durableId="1181624849">
    <w:abstractNumId w:val="2"/>
  </w:num>
  <w:num w:numId="3" w16cid:durableId="1446921419">
    <w:abstractNumId w:val="5"/>
  </w:num>
  <w:num w:numId="4" w16cid:durableId="2081168929">
    <w:abstractNumId w:val="1"/>
  </w:num>
  <w:num w:numId="5" w16cid:durableId="97258515">
    <w:abstractNumId w:val="7"/>
  </w:num>
  <w:num w:numId="6" w16cid:durableId="1501890936">
    <w:abstractNumId w:val="0"/>
  </w:num>
  <w:num w:numId="7" w16cid:durableId="778765253">
    <w:abstractNumId w:val="3"/>
  </w:num>
  <w:num w:numId="8" w16cid:durableId="1319769951">
    <w:abstractNumId w:val="4"/>
  </w:num>
  <w:num w:numId="9" w16cid:durableId="1457872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13"/>
    <w:rsid w:val="000B4013"/>
    <w:rsid w:val="001D42B1"/>
    <w:rsid w:val="0045216F"/>
    <w:rsid w:val="00C039B1"/>
    <w:rsid w:val="00C64B0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7917A66"/>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56" w:lineRule="auto"/>
      <w:ind w:left="731" w:hanging="10"/>
    </w:pPr>
    <w:rPr>
      <w:rFonts w:ascii="Times New Roman" w:eastAsia="Times New Roman" w:hAnsi="Times New Roman" w:cs="Angsana New"/>
      <w:color w:val="000000"/>
      <w:lang w:val="th" w:eastAsia="th"/>
    </w:rPr>
  </w:style>
  <w:style w:type="paragraph" w:styleId="Heading1">
    <w:name w:val="heading 1"/>
    <w:next w:val="Normal"/>
    <w:link w:val="Heading1Char"/>
    <w:uiPriority w:val="9"/>
    <w:qFormat/>
    <w:pPr>
      <w:keepNext/>
      <w:keepLines/>
      <w:spacing w:after="4"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 w:line="259" w:lineRule="auto"/>
      <w:ind w:left="731"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30" w:line="259"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6</TotalTime>
  <Pages>16</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- 390780177944332858_spc-doc.doc</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- 390780177944332858_spc-doc.doc</dc:title>
  <dc:subject/>
  <dc:creator>Napak Sodsuchart</dc:creator>
  <cp:keywords/>
  <cp:lastModifiedBy>PIYATIDA PANITSUPAKAMOL</cp:lastModifiedBy>
  <cp:revision>2</cp:revision>
  <dcterms:created xsi:type="dcterms:W3CDTF">2024-09-06T08:23:00Z</dcterms:created>
  <dcterms:modified xsi:type="dcterms:W3CDTF">2024-09-06T08:23:00Z</dcterms:modified>
</cp:coreProperties>
</file>