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8F600" w14:textId="77777777" w:rsidR="00722E38" w:rsidRPr="00722E38" w:rsidRDefault="00000000" w:rsidP="00722E38">
      <w:pPr>
        <w:spacing w:line="480" w:lineRule="auto"/>
        <w:ind w:left="0" w:firstLine="0"/>
        <w:jc w:val="center"/>
        <w:rPr>
          <w:b/>
          <w:bCs/>
          <w:sz w:val="28"/>
          <w:szCs w:val="28"/>
        </w:rPr>
      </w:pPr>
      <w:r w:rsidRPr="00722E38">
        <w:rPr>
          <w:b/>
          <w:bCs/>
          <w:sz w:val="28"/>
          <w:szCs w:val="28"/>
        </w:rPr>
        <w:t>SUMMARY OF PRODUCT CHARACTERISTICS</w:t>
      </w:r>
    </w:p>
    <w:p w14:paraId="383BB776" w14:textId="77777777" w:rsidR="00722E38" w:rsidRDefault="00000000" w:rsidP="00722E38">
      <w:pPr>
        <w:pStyle w:val="ListParagraph"/>
        <w:numPr>
          <w:ilvl w:val="0"/>
          <w:numId w:val="5"/>
        </w:numPr>
        <w:spacing w:after="240" w:line="269" w:lineRule="auto"/>
        <w:ind w:left="357" w:hanging="357"/>
        <w:contextualSpacing w:val="0"/>
        <w:jc w:val="left"/>
        <w:rPr>
          <w:b/>
          <w:bCs/>
          <w:sz w:val="28"/>
          <w:szCs w:val="28"/>
        </w:rPr>
      </w:pPr>
      <w:r w:rsidRPr="00722E38">
        <w:rPr>
          <w:b/>
          <w:bCs/>
          <w:sz w:val="28"/>
          <w:szCs w:val="28"/>
        </w:rPr>
        <w:t>NAME OF THE MEDICINAL PRODUCT</w:t>
      </w:r>
    </w:p>
    <w:p w14:paraId="4F5A73F2" w14:textId="77777777" w:rsidR="00722E38" w:rsidRDefault="00000000" w:rsidP="00722E38">
      <w:pPr>
        <w:pStyle w:val="ListParagraph"/>
        <w:spacing w:line="360" w:lineRule="auto"/>
        <w:ind w:left="360" w:firstLine="0"/>
        <w:jc w:val="left"/>
        <w:rPr>
          <w:sz w:val="28"/>
          <w:szCs w:val="28"/>
        </w:rPr>
      </w:pPr>
      <w:r w:rsidRPr="00722E38">
        <w:rPr>
          <w:sz w:val="28"/>
          <w:szCs w:val="28"/>
        </w:rPr>
        <w:t>&lt;TRADE NAME&gt; &lt;STRENGTH&gt; Gastro-resistant Tablets</w:t>
      </w:r>
    </w:p>
    <w:p w14:paraId="415607EA" w14:textId="662C5F8C" w:rsidR="00722E38" w:rsidRPr="00722E38" w:rsidRDefault="00000000" w:rsidP="00722E38">
      <w:pPr>
        <w:pStyle w:val="ListParagraph"/>
        <w:spacing w:after="240" w:line="360" w:lineRule="auto"/>
        <w:ind w:left="357" w:firstLine="0"/>
        <w:contextualSpacing w:val="0"/>
        <w:jc w:val="left"/>
        <w:rPr>
          <w:b/>
          <w:bCs/>
          <w:color w:val="FF0000"/>
          <w:sz w:val="28"/>
          <w:szCs w:val="28"/>
        </w:rPr>
      </w:pPr>
      <w:r w:rsidRPr="00722E38">
        <w:rPr>
          <w:color w:val="FF0000"/>
          <w:sz w:val="28"/>
          <w:szCs w:val="28"/>
        </w:rPr>
        <w:t>&lt;REGARDING THE APPROVAL&gt;</w:t>
      </w:r>
    </w:p>
    <w:p w14:paraId="56E6E552" w14:textId="77777777" w:rsidR="00722E38" w:rsidRDefault="00000000" w:rsidP="00DC4A65">
      <w:pPr>
        <w:pStyle w:val="ListParagraph"/>
        <w:numPr>
          <w:ilvl w:val="0"/>
          <w:numId w:val="5"/>
        </w:numPr>
        <w:spacing w:after="240" w:line="269" w:lineRule="auto"/>
        <w:ind w:left="357" w:hanging="357"/>
        <w:contextualSpacing w:val="0"/>
        <w:jc w:val="left"/>
        <w:rPr>
          <w:b/>
          <w:bCs/>
          <w:sz w:val="28"/>
          <w:szCs w:val="28"/>
        </w:rPr>
      </w:pPr>
      <w:r w:rsidRPr="00722E38">
        <w:rPr>
          <w:b/>
          <w:bCs/>
          <w:sz w:val="28"/>
          <w:szCs w:val="28"/>
        </w:rPr>
        <w:t>QUALITATIVE AND QUANTITATIVE COMPOSITION</w:t>
      </w:r>
    </w:p>
    <w:p w14:paraId="5FCCAB42" w14:textId="77777777" w:rsidR="00722E38" w:rsidRDefault="00000000" w:rsidP="00DC4A65">
      <w:pPr>
        <w:pStyle w:val="ListParagraph"/>
        <w:spacing w:line="360" w:lineRule="auto"/>
        <w:ind w:left="360" w:firstLine="0"/>
        <w:jc w:val="left"/>
        <w:rPr>
          <w:sz w:val="28"/>
          <w:szCs w:val="28"/>
        </w:rPr>
      </w:pPr>
      <w:r w:rsidRPr="00722E38">
        <w:rPr>
          <w:sz w:val="28"/>
          <w:szCs w:val="28"/>
        </w:rPr>
        <w:t>Each tablet contains &lt;GENERIC NAME&gt; &lt;STRENGTH&gt;</w:t>
      </w:r>
    </w:p>
    <w:p w14:paraId="40773927" w14:textId="77777777" w:rsidR="00722E38" w:rsidRDefault="00000000" w:rsidP="00DC4A65">
      <w:pPr>
        <w:pStyle w:val="ListParagraph"/>
        <w:spacing w:line="360" w:lineRule="auto"/>
        <w:ind w:left="360" w:firstLine="0"/>
        <w:jc w:val="left"/>
        <w:rPr>
          <w:color w:val="FF0000"/>
          <w:sz w:val="28"/>
          <w:szCs w:val="28"/>
        </w:rPr>
      </w:pPr>
      <w:r w:rsidRPr="00722E38">
        <w:rPr>
          <w:color w:val="FF0000"/>
          <w:sz w:val="28"/>
          <w:szCs w:val="28"/>
        </w:rPr>
        <w:t>&lt;REGARDING THE APPROVAL&gt;</w:t>
      </w:r>
    </w:p>
    <w:p w14:paraId="7A183DA3" w14:textId="3DD21B89" w:rsidR="00722E38" w:rsidRPr="00722E38" w:rsidRDefault="00000000" w:rsidP="00DC4A65">
      <w:pPr>
        <w:pStyle w:val="ListParagraph"/>
        <w:spacing w:after="120" w:line="360" w:lineRule="auto"/>
        <w:ind w:left="357" w:firstLine="0"/>
        <w:contextualSpacing w:val="0"/>
        <w:jc w:val="left"/>
        <w:rPr>
          <w:b/>
          <w:bCs/>
          <w:sz w:val="28"/>
          <w:szCs w:val="28"/>
        </w:rPr>
      </w:pPr>
      <w:r w:rsidRPr="00722E38">
        <w:rPr>
          <w:sz w:val="28"/>
          <w:szCs w:val="28"/>
        </w:rPr>
        <w:t>For a full list of excipients, see section 6.1.</w:t>
      </w:r>
    </w:p>
    <w:p w14:paraId="7018FF39" w14:textId="77777777" w:rsidR="00DC4A65" w:rsidRDefault="00000000" w:rsidP="00DC4A65">
      <w:pPr>
        <w:pStyle w:val="ListParagraph"/>
        <w:numPr>
          <w:ilvl w:val="0"/>
          <w:numId w:val="5"/>
        </w:numPr>
        <w:spacing w:line="360" w:lineRule="auto"/>
        <w:jc w:val="left"/>
        <w:rPr>
          <w:b/>
          <w:bCs/>
          <w:sz w:val="28"/>
          <w:szCs w:val="28"/>
        </w:rPr>
      </w:pPr>
      <w:r w:rsidRPr="00DC4A65">
        <w:rPr>
          <w:b/>
          <w:bCs/>
          <w:sz w:val="28"/>
          <w:szCs w:val="28"/>
        </w:rPr>
        <w:t>PHARMACEUTICAL FORM</w:t>
      </w:r>
    </w:p>
    <w:p w14:paraId="5F5E35FF" w14:textId="77777777" w:rsidR="00DC4A65" w:rsidRDefault="00000000" w:rsidP="00DC4A65">
      <w:pPr>
        <w:pStyle w:val="ListParagraph"/>
        <w:spacing w:line="360" w:lineRule="auto"/>
        <w:ind w:left="360" w:firstLine="0"/>
        <w:jc w:val="left"/>
        <w:rPr>
          <w:sz w:val="28"/>
          <w:szCs w:val="28"/>
        </w:rPr>
      </w:pPr>
      <w:r w:rsidRPr="00DC4A65">
        <w:rPr>
          <w:sz w:val="28"/>
          <w:szCs w:val="28"/>
        </w:rPr>
        <w:t>Gastro-resistant tablets</w:t>
      </w:r>
    </w:p>
    <w:p w14:paraId="53F73ACB" w14:textId="03228BEA" w:rsidR="00DD1EBA" w:rsidRPr="00DC4A65" w:rsidRDefault="00000000" w:rsidP="00DC4A65">
      <w:pPr>
        <w:pStyle w:val="ListParagraph"/>
        <w:spacing w:after="240" w:line="360" w:lineRule="auto"/>
        <w:ind w:left="357" w:firstLine="0"/>
        <w:contextualSpacing w:val="0"/>
        <w:jc w:val="left"/>
        <w:rPr>
          <w:b/>
          <w:bCs/>
          <w:color w:val="FF0000"/>
          <w:sz w:val="28"/>
          <w:szCs w:val="28"/>
        </w:rPr>
      </w:pPr>
      <w:r w:rsidRPr="00DC4A65">
        <w:rPr>
          <w:color w:val="FF0000"/>
          <w:sz w:val="28"/>
          <w:szCs w:val="28"/>
        </w:rPr>
        <w:t>&lt;REGARDING THE APPROVAL&gt;</w:t>
      </w:r>
    </w:p>
    <w:p w14:paraId="1B3D8107" w14:textId="77777777" w:rsidR="00DC4A65" w:rsidRDefault="00000000" w:rsidP="00DC4A65">
      <w:pPr>
        <w:pStyle w:val="ListParagraph"/>
        <w:numPr>
          <w:ilvl w:val="0"/>
          <w:numId w:val="5"/>
        </w:numPr>
        <w:spacing w:after="240" w:line="269" w:lineRule="auto"/>
        <w:ind w:left="357" w:hanging="357"/>
        <w:contextualSpacing w:val="0"/>
        <w:jc w:val="left"/>
        <w:rPr>
          <w:b/>
          <w:bCs/>
          <w:sz w:val="28"/>
          <w:szCs w:val="28"/>
        </w:rPr>
      </w:pPr>
      <w:r w:rsidRPr="00DC4A65">
        <w:rPr>
          <w:b/>
          <w:bCs/>
          <w:sz w:val="28"/>
          <w:szCs w:val="28"/>
        </w:rPr>
        <w:t>CLINICAL PARTICULARS</w:t>
      </w:r>
    </w:p>
    <w:p w14:paraId="395DCDF6" w14:textId="77777777" w:rsidR="00DC4A65" w:rsidRDefault="00000000" w:rsidP="00A65708">
      <w:pPr>
        <w:pStyle w:val="ListParagraph"/>
        <w:numPr>
          <w:ilvl w:val="1"/>
          <w:numId w:val="5"/>
        </w:numPr>
        <w:spacing w:after="240" w:line="269" w:lineRule="auto"/>
        <w:ind w:left="788" w:hanging="431"/>
        <w:contextualSpacing w:val="0"/>
        <w:jc w:val="left"/>
        <w:rPr>
          <w:b/>
          <w:bCs/>
          <w:sz w:val="28"/>
          <w:szCs w:val="28"/>
        </w:rPr>
      </w:pPr>
      <w:r w:rsidRPr="00DC4A65">
        <w:rPr>
          <w:b/>
          <w:bCs/>
          <w:sz w:val="28"/>
          <w:szCs w:val="28"/>
        </w:rPr>
        <w:t>Therapeutic indications</w:t>
      </w:r>
    </w:p>
    <w:p w14:paraId="1517CE0D" w14:textId="7E294216" w:rsidR="00A65708" w:rsidRPr="00A65708" w:rsidRDefault="00000000" w:rsidP="00A65708">
      <w:pPr>
        <w:pStyle w:val="ListParagraph"/>
        <w:spacing w:line="360" w:lineRule="auto"/>
        <w:ind w:left="792" w:firstLine="0"/>
        <w:jc w:val="left"/>
        <w:rPr>
          <w:rFonts w:cs="Times New Roman"/>
          <w:sz w:val="28"/>
          <w:szCs w:val="28"/>
        </w:rPr>
      </w:pPr>
      <w:r w:rsidRPr="00A65708">
        <w:rPr>
          <w:sz w:val="28"/>
          <w:szCs w:val="28"/>
        </w:rPr>
        <w:t>For</w:t>
      </w:r>
      <w:r w:rsidRPr="00A65708">
        <w:rPr>
          <w:sz w:val="28"/>
          <w:szCs w:val="28"/>
        </w:rPr>
        <w:tab/>
        <w:t>the</w:t>
      </w:r>
      <w:r w:rsidRPr="00A65708">
        <w:rPr>
          <w:sz w:val="28"/>
          <w:szCs w:val="28"/>
        </w:rPr>
        <w:tab/>
        <w:t>prophylaxis</w:t>
      </w:r>
      <w:r w:rsidRPr="00A65708">
        <w:rPr>
          <w:sz w:val="28"/>
          <w:szCs w:val="28"/>
        </w:rPr>
        <w:tab/>
        <w:t>and</w:t>
      </w:r>
      <w:r w:rsidRPr="00A65708">
        <w:rPr>
          <w:sz w:val="28"/>
          <w:szCs w:val="28"/>
        </w:rPr>
        <w:tab/>
        <w:t>treatment</w:t>
      </w:r>
      <w:r w:rsidRPr="00A65708">
        <w:rPr>
          <w:sz w:val="28"/>
          <w:szCs w:val="28"/>
        </w:rPr>
        <w:tab/>
        <w:t>of</w:t>
      </w:r>
      <w:r w:rsidRPr="00A65708">
        <w:rPr>
          <w:sz w:val="28"/>
          <w:szCs w:val="28"/>
        </w:rPr>
        <w:tab/>
        <w:t>infections</w:t>
      </w:r>
      <w:r w:rsidRPr="00A65708">
        <w:rPr>
          <w:sz w:val="28"/>
          <w:szCs w:val="28"/>
        </w:rPr>
        <w:tab/>
        <w:t>caused</w:t>
      </w:r>
      <w:r w:rsidR="00A65708" w:rsidRPr="00A65708">
        <w:rPr>
          <w:sz w:val="28"/>
          <w:szCs w:val="28"/>
        </w:rPr>
        <w:t xml:space="preserve"> </w:t>
      </w:r>
      <w:r w:rsidRPr="00A65708">
        <w:rPr>
          <w:sz w:val="28"/>
          <w:szCs w:val="28"/>
        </w:rPr>
        <w:t>by</w:t>
      </w:r>
      <w:r w:rsidR="00A65708" w:rsidRPr="00A65708">
        <w:rPr>
          <w:sz w:val="28"/>
          <w:szCs w:val="28"/>
        </w:rPr>
        <w:t xml:space="preserve"> </w:t>
      </w:r>
      <w:r w:rsidRPr="00A65708">
        <w:rPr>
          <w:rFonts w:cs="Times New Roman"/>
          <w:sz w:val="28"/>
          <w:szCs w:val="28"/>
        </w:rPr>
        <w:t>Erythromycin</w:t>
      </w:r>
      <w:r w:rsidR="00A65708">
        <w:rPr>
          <w:rFonts w:cs="Times New Roman"/>
          <w:sz w:val="28"/>
          <w:szCs w:val="28"/>
        </w:rPr>
        <w:t xml:space="preserve"> </w:t>
      </w:r>
      <w:r w:rsidRPr="00A65708">
        <w:rPr>
          <w:rFonts w:cs="Times New Roman"/>
          <w:sz w:val="28"/>
          <w:szCs w:val="28"/>
        </w:rPr>
        <w:t>sensitive organisms.</w:t>
      </w:r>
      <w:r w:rsidR="00A65708" w:rsidRPr="00A65708">
        <w:rPr>
          <w:rFonts w:cs="Times New Roman"/>
          <w:sz w:val="28"/>
          <w:szCs w:val="28"/>
        </w:rPr>
        <w:t xml:space="preserve"> </w:t>
      </w:r>
      <w:r w:rsidRPr="00A65708">
        <w:rPr>
          <w:rFonts w:cs="Times New Roman"/>
          <w:color w:val="FF0000"/>
          <w:sz w:val="28"/>
          <w:szCs w:val="28"/>
        </w:rPr>
        <w:t xml:space="preserve">&lt;GENERIC NAME&gt; </w:t>
      </w:r>
      <w:r w:rsidRPr="00A65708">
        <w:rPr>
          <w:rFonts w:cs="Times New Roman"/>
          <w:sz w:val="28"/>
          <w:szCs w:val="28"/>
        </w:rPr>
        <w:t>has been shown to have in-vitro activity</w:t>
      </w:r>
      <w:r w:rsidR="00A65708" w:rsidRPr="00A65708">
        <w:rPr>
          <w:rFonts w:cs="Times New Roman"/>
          <w:sz w:val="28"/>
          <w:szCs w:val="28"/>
        </w:rPr>
        <w:t xml:space="preserve"> </w:t>
      </w:r>
      <w:r w:rsidRPr="00A65708">
        <w:rPr>
          <w:rFonts w:cs="Times New Roman"/>
          <w:sz w:val="28"/>
          <w:szCs w:val="28"/>
        </w:rPr>
        <w:t>against the following microorganisms:</w:t>
      </w:r>
    </w:p>
    <w:p w14:paraId="7A79CC79" w14:textId="77777777" w:rsidR="00A65708" w:rsidRPr="007C75AE" w:rsidRDefault="00000000" w:rsidP="007C75AE">
      <w:pPr>
        <w:pStyle w:val="ListParagraph"/>
        <w:numPr>
          <w:ilvl w:val="0"/>
          <w:numId w:val="7"/>
        </w:numPr>
        <w:spacing w:line="360" w:lineRule="auto"/>
        <w:rPr>
          <w:sz w:val="28"/>
          <w:szCs w:val="32"/>
        </w:rPr>
      </w:pPr>
      <w:r w:rsidRPr="007C75AE">
        <w:rPr>
          <w:sz w:val="28"/>
          <w:szCs w:val="32"/>
        </w:rPr>
        <w:t>Gram positive cocci: Staphylococci and Streptococci.</w:t>
      </w:r>
    </w:p>
    <w:p w14:paraId="2C8C7BB5" w14:textId="77777777" w:rsidR="00A65708" w:rsidRPr="007C75AE" w:rsidRDefault="00000000" w:rsidP="007C75AE">
      <w:pPr>
        <w:pStyle w:val="ListParagraph"/>
        <w:numPr>
          <w:ilvl w:val="0"/>
          <w:numId w:val="7"/>
        </w:numPr>
        <w:spacing w:line="360" w:lineRule="auto"/>
        <w:rPr>
          <w:sz w:val="28"/>
          <w:szCs w:val="32"/>
        </w:rPr>
      </w:pPr>
      <w:r w:rsidRPr="007C75AE">
        <w:rPr>
          <w:sz w:val="28"/>
          <w:szCs w:val="32"/>
        </w:rPr>
        <w:t>Haemophilus influenzae, L-forms, Neisseria, Mycoplasma pneumoniae</w:t>
      </w:r>
    </w:p>
    <w:p w14:paraId="51508E16" w14:textId="271BEE8B" w:rsidR="00A65708" w:rsidRPr="007C75AE" w:rsidRDefault="00000000" w:rsidP="007C75AE">
      <w:pPr>
        <w:pStyle w:val="ListParagraph"/>
        <w:numPr>
          <w:ilvl w:val="0"/>
          <w:numId w:val="7"/>
        </w:numPr>
        <w:spacing w:line="360" w:lineRule="auto"/>
        <w:rPr>
          <w:sz w:val="28"/>
          <w:szCs w:val="32"/>
        </w:rPr>
      </w:pPr>
      <w:r w:rsidRPr="007C75AE">
        <w:rPr>
          <w:sz w:val="28"/>
          <w:szCs w:val="32"/>
        </w:rPr>
        <w:t>Legionella</w:t>
      </w:r>
      <w:r w:rsidR="007C75AE" w:rsidRPr="007C75AE">
        <w:rPr>
          <w:sz w:val="28"/>
          <w:szCs w:val="32"/>
        </w:rPr>
        <w:t xml:space="preserve"> </w:t>
      </w:r>
      <w:r w:rsidRPr="007C75AE">
        <w:rPr>
          <w:sz w:val="28"/>
          <w:szCs w:val="32"/>
        </w:rPr>
        <w:t>pneumophila,</w:t>
      </w:r>
      <w:r w:rsidR="007C75AE" w:rsidRPr="007C75AE">
        <w:rPr>
          <w:sz w:val="28"/>
          <w:szCs w:val="32"/>
        </w:rPr>
        <w:t xml:space="preserve"> </w:t>
      </w:r>
      <w:r w:rsidRPr="007C75AE">
        <w:rPr>
          <w:sz w:val="28"/>
          <w:szCs w:val="32"/>
        </w:rPr>
        <w:t>Branhamella</w:t>
      </w:r>
      <w:r w:rsidR="007C75AE" w:rsidRPr="007C75AE">
        <w:rPr>
          <w:sz w:val="28"/>
          <w:szCs w:val="32"/>
        </w:rPr>
        <w:t xml:space="preserve"> </w:t>
      </w:r>
      <w:r w:rsidRPr="007C75AE">
        <w:rPr>
          <w:sz w:val="28"/>
          <w:szCs w:val="32"/>
        </w:rPr>
        <w:t>catarrhalis,</w:t>
      </w:r>
      <w:r w:rsidR="007C75AE" w:rsidRPr="007C75AE">
        <w:rPr>
          <w:sz w:val="28"/>
          <w:szCs w:val="32"/>
        </w:rPr>
        <w:t xml:space="preserve"> </w:t>
      </w:r>
      <w:r w:rsidRPr="007C75AE">
        <w:rPr>
          <w:sz w:val="28"/>
          <w:szCs w:val="32"/>
        </w:rPr>
        <w:t>Bordetella</w:t>
      </w:r>
      <w:r w:rsidR="00A65708" w:rsidRPr="007C75AE">
        <w:rPr>
          <w:sz w:val="28"/>
          <w:szCs w:val="32"/>
        </w:rPr>
        <w:t xml:space="preserve"> </w:t>
      </w:r>
      <w:r w:rsidRPr="007C75AE">
        <w:rPr>
          <w:sz w:val="28"/>
          <w:szCs w:val="32"/>
        </w:rPr>
        <w:t>pertussis</w:t>
      </w:r>
    </w:p>
    <w:p w14:paraId="06BC5DD3" w14:textId="77777777" w:rsidR="007C75AE" w:rsidRPr="007C75AE" w:rsidRDefault="00000000" w:rsidP="007C75AE">
      <w:pPr>
        <w:pStyle w:val="ListParagraph"/>
        <w:numPr>
          <w:ilvl w:val="0"/>
          <w:numId w:val="7"/>
        </w:numPr>
        <w:spacing w:line="360" w:lineRule="auto"/>
        <w:rPr>
          <w:sz w:val="28"/>
          <w:szCs w:val="32"/>
        </w:rPr>
      </w:pPr>
      <w:r w:rsidRPr="007C75AE">
        <w:rPr>
          <w:sz w:val="28"/>
          <w:szCs w:val="32"/>
        </w:rPr>
        <w:t>Corynebacterium diphtheriae (as an adjunct to antitoxin)</w:t>
      </w:r>
    </w:p>
    <w:p w14:paraId="4A670B74" w14:textId="77777777" w:rsidR="007C75AE" w:rsidRDefault="00000000" w:rsidP="007C75AE">
      <w:pPr>
        <w:pStyle w:val="ListParagraph"/>
        <w:numPr>
          <w:ilvl w:val="0"/>
          <w:numId w:val="7"/>
        </w:numPr>
        <w:spacing w:after="240" w:line="360" w:lineRule="auto"/>
        <w:ind w:left="1508" w:hanging="357"/>
        <w:contextualSpacing w:val="0"/>
        <w:rPr>
          <w:sz w:val="28"/>
          <w:szCs w:val="32"/>
        </w:rPr>
      </w:pPr>
      <w:r w:rsidRPr="007C75AE">
        <w:rPr>
          <w:sz w:val="28"/>
          <w:szCs w:val="32"/>
        </w:rPr>
        <w:lastRenderedPageBreak/>
        <w:t>Treponema</w:t>
      </w:r>
      <w:r w:rsidR="007C75AE" w:rsidRPr="007C75AE">
        <w:rPr>
          <w:sz w:val="28"/>
          <w:szCs w:val="32"/>
        </w:rPr>
        <w:t xml:space="preserve"> </w:t>
      </w:r>
      <w:r w:rsidRPr="007C75AE">
        <w:rPr>
          <w:sz w:val="28"/>
          <w:szCs w:val="32"/>
        </w:rPr>
        <w:t>pallidum,</w:t>
      </w:r>
      <w:r w:rsidR="007C75AE" w:rsidRPr="007C75AE">
        <w:rPr>
          <w:sz w:val="28"/>
          <w:szCs w:val="32"/>
        </w:rPr>
        <w:t xml:space="preserve"> </w:t>
      </w:r>
      <w:r w:rsidRPr="007C75AE">
        <w:rPr>
          <w:sz w:val="28"/>
          <w:szCs w:val="32"/>
        </w:rPr>
        <w:t>Chlamydia</w:t>
      </w:r>
      <w:r w:rsidR="007C75AE" w:rsidRPr="007C75AE">
        <w:rPr>
          <w:sz w:val="28"/>
          <w:szCs w:val="32"/>
        </w:rPr>
        <w:t xml:space="preserve"> </w:t>
      </w:r>
      <w:r w:rsidRPr="007C75AE">
        <w:rPr>
          <w:sz w:val="28"/>
          <w:szCs w:val="32"/>
        </w:rPr>
        <w:t>trachomatis,</w:t>
      </w:r>
      <w:r w:rsidR="007C75AE" w:rsidRPr="007C75AE">
        <w:rPr>
          <w:sz w:val="28"/>
          <w:szCs w:val="32"/>
        </w:rPr>
        <w:t xml:space="preserve"> </w:t>
      </w:r>
      <w:r w:rsidRPr="007C75AE">
        <w:rPr>
          <w:sz w:val="28"/>
          <w:szCs w:val="32"/>
        </w:rPr>
        <w:t>Ureaplasma</w:t>
      </w:r>
      <w:r w:rsidR="00A65708" w:rsidRPr="007C75AE">
        <w:rPr>
          <w:sz w:val="28"/>
          <w:szCs w:val="32"/>
        </w:rPr>
        <w:t xml:space="preserve"> </w:t>
      </w:r>
      <w:r w:rsidRPr="007C75AE">
        <w:rPr>
          <w:sz w:val="28"/>
          <w:szCs w:val="32"/>
        </w:rPr>
        <w:t>urealytica Clostridia, Campylobacter.</w:t>
      </w:r>
    </w:p>
    <w:p w14:paraId="332A54F5" w14:textId="3F3AB60E" w:rsidR="00DD1EBA" w:rsidRPr="007C75AE" w:rsidRDefault="00000000" w:rsidP="007C75AE">
      <w:pPr>
        <w:spacing w:after="240" w:line="360" w:lineRule="auto"/>
        <w:ind w:left="1151" w:firstLine="0"/>
        <w:rPr>
          <w:sz w:val="28"/>
          <w:szCs w:val="32"/>
          <w:u w:val="single"/>
        </w:rPr>
      </w:pPr>
      <w:r w:rsidRPr="007C75AE">
        <w:rPr>
          <w:sz w:val="28"/>
          <w:szCs w:val="28"/>
          <w:u w:val="single"/>
        </w:rPr>
        <w:t>Clinical infections:</w:t>
      </w:r>
    </w:p>
    <w:p w14:paraId="7A0A198F" w14:textId="77777777" w:rsidR="00DD1EBA" w:rsidRPr="00722E38" w:rsidRDefault="00000000" w:rsidP="007C75AE">
      <w:pPr>
        <w:numPr>
          <w:ilvl w:val="0"/>
          <w:numId w:val="8"/>
        </w:numPr>
        <w:spacing w:after="4" w:line="360" w:lineRule="auto"/>
        <w:ind w:right="461"/>
        <w:rPr>
          <w:sz w:val="28"/>
          <w:szCs w:val="28"/>
        </w:rPr>
      </w:pPr>
      <w:r w:rsidRPr="007C75AE">
        <w:rPr>
          <w:i/>
          <w:iCs/>
          <w:sz w:val="28"/>
          <w:szCs w:val="28"/>
        </w:rPr>
        <w:t>Upper respiratory tract infections:</w:t>
      </w:r>
      <w:r w:rsidRPr="00722E38">
        <w:rPr>
          <w:sz w:val="28"/>
          <w:szCs w:val="28"/>
        </w:rPr>
        <w:t xml:space="preserve"> Tonsillitis, peritonsillar abscess, pharyngitis, laryngitis, sinusitis, secondary infections in influenza and common colds.</w:t>
      </w:r>
    </w:p>
    <w:p w14:paraId="70838BFE" w14:textId="77777777" w:rsidR="00DD1EBA" w:rsidRPr="00722E38" w:rsidRDefault="00000000" w:rsidP="007C75AE">
      <w:pPr>
        <w:numPr>
          <w:ilvl w:val="0"/>
          <w:numId w:val="8"/>
        </w:numPr>
        <w:spacing w:after="147" w:line="360" w:lineRule="auto"/>
        <w:ind w:right="461"/>
        <w:rPr>
          <w:sz w:val="28"/>
          <w:szCs w:val="28"/>
        </w:rPr>
      </w:pPr>
      <w:r w:rsidRPr="007C75AE">
        <w:rPr>
          <w:i/>
          <w:iCs/>
          <w:sz w:val="28"/>
          <w:szCs w:val="28"/>
        </w:rPr>
        <w:t>Lower respiratory tract infections:</w:t>
      </w:r>
      <w:r w:rsidRPr="00722E38">
        <w:rPr>
          <w:sz w:val="28"/>
          <w:szCs w:val="28"/>
        </w:rPr>
        <w:t xml:space="preserve"> Tracheitis, acute and chronic bronchitis, pneumonia (lobar pneumonia, bronchopneumonia, primary atypical pneumonia), bronchiectasis, Legionnaire's disease</w:t>
      </w:r>
    </w:p>
    <w:p w14:paraId="019E71A9" w14:textId="77777777" w:rsidR="00DD1EBA" w:rsidRPr="00722E38" w:rsidRDefault="00000000" w:rsidP="007C75AE">
      <w:pPr>
        <w:numPr>
          <w:ilvl w:val="0"/>
          <w:numId w:val="8"/>
        </w:numPr>
        <w:spacing w:after="153" w:line="360" w:lineRule="auto"/>
        <w:ind w:right="461"/>
        <w:rPr>
          <w:sz w:val="28"/>
          <w:szCs w:val="28"/>
        </w:rPr>
      </w:pPr>
      <w:r w:rsidRPr="007C75AE">
        <w:rPr>
          <w:i/>
          <w:iCs/>
          <w:sz w:val="28"/>
          <w:szCs w:val="28"/>
        </w:rPr>
        <w:t>Ear infections:</w:t>
      </w:r>
      <w:r w:rsidRPr="00722E38">
        <w:rPr>
          <w:sz w:val="28"/>
          <w:szCs w:val="28"/>
        </w:rPr>
        <w:t xml:space="preserve"> Otitis media and otitis externa, mastoiditis.</w:t>
      </w:r>
    </w:p>
    <w:p w14:paraId="367B008A" w14:textId="77777777" w:rsidR="00DD1EBA" w:rsidRPr="00722E38" w:rsidRDefault="00000000" w:rsidP="007C75AE">
      <w:pPr>
        <w:numPr>
          <w:ilvl w:val="0"/>
          <w:numId w:val="8"/>
        </w:numPr>
        <w:spacing w:after="153" w:line="360" w:lineRule="auto"/>
        <w:ind w:right="461"/>
        <w:rPr>
          <w:sz w:val="28"/>
          <w:szCs w:val="28"/>
        </w:rPr>
      </w:pPr>
      <w:r w:rsidRPr="007C75AE">
        <w:rPr>
          <w:i/>
          <w:iCs/>
          <w:sz w:val="28"/>
          <w:szCs w:val="28"/>
        </w:rPr>
        <w:t>Eye infections:</w:t>
      </w:r>
      <w:r w:rsidRPr="00722E38">
        <w:rPr>
          <w:sz w:val="28"/>
          <w:szCs w:val="28"/>
        </w:rPr>
        <w:t xml:space="preserve"> Blepharitis</w:t>
      </w:r>
    </w:p>
    <w:p w14:paraId="27D0850D" w14:textId="77777777" w:rsidR="00DD1EBA" w:rsidRPr="00722E38" w:rsidRDefault="00000000" w:rsidP="007C75AE">
      <w:pPr>
        <w:numPr>
          <w:ilvl w:val="0"/>
          <w:numId w:val="8"/>
        </w:numPr>
        <w:spacing w:after="153" w:line="360" w:lineRule="auto"/>
        <w:ind w:right="461"/>
        <w:rPr>
          <w:sz w:val="28"/>
          <w:szCs w:val="28"/>
        </w:rPr>
      </w:pPr>
      <w:r w:rsidRPr="007C75AE">
        <w:rPr>
          <w:i/>
          <w:iCs/>
          <w:sz w:val="28"/>
          <w:szCs w:val="28"/>
        </w:rPr>
        <w:t>Oral/dental infections:</w:t>
      </w:r>
      <w:r w:rsidRPr="00722E38">
        <w:rPr>
          <w:sz w:val="28"/>
          <w:szCs w:val="28"/>
        </w:rPr>
        <w:t xml:space="preserve"> Gingivitis, Vincent's angina</w:t>
      </w:r>
    </w:p>
    <w:p w14:paraId="11B6CEDC" w14:textId="0B1CE019" w:rsidR="00DD1EBA" w:rsidRPr="007C75AE" w:rsidRDefault="00000000" w:rsidP="007C75AE">
      <w:pPr>
        <w:numPr>
          <w:ilvl w:val="0"/>
          <w:numId w:val="8"/>
        </w:numPr>
        <w:spacing w:after="12" w:line="360" w:lineRule="auto"/>
        <w:ind w:right="461"/>
        <w:rPr>
          <w:sz w:val="28"/>
          <w:szCs w:val="28"/>
        </w:rPr>
      </w:pPr>
      <w:r w:rsidRPr="007C75AE">
        <w:rPr>
          <w:i/>
          <w:iCs/>
          <w:sz w:val="28"/>
          <w:szCs w:val="28"/>
        </w:rPr>
        <w:t>Skin</w:t>
      </w:r>
      <w:r w:rsidRPr="007C75AE">
        <w:rPr>
          <w:i/>
          <w:iCs/>
          <w:sz w:val="28"/>
          <w:szCs w:val="28"/>
        </w:rPr>
        <w:tab/>
        <w:t>and</w:t>
      </w:r>
      <w:r w:rsidRPr="007C75AE">
        <w:rPr>
          <w:i/>
          <w:iCs/>
          <w:sz w:val="28"/>
          <w:szCs w:val="28"/>
        </w:rPr>
        <w:tab/>
        <w:t>soft</w:t>
      </w:r>
      <w:r w:rsidRPr="007C75AE">
        <w:rPr>
          <w:i/>
          <w:iCs/>
          <w:sz w:val="28"/>
          <w:szCs w:val="28"/>
        </w:rPr>
        <w:tab/>
        <w:t>tissue</w:t>
      </w:r>
      <w:r w:rsidRPr="007C75AE">
        <w:rPr>
          <w:i/>
          <w:iCs/>
          <w:sz w:val="28"/>
          <w:szCs w:val="28"/>
        </w:rPr>
        <w:tab/>
        <w:t>infections:</w:t>
      </w:r>
      <w:r w:rsidRPr="00722E38">
        <w:rPr>
          <w:sz w:val="28"/>
          <w:szCs w:val="28"/>
        </w:rPr>
        <w:tab/>
        <w:t>Boils</w:t>
      </w:r>
      <w:r w:rsidRPr="00722E38">
        <w:rPr>
          <w:sz w:val="28"/>
          <w:szCs w:val="28"/>
        </w:rPr>
        <w:tab/>
        <w:t>and</w:t>
      </w:r>
      <w:r w:rsidR="007C75AE">
        <w:rPr>
          <w:sz w:val="28"/>
          <w:szCs w:val="28"/>
        </w:rPr>
        <w:t xml:space="preserve"> </w:t>
      </w:r>
      <w:r w:rsidRPr="007C75AE">
        <w:rPr>
          <w:sz w:val="28"/>
          <w:szCs w:val="28"/>
        </w:rPr>
        <w:t>carbuncles,</w:t>
      </w:r>
      <w:r w:rsidR="007C75AE">
        <w:rPr>
          <w:sz w:val="28"/>
          <w:szCs w:val="28"/>
        </w:rPr>
        <w:t xml:space="preserve"> </w:t>
      </w:r>
      <w:r w:rsidRPr="007C75AE">
        <w:rPr>
          <w:sz w:val="28"/>
          <w:szCs w:val="28"/>
        </w:rPr>
        <w:t>paronychia,</w:t>
      </w:r>
      <w:r w:rsidR="007C75AE">
        <w:rPr>
          <w:sz w:val="28"/>
          <w:szCs w:val="28"/>
        </w:rPr>
        <w:t xml:space="preserve"> </w:t>
      </w:r>
      <w:r w:rsidRPr="007C75AE">
        <w:rPr>
          <w:sz w:val="28"/>
          <w:szCs w:val="28"/>
        </w:rPr>
        <w:t>bscesses, pustular acne, impetigo, cellulitis, erysipelas</w:t>
      </w:r>
    </w:p>
    <w:p w14:paraId="2D2A7CD4" w14:textId="77777777" w:rsidR="00DD1EBA" w:rsidRPr="00722E38" w:rsidRDefault="00000000" w:rsidP="007C75AE">
      <w:pPr>
        <w:numPr>
          <w:ilvl w:val="0"/>
          <w:numId w:val="8"/>
        </w:numPr>
        <w:spacing w:after="153" w:line="360" w:lineRule="auto"/>
        <w:ind w:right="461"/>
        <w:rPr>
          <w:sz w:val="28"/>
          <w:szCs w:val="28"/>
        </w:rPr>
      </w:pPr>
      <w:r w:rsidRPr="007C75AE">
        <w:rPr>
          <w:i/>
          <w:iCs/>
          <w:sz w:val="28"/>
          <w:szCs w:val="28"/>
        </w:rPr>
        <w:t>Gastro-intestinal infections:</w:t>
      </w:r>
      <w:r w:rsidRPr="00722E38">
        <w:rPr>
          <w:sz w:val="28"/>
          <w:szCs w:val="28"/>
        </w:rPr>
        <w:t xml:space="preserve"> cholecystitis, staphylococcal enterocolitis</w:t>
      </w:r>
    </w:p>
    <w:p w14:paraId="52039F9D" w14:textId="77777777" w:rsidR="00DD1EBA" w:rsidRPr="00722E38" w:rsidRDefault="00000000" w:rsidP="007C75AE">
      <w:pPr>
        <w:numPr>
          <w:ilvl w:val="0"/>
          <w:numId w:val="8"/>
        </w:numPr>
        <w:spacing w:after="153" w:line="360" w:lineRule="auto"/>
        <w:ind w:right="461"/>
        <w:rPr>
          <w:sz w:val="28"/>
          <w:szCs w:val="28"/>
        </w:rPr>
      </w:pPr>
      <w:r w:rsidRPr="007C75AE">
        <w:rPr>
          <w:i/>
          <w:iCs/>
          <w:sz w:val="28"/>
          <w:szCs w:val="28"/>
        </w:rPr>
        <w:t>Prophylaxis:</w:t>
      </w:r>
      <w:r w:rsidRPr="00722E38">
        <w:rPr>
          <w:sz w:val="28"/>
          <w:szCs w:val="28"/>
        </w:rPr>
        <w:t xml:space="preserve"> pre- and post- operative trauma, burns, rheumatic fever</w:t>
      </w:r>
    </w:p>
    <w:p w14:paraId="1653E289" w14:textId="77777777" w:rsidR="007C75AE" w:rsidRDefault="00000000" w:rsidP="007C75AE">
      <w:pPr>
        <w:numPr>
          <w:ilvl w:val="0"/>
          <w:numId w:val="8"/>
        </w:numPr>
        <w:spacing w:after="512" w:line="360" w:lineRule="auto"/>
        <w:ind w:right="461"/>
        <w:rPr>
          <w:sz w:val="28"/>
          <w:szCs w:val="28"/>
        </w:rPr>
      </w:pPr>
      <w:r w:rsidRPr="007C75AE">
        <w:rPr>
          <w:i/>
          <w:iCs/>
          <w:sz w:val="28"/>
          <w:szCs w:val="28"/>
        </w:rPr>
        <w:t>Other infections:</w:t>
      </w:r>
      <w:r w:rsidRPr="00722E38">
        <w:rPr>
          <w:sz w:val="28"/>
          <w:szCs w:val="28"/>
        </w:rPr>
        <w:t xml:space="preserve"> osteomyelitis, urethritis, gonorrhoea, syphilis, lymphogranuloma venereum, diphtheria, prostatitis, scarlet fever</w:t>
      </w:r>
    </w:p>
    <w:p w14:paraId="7584AB89" w14:textId="4E20558B" w:rsidR="00DD1EBA" w:rsidRPr="007C75AE" w:rsidRDefault="00000000" w:rsidP="00493D17">
      <w:pPr>
        <w:ind w:left="1080" w:firstLine="0"/>
        <w:jc w:val="thaiDistribute"/>
        <w:rPr>
          <w:sz w:val="28"/>
          <w:szCs w:val="28"/>
        </w:rPr>
      </w:pPr>
      <w:r w:rsidRPr="007C75AE">
        <w:rPr>
          <w:sz w:val="28"/>
          <w:szCs w:val="28"/>
        </w:rPr>
        <w:lastRenderedPageBreak/>
        <w:t>Note: &lt;GENERIC NAME&gt; has also proved to be of value in</w:t>
      </w:r>
      <w:r w:rsidR="007C75AE">
        <w:rPr>
          <w:sz w:val="28"/>
          <w:szCs w:val="28"/>
        </w:rPr>
        <w:t xml:space="preserve"> </w:t>
      </w:r>
      <w:r w:rsidRPr="007C75AE">
        <w:rPr>
          <w:sz w:val="28"/>
          <w:szCs w:val="28"/>
        </w:rPr>
        <w:t>endocarditis and septicaemia, but in these conditions initial administration of &lt;GENERIC NAME&gt; lactobionate by the intravenous route is advisable.</w:t>
      </w:r>
    </w:p>
    <w:p w14:paraId="4FD0AA28" w14:textId="77777777" w:rsidR="007C75AE" w:rsidRPr="007C75AE" w:rsidRDefault="00000000" w:rsidP="007C75AE">
      <w:pPr>
        <w:pStyle w:val="ListParagraph"/>
        <w:numPr>
          <w:ilvl w:val="1"/>
          <w:numId w:val="5"/>
        </w:numPr>
        <w:tabs>
          <w:tab w:val="center" w:pos="2820"/>
        </w:tabs>
        <w:spacing w:after="240" w:line="271" w:lineRule="auto"/>
        <w:ind w:left="788" w:hanging="431"/>
        <w:contextualSpacing w:val="0"/>
        <w:jc w:val="left"/>
        <w:rPr>
          <w:sz w:val="28"/>
          <w:szCs w:val="28"/>
        </w:rPr>
      </w:pPr>
      <w:r w:rsidRPr="007C75AE">
        <w:rPr>
          <w:b/>
          <w:sz w:val="28"/>
          <w:szCs w:val="28"/>
        </w:rPr>
        <w:t>Posology and method of administration</w:t>
      </w:r>
    </w:p>
    <w:p w14:paraId="08646F4C" w14:textId="77777777" w:rsidR="007C75AE" w:rsidRDefault="00000000" w:rsidP="007C75AE">
      <w:pPr>
        <w:pStyle w:val="ListParagraph"/>
        <w:tabs>
          <w:tab w:val="center" w:pos="2820"/>
        </w:tabs>
        <w:spacing w:after="381" w:line="360" w:lineRule="auto"/>
        <w:ind w:left="792" w:firstLine="0"/>
        <w:jc w:val="left"/>
        <w:rPr>
          <w:i/>
          <w:iCs/>
          <w:sz w:val="28"/>
          <w:szCs w:val="28"/>
        </w:rPr>
      </w:pPr>
      <w:r w:rsidRPr="007C75AE">
        <w:rPr>
          <w:i/>
          <w:iCs/>
          <w:sz w:val="28"/>
          <w:szCs w:val="28"/>
        </w:rPr>
        <w:t>Posology</w:t>
      </w:r>
    </w:p>
    <w:p w14:paraId="3760C777" w14:textId="77777777" w:rsidR="007C75AE" w:rsidRDefault="00000000" w:rsidP="007C75AE">
      <w:pPr>
        <w:pStyle w:val="ListParagraph"/>
        <w:tabs>
          <w:tab w:val="center" w:pos="2820"/>
        </w:tabs>
        <w:spacing w:after="381" w:line="360" w:lineRule="auto"/>
        <w:ind w:left="792" w:firstLine="0"/>
        <w:jc w:val="left"/>
        <w:rPr>
          <w:rFonts w:cs="Times New Roman"/>
          <w:sz w:val="28"/>
          <w:szCs w:val="28"/>
        </w:rPr>
      </w:pPr>
      <w:r w:rsidRPr="00722E38">
        <w:rPr>
          <w:rFonts w:cs="Times New Roman"/>
          <w:sz w:val="28"/>
          <w:szCs w:val="28"/>
          <w:u w:val="single" w:color="000000"/>
        </w:rPr>
        <w:t>Adults and children over 8 years</w:t>
      </w:r>
      <w:r w:rsidRPr="00722E38">
        <w:rPr>
          <w:rFonts w:cs="Times New Roman"/>
          <w:sz w:val="28"/>
          <w:szCs w:val="28"/>
        </w:rPr>
        <w:t xml:space="preserve">: </w:t>
      </w:r>
    </w:p>
    <w:p w14:paraId="1DE0CA98" w14:textId="77777777" w:rsidR="007C75AE" w:rsidRDefault="00000000" w:rsidP="007C75AE">
      <w:pPr>
        <w:pStyle w:val="ListParagraph"/>
        <w:tabs>
          <w:tab w:val="center" w:pos="2820"/>
        </w:tabs>
        <w:spacing w:after="381" w:line="360" w:lineRule="auto"/>
        <w:ind w:left="792" w:firstLine="0"/>
        <w:jc w:val="left"/>
        <w:rPr>
          <w:sz w:val="28"/>
          <w:szCs w:val="32"/>
        </w:rPr>
      </w:pPr>
      <w:r w:rsidRPr="00722E38">
        <w:rPr>
          <w:rFonts w:cs="Times New Roman"/>
          <w:sz w:val="28"/>
          <w:szCs w:val="28"/>
        </w:rPr>
        <w:t xml:space="preserve">For mild to moderate infections 2g </w:t>
      </w:r>
      <w:r w:rsidRPr="007C75AE">
        <w:rPr>
          <w:sz w:val="28"/>
          <w:szCs w:val="32"/>
        </w:rPr>
        <w:t>daily in divided doses Up to 4g daily in severe infections.</w:t>
      </w:r>
    </w:p>
    <w:p w14:paraId="75E30746" w14:textId="5DF5113F" w:rsidR="00DD1EBA" w:rsidRPr="007C75AE" w:rsidRDefault="00000000" w:rsidP="007C75AE">
      <w:pPr>
        <w:pStyle w:val="ListParagraph"/>
        <w:tabs>
          <w:tab w:val="center" w:pos="2820"/>
        </w:tabs>
        <w:spacing w:after="240" w:line="360" w:lineRule="auto"/>
        <w:ind w:left="794" w:firstLine="0"/>
        <w:contextualSpacing w:val="0"/>
        <w:jc w:val="left"/>
        <w:rPr>
          <w:i/>
          <w:iCs/>
          <w:sz w:val="28"/>
          <w:szCs w:val="28"/>
        </w:rPr>
      </w:pPr>
      <w:r w:rsidRPr="007C75AE">
        <w:rPr>
          <w:sz w:val="28"/>
          <w:szCs w:val="32"/>
          <w:u w:val="single"/>
        </w:rPr>
        <w:t>Paediatric population</w:t>
      </w:r>
      <w:r w:rsidRPr="007C75AE">
        <w:rPr>
          <w:sz w:val="28"/>
          <w:szCs w:val="32"/>
        </w:rPr>
        <w:t>: Age, weight and severity of the infection</w:t>
      </w:r>
      <w:r w:rsidR="007C75AE">
        <w:rPr>
          <w:sz w:val="28"/>
          <w:szCs w:val="32"/>
        </w:rPr>
        <w:t xml:space="preserve"> </w:t>
      </w:r>
      <w:r w:rsidRPr="007C75AE">
        <w:rPr>
          <w:sz w:val="28"/>
          <w:szCs w:val="32"/>
        </w:rPr>
        <w:t>are important factors in determining the correct dosage.</w:t>
      </w:r>
    </w:p>
    <w:p w14:paraId="219B0AA8" w14:textId="77777777" w:rsidR="00DD1EBA" w:rsidRPr="007C75AE" w:rsidRDefault="00000000" w:rsidP="007C75AE">
      <w:pPr>
        <w:spacing w:line="360" w:lineRule="auto"/>
        <w:ind w:left="720" w:firstLine="0"/>
        <w:rPr>
          <w:sz w:val="28"/>
          <w:szCs w:val="32"/>
        </w:rPr>
      </w:pPr>
      <w:r w:rsidRPr="007C75AE">
        <w:rPr>
          <w:sz w:val="28"/>
          <w:szCs w:val="32"/>
        </w:rPr>
        <w:t>Note: For younger children, infants and babies, Erythroped, &lt;GENERIC NAME&gt; ethylsuccinate suspensions, are normally recommended. The recommended dose for children age 2-8 years, for mild to moderate infections, is 1 gram daily in divided doses. The recommended dose for infants and babies, for mild to moderate infections, is 500 mg daily in divided doses. For severe infections doses may be doubled.</w:t>
      </w:r>
    </w:p>
    <w:p w14:paraId="53F49D08" w14:textId="77777777" w:rsidR="00DD1EBA" w:rsidRPr="007C75AE" w:rsidRDefault="00000000" w:rsidP="007C75AE">
      <w:pPr>
        <w:ind w:left="0" w:firstLine="720"/>
        <w:rPr>
          <w:sz w:val="28"/>
          <w:szCs w:val="32"/>
        </w:rPr>
      </w:pPr>
      <w:r w:rsidRPr="007C75AE">
        <w:rPr>
          <w:sz w:val="28"/>
          <w:szCs w:val="32"/>
          <w:u w:val="single"/>
        </w:rPr>
        <w:t>Elderly:</w:t>
      </w:r>
      <w:r w:rsidRPr="007C75AE">
        <w:rPr>
          <w:sz w:val="28"/>
          <w:szCs w:val="32"/>
        </w:rPr>
        <w:t xml:space="preserve"> No special dosage recommendations.</w:t>
      </w:r>
    </w:p>
    <w:p w14:paraId="3842C7F9" w14:textId="77777777" w:rsidR="007C75AE" w:rsidRDefault="00000000" w:rsidP="007C75AE">
      <w:pPr>
        <w:ind w:left="0" w:firstLine="720"/>
        <w:rPr>
          <w:i/>
          <w:iCs/>
          <w:sz w:val="28"/>
          <w:szCs w:val="32"/>
        </w:rPr>
      </w:pPr>
      <w:r w:rsidRPr="007C75AE">
        <w:rPr>
          <w:i/>
          <w:iCs/>
          <w:sz w:val="28"/>
          <w:szCs w:val="32"/>
        </w:rPr>
        <w:t>Method of administration:</w:t>
      </w:r>
    </w:p>
    <w:p w14:paraId="2B856C3E" w14:textId="376BA918" w:rsidR="00DD1EBA" w:rsidRPr="007C75AE" w:rsidRDefault="00000000" w:rsidP="007C75AE">
      <w:pPr>
        <w:ind w:left="0" w:firstLine="720"/>
        <w:rPr>
          <w:i/>
          <w:iCs/>
          <w:sz w:val="28"/>
          <w:szCs w:val="32"/>
        </w:rPr>
      </w:pPr>
      <w:r w:rsidRPr="007C75AE">
        <w:rPr>
          <w:sz w:val="28"/>
          <w:szCs w:val="32"/>
        </w:rPr>
        <w:t>For Oral administration</w:t>
      </w:r>
    </w:p>
    <w:p w14:paraId="1B29750F" w14:textId="77777777" w:rsidR="007C75AE" w:rsidRDefault="007C75AE">
      <w:pPr>
        <w:spacing w:after="160" w:line="278" w:lineRule="auto"/>
        <w:ind w:left="0" w:firstLine="0"/>
        <w:jc w:val="left"/>
        <w:rPr>
          <w:b/>
          <w:sz w:val="28"/>
          <w:szCs w:val="28"/>
        </w:rPr>
      </w:pPr>
      <w:r>
        <w:rPr>
          <w:sz w:val="28"/>
          <w:szCs w:val="28"/>
        </w:rPr>
        <w:br w:type="page"/>
      </w:r>
    </w:p>
    <w:p w14:paraId="38963FEB" w14:textId="79BB228D" w:rsidR="00DD1EBA" w:rsidRPr="00722E38" w:rsidRDefault="00000000" w:rsidP="007C75AE">
      <w:pPr>
        <w:pStyle w:val="Heading3"/>
        <w:numPr>
          <w:ilvl w:val="1"/>
          <w:numId w:val="5"/>
        </w:numPr>
        <w:tabs>
          <w:tab w:val="center" w:pos="1725"/>
        </w:tabs>
        <w:spacing w:after="240" w:line="271" w:lineRule="auto"/>
        <w:ind w:left="788" w:hanging="431"/>
        <w:rPr>
          <w:sz w:val="28"/>
          <w:szCs w:val="28"/>
        </w:rPr>
      </w:pPr>
      <w:r w:rsidRPr="00722E38">
        <w:rPr>
          <w:sz w:val="28"/>
          <w:szCs w:val="28"/>
        </w:rPr>
        <w:lastRenderedPageBreak/>
        <w:t>Contraindications</w:t>
      </w:r>
    </w:p>
    <w:p w14:paraId="7A54C43C" w14:textId="135B0C99" w:rsidR="00DD1EBA" w:rsidRPr="007C75AE" w:rsidRDefault="00000000" w:rsidP="007C75AE">
      <w:pPr>
        <w:pStyle w:val="ListParagraph"/>
        <w:numPr>
          <w:ilvl w:val="0"/>
          <w:numId w:val="10"/>
        </w:numPr>
        <w:spacing w:line="360" w:lineRule="auto"/>
        <w:rPr>
          <w:sz w:val="28"/>
          <w:szCs w:val="28"/>
        </w:rPr>
      </w:pPr>
      <w:r w:rsidRPr="007C75AE">
        <w:rPr>
          <w:sz w:val="28"/>
          <w:szCs w:val="28"/>
        </w:rPr>
        <w:t>Hypersensitivity to the active substance(s) or any of the excipients</w:t>
      </w:r>
      <w:r w:rsidR="007C75AE">
        <w:rPr>
          <w:sz w:val="28"/>
          <w:szCs w:val="28"/>
        </w:rPr>
        <w:t xml:space="preserve"> </w:t>
      </w:r>
      <w:r w:rsidRPr="007C75AE">
        <w:rPr>
          <w:sz w:val="28"/>
          <w:szCs w:val="28"/>
        </w:rPr>
        <w:t>listed in section 6.1</w:t>
      </w:r>
    </w:p>
    <w:p w14:paraId="0FF21EED" w14:textId="026E9887" w:rsidR="00DD1EBA" w:rsidRPr="007C75AE" w:rsidRDefault="007C75AE" w:rsidP="007C75AE">
      <w:pPr>
        <w:pStyle w:val="ListParagraph"/>
        <w:numPr>
          <w:ilvl w:val="0"/>
          <w:numId w:val="10"/>
        </w:numPr>
        <w:spacing w:line="360" w:lineRule="auto"/>
        <w:rPr>
          <w:sz w:val="28"/>
          <w:szCs w:val="28"/>
        </w:rPr>
      </w:pPr>
      <w:r>
        <w:rPr>
          <w:sz w:val="28"/>
          <w:szCs w:val="28"/>
        </w:rPr>
        <w:t>P</w:t>
      </w:r>
      <w:r w:rsidR="00000000" w:rsidRPr="007C75AE">
        <w:rPr>
          <w:sz w:val="28"/>
          <w:szCs w:val="28"/>
        </w:rPr>
        <w:t>atients taking</w:t>
      </w:r>
      <w:r w:rsidRPr="007C75AE">
        <w:rPr>
          <w:sz w:val="28"/>
          <w:szCs w:val="28"/>
        </w:rPr>
        <w:t xml:space="preserve"> </w:t>
      </w:r>
      <w:r w:rsidRPr="007C75AE">
        <w:rPr>
          <w:sz w:val="28"/>
          <w:szCs w:val="28"/>
        </w:rPr>
        <w:t>simvastatin, tolterodine, mizolastine, amisulpride, astemizole, terfenadine, domperidone, cisapride or pimozide</w:t>
      </w:r>
      <w:r>
        <w:rPr>
          <w:sz w:val="28"/>
          <w:szCs w:val="28"/>
        </w:rPr>
        <w:t>.</w:t>
      </w:r>
    </w:p>
    <w:p w14:paraId="4D4C6856" w14:textId="5C4AA00C" w:rsidR="00DD1EBA" w:rsidRPr="007C75AE" w:rsidRDefault="00000000" w:rsidP="007C75AE">
      <w:pPr>
        <w:pStyle w:val="ListParagraph"/>
        <w:numPr>
          <w:ilvl w:val="0"/>
          <w:numId w:val="10"/>
        </w:numPr>
        <w:spacing w:line="360" w:lineRule="auto"/>
        <w:rPr>
          <w:sz w:val="28"/>
          <w:szCs w:val="28"/>
        </w:rPr>
      </w:pPr>
      <w:r w:rsidRPr="007C75AE">
        <w:rPr>
          <w:sz w:val="28"/>
          <w:szCs w:val="28"/>
        </w:rPr>
        <w:t>&lt;GENERIC</w:t>
      </w:r>
      <w:r w:rsidRPr="007C75AE">
        <w:rPr>
          <w:sz w:val="28"/>
          <w:szCs w:val="28"/>
        </w:rPr>
        <w:tab/>
        <w:t>NAME&gt;</w:t>
      </w:r>
      <w:r w:rsidRPr="007C75AE">
        <w:rPr>
          <w:sz w:val="28"/>
          <w:szCs w:val="28"/>
        </w:rPr>
        <w:tab/>
        <w:t>is</w:t>
      </w:r>
      <w:r w:rsidRPr="007C75AE">
        <w:rPr>
          <w:sz w:val="28"/>
          <w:szCs w:val="28"/>
        </w:rPr>
        <w:tab/>
        <w:t>contraindicated</w:t>
      </w:r>
      <w:r w:rsidRPr="007C75AE">
        <w:rPr>
          <w:sz w:val="28"/>
          <w:szCs w:val="28"/>
        </w:rPr>
        <w:tab/>
        <w:t>with</w:t>
      </w:r>
      <w:r w:rsidR="007C75AE">
        <w:rPr>
          <w:sz w:val="28"/>
          <w:szCs w:val="28"/>
        </w:rPr>
        <w:t xml:space="preserve"> </w:t>
      </w:r>
      <w:r w:rsidRPr="007C75AE">
        <w:rPr>
          <w:sz w:val="28"/>
          <w:szCs w:val="28"/>
        </w:rPr>
        <w:t>ergotamine</w:t>
      </w:r>
      <w:r w:rsidR="007C75AE">
        <w:rPr>
          <w:sz w:val="28"/>
          <w:szCs w:val="28"/>
        </w:rPr>
        <w:t xml:space="preserve"> </w:t>
      </w:r>
      <w:r w:rsidRPr="007C75AE">
        <w:rPr>
          <w:sz w:val="28"/>
          <w:szCs w:val="28"/>
        </w:rPr>
        <w:t>and</w:t>
      </w:r>
      <w:r w:rsidR="007C75AE">
        <w:rPr>
          <w:sz w:val="28"/>
          <w:szCs w:val="28"/>
        </w:rPr>
        <w:t xml:space="preserve"> </w:t>
      </w:r>
      <w:r w:rsidRPr="007C75AE">
        <w:rPr>
          <w:sz w:val="28"/>
          <w:szCs w:val="28"/>
        </w:rPr>
        <w:t>dihydroergotamine</w:t>
      </w:r>
    </w:p>
    <w:p w14:paraId="59230323" w14:textId="17B7E22E" w:rsidR="00DD1EBA" w:rsidRPr="007C75AE" w:rsidRDefault="00000000" w:rsidP="007C75AE">
      <w:pPr>
        <w:pStyle w:val="ListParagraph"/>
        <w:numPr>
          <w:ilvl w:val="0"/>
          <w:numId w:val="10"/>
        </w:numPr>
        <w:spacing w:line="360" w:lineRule="auto"/>
        <w:rPr>
          <w:sz w:val="28"/>
          <w:szCs w:val="28"/>
        </w:rPr>
      </w:pPr>
      <w:r w:rsidRPr="007C75AE">
        <w:rPr>
          <w:sz w:val="28"/>
          <w:szCs w:val="28"/>
        </w:rPr>
        <w:t>&lt;GENERIC NAME&gt; should not be given to patients with a history of QT prolongation (congenital or documented acquired QT prolongation) or ventricular cardiac arrhythmia, including torsades de pointes</w:t>
      </w:r>
      <w:r w:rsidR="007C75AE">
        <w:rPr>
          <w:sz w:val="28"/>
          <w:szCs w:val="28"/>
        </w:rPr>
        <w:t xml:space="preserve"> </w:t>
      </w:r>
      <w:r w:rsidRPr="007C75AE">
        <w:rPr>
          <w:sz w:val="28"/>
          <w:szCs w:val="28"/>
        </w:rPr>
        <w:t>(see section 4.4</w:t>
      </w:r>
      <w:r w:rsidR="007C75AE" w:rsidRPr="007C75AE">
        <w:rPr>
          <w:sz w:val="28"/>
          <w:szCs w:val="28"/>
        </w:rPr>
        <w:t xml:space="preserve"> </w:t>
      </w:r>
      <w:r w:rsidRPr="007C75AE">
        <w:rPr>
          <w:sz w:val="28"/>
          <w:szCs w:val="28"/>
        </w:rPr>
        <w:t>and 4.5)</w:t>
      </w:r>
    </w:p>
    <w:p w14:paraId="2F3C4C7A" w14:textId="77777777" w:rsidR="00DD1EBA" w:rsidRPr="007C75AE" w:rsidRDefault="00000000" w:rsidP="007C75AE">
      <w:pPr>
        <w:pStyle w:val="ListParagraph"/>
        <w:numPr>
          <w:ilvl w:val="0"/>
          <w:numId w:val="10"/>
        </w:numPr>
        <w:spacing w:after="240" w:line="360" w:lineRule="auto"/>
        <w:ind w:left="1077" w:hanging="357"/>
        <w:contextualSpacing w:val="0"/>
      </w:pPr>
      <w:r w:rsidRPr="007C75AE">
        <w:rPr>
          <w:sz w:val="28"/>
          <w:szCs w:val="28"/>
        </w:rPr>
        <w:t>&lt;GENERIC NAME&gt; should not be given to patients with electrolyte disturbances (hypokalaemia, hypomagnesaemia due to the risk of prolongation of QT interval</w:t>
      </w:r>
      <w:r w:rsidRPr="007C75AE">
        <w:t>)</w:t>
      </w:r>
    </w:p>
    <w:p w14:paraId="27D7B873" w14:textId="77777777" w:rsidR="007C75AE" w:rsidRDefault="00000000" w:rsidP="007C75AE">
      <w:pPr>
        <w:pStyle w:val="Heading3"/>
        <w:numPr>
          <w:ilvl w:val="1"/>
          <w:numId w:val="5"/>
        </w:numPr>
        <w:tabs>
          <w:tab w:val="center" w:pos="2910"/>
        </w:tabs>
        <w:spacing w:after="240" w:line="271" w:lineRule="auto"/>
        <w:ind w:left="788" w:hanging="431"/>
        <w:rPr>
          <w:sz w:val="28"/>
          <w:szCs w:val="28"/>
        </w:rPr>
      </w:pPr>
      <w:r w:rsidRPr="00722E38">
        <w:rPr>
          <w:sz w:val="28"/>
          <w:szCs w:val="28"/>
        </w:rPr>
        <w:t>Special warnings and precautions for use</w:t>
      </w:r>
    </w:p>
    <w:p w14:paraId="624F6329" w14:textId="14915E34" w:rsidR="00DD1EBA" w:rsidRPr="007C75AE" w:rsidRDefault="00000000" w:rsidP="007C75AE">
      <w:pPr>
        <w:pStyle w:val="Heading3"/>
        <w:tabs>
          <w:tab w:val="center" w:pos="2910"/>
        </w:tabs>
        <w:spacing w:line="360" w:lineRule="auto"/>
        <w:ind w:left="792" w:firstLine="0"/>
        <w:rPr>
          <w:b w:val="0"/>
          <w:bCs/>
          <w:sz w:val="28"/>
          <w:szCs w:val="28"/>
          <w:u w:val="single"/>
        </w:rPr>
      </w:pPr>
      <w:r w:rsidRPr="007C75AE">
        <w:rPr>
          <w:b w:val="0"/>
          <w:bCs/>
          <w:sz w:val="28"/>
          <w:szCs w:val="28"/>
          <w:u w:val="single"/>
        </w:rPr>
        <w:t>Cardiovascular Events</w:t>
      </w:r>
    </w:p>
    <w:p w14:paraId="1A9C07A5" w14:textId="77777777" w:rsidR="00DD1EBA" w:rsidRPr="00722E38" w:rsidRDefault="00000000" w:rsidP="007C75AE">
      <w:pPr>
        <w:spacing w:line="360" w:lineRule="auto"/>
        <w:ind w:left="795" w:right="461" w:firstLine="0"/>
        <w:rPr>
          <w:sz w:val="28"/>
          <w:szCs w:val="28"/>
        </w:rPr>
      </w:pPr>
      <w:r w:rsidRPr="00722E38">
        <w:rPr>
          <w:sz w:val="28"/>
          <w:szCs w:val="28"/>
        </w:rPr>
        <w:t xml:space="preserve">Prolongation of the QT interval, reflecting effects on cardiac repolarisation imparting a risk of developing cardiac arrhythmia and torsades de pointes, have been seen in patients treated with macrolides including </w:t>
      </w:r>
      <w:r w:rsidRPr="00722E38">
        <w:rPr>
          <w:color w:val="FF0000"/>
          <w:sz w:val="28"/>
          <w:szCs w:val="28"/>
        </w:rPr>
        <w:t xml:space="preserve">&lt;GENERIC NAME&gt; </w:t>
      </w:r>
      <w:r w:rsidRPr="00722E38">
        <w:rPr>
          <w:sz w:val="28"/>
          <w:szCs w:val="28"/>
        </w:rPr>
        <w:t>(see sections 4.3, 4.5 and 4.8). Fatalities have been reported.</w:t>
      </w:r>
    </w:p>
    <w:p w14:paraId="6EDE000F" w14:textId="77777777" w:rsidR="00DD1EBA" w:rsidRPr="00722E38" w:rsidRDefault="00000000" w:rsidP="007C75AE">
      <w:pPr>
        <w:spacing w:after="416" w:line="360" w:lineRule="auto"/>
        <w:ind w:left="795" w:right="461" w:firstLine="0"/>
        <w:rPr>
          <w:sz w:val="28"/>
          <w:szCs w:val="28"/>
        </w:rPr>
      </w:pPr>
      <w:r w:rsidRPr="00722E38">
        <w:rPr>
          <w:sz w:val="28"/>
          <w:szCs w:val="28"/>
        </w:rPr>
        <w:t xml:space="preserve">Carefully consider the balance of benefits and risks before prescribing </w:t>
      </w:r>
      <w:r w:rsidRPr="00722E38">
        <w:rPr>
          <w:color w:val="FF0000"/>
          <w:sz w:val="28"/>
          <w:szCs w:val="28"/>
        </w:rPr>
        <w:t xml:space="preserve">&lt;GENERIC NAME&gt; </w:t>
      </w:r>
      <w:r w:rsidRPr="00722E38">
        <w:rPr>
          <w:sz w:val="28"/>
          <w:szCs w:val="28"/>
        </w:rPr>
        <w:t xml:space="preserve">for any patients taking hydroxychloroquine or chloroquine, because of the potential for an </w:t>
      </w:r>
      <w:r w:rsidRPr="00722E38">
        <w:rPr>
          <w:sz w:val="28"/>
          <w:szCs w:val="28"/>
        </w:rPr>
        <w:lastRenderedPageBreak/>
        <w:t>increased risk of cardiovascular events and cardiovascular mortality (see section 4.5).</w:t>
      </w:r>
    </w:p>
    <w:p w14:paraId="55B5255A" w14:textId="77777777" w:rsidR="00DD1EBA" w:rsidRPr="00722E38" w:rsidRDefault="00000000" w:rsidP="007C75AE">
      <w:pPr>
        <w:spacing w:line="360" w:lineRule="auto"/>
        <w:ind w:left="795" w:right="461" w:firstLine="0"/>
        <w:rPr>
          <w:sz w:val="28"/>
          <w:szCs w:val="28"/>
        </w:rPr>
      </w:pPr>
      <w:r w:rsidRPr="00722E38">
        <w:rPr>
          <w:color w:val="FF0000"/>
          <w:sz w:val="28"/>
          <w:szCs w:val="28"/>
        </w:rPr>
        <w:t xml:space="preserve">&lt;GENERIC NAME&gt; </w:t>
      </w:r>
      <w:r w:rsidRPr="00722E38">
        <w:rPr>
          <w:sz w:val="28"/>
          <w:szCs w:val="28"/>
        </w:rPr>
        <w:t xml:space="preserve">is excreted principally by the liver, so caution should be exercised in administering the antibiotic to patients with impaired hepatic function or concomitantly receiving potentially hepatotoxic agents. Hepatic dysfunction including increased liver enzymes and/or cholestatic hepatitis, with or without jaundice, has been infrequently reported with </w:t>
      </w:r>
      <w:r w:rsidRPr="00722E38">
        <w:rPr>
          <w:color w:val="FF0000"/>
          <w:sz w:val="28"/>
          <w:szCs w:val="28"/>
        </w:rPr>
        <w:t>&lt;GENERIC NAME&gt;</w:t>
      </w:r>
      <w:r w:rsidRPr="00722E38">
        <w:rPr>
          <w:sz w:val="28"/>
          <w:szCs w:val="28"/>
        </w:rPr>
        <w:t>.</w:t>
      </w:r>
    </w:p>
    <w:p w14:paraId="5DA39326" w14:textId="77777777" w:rsidR="007C75AE" w:rsidRDefault="00000000" w:rsidP="007C75AE">
      <w:pPr>
        <w:spacing w:line="360" w:lineRule="auto"/>
        <w:ind w:left="795" w:right="461" w:firstLine="0"/>
        <w:rPr>
          <w:sz w:val="28"/>
          <w:szCs w:val="28"/>
        </w:rPr>
      </w:pPr>
      <w:r w:rsidRPr="00722E38">
        <w:rPr>
          <w:sz w:val="28"/>
          <w:szCs w:val="28"/>
        </w:rPr>
        <w:t>Caution should be exercised in administering this antibiotic to patients with renal impairment and patients with a predisposition to QT interval prolongation. This product should not be used in patients with porphyria.</w:t>
      </w:r>
    </w:p>
    <w:p w14:paraId="7F2FA25E" w14:textId="1C54007E" w:rsidR="00DD1EBA" w:rsidRPr="00722E38" w:rsidRDefault="00000000" w:rsidP="007C75AE">
      <w:pPr>
        <w:ind w:left="795" w:right="461" w:firstLine="0"/>
        <w:rPr>
          <w:sz w:val="28"/>
          <w:szCs w:val="28"/>
        </w:rPr>
      </w:pPr>
      <w:r w:rsidRPr="00722E38">
        <w:rPr>
          <w:sz w:val="28"/>
          <w:szCs w:val="28"/>
          <w:u w:val="single" w:color="000000"/>
        </w:rPr>
        <w:t>Erythromycin should be used with caution in the following;</w:t>
      </w:r>
    </w:p>
    <w:p w14:paraId="6174FAB0" w14:textId="77777777" w:rsidR="00DD1EBA" w:rsidRPr="001F7B6D" w:rsidRDefault="00000000" w:rsidP="001F7B6D">
      <w:pPr>
        <w:spacing w:after="240" w:line="360" w:lineRule="auto"/>
        <w:ind w:left="794" w:right="459" w:firstLine="0"/>
        <w:jc w:val="thaiDistribute"/>
        <w:rPr>
          <w:sz w:val="28"/>
          <w:szCs w:val="28"/>
        </w:rPr>
      </w:pPr>
      <w:r w:rsidRPr="001F7B6D">
        <w:rPr>
          <w:sz w:val="28"/>
          <w:szCs w:val="28"/>
        </w:rPr>
        <w:t>Patients with coronary artery disease, severe cardiac insufficiency, conduction disturbances or clinically relevant bradycardia.</w:t>
      </w:r>
    </w:p>
    <w:p w14:paraId="3735AA52" w14:textId="72E52B36" w:rsidR="00DD1EBA" w:rsidRPr="001F7B6D" w:rsidRDefault="00000000" w:rsidP="001F7B6D">
      <w:pPr>
        <w:spacing w:after="240" w:line="360" w:lineRule="auto"/>
        <w:ind w:left="795" w:right="459" w:firstLine="75"/>
        <w:jc w:val="thaiDistribute"/>
        <w:rPr>
          <w:sz w:val="28"/>
          <w:szCs w:val="28"/>
        </w:rPr>
      </w:pPr>
      <w:r w:rsidRPr="001F7B6D">
        <w:rPr>
          <w:sz w:val="28"/>
          <w:szCs w:val="28"/>
        </w:rPr>
        <w:t>Patients concomitantly taking other medicinal products associated with QT prolongation (see section 4.3 and 4.5)</w:t>
      </w:r>
      <w:r w:rsidR="007C75AE" w:rsidRPr="001F7B6D">
        <w:rPr>
          <w:sz w:val="28"/>
          <w:szCs w:val="28"/>
        </w:rPr>
        <w:t xml:space="preserve"> </w:t>
      </w:r>
      <w:r w:rsidR="007C75AE" w:rsidRPr="001F7B6D">
        <w:rPr>
          <w:sz w:val="28"/>
          <w:szCs w:val="28"/>
        </w:rPr>
        <w:t>Epidemiological studies investigating the risk of adverse cardiovascular outcomes with macrolides have shown variable results. Some observational studies have identified a rare short term risk of arrhythmia, myocardial infarction and cardiovascular mortality associated with macrolides including</w:t>
      </w:r>
      <w:r w:rsidR="007C75AE" w:rsidRPr="001F7B6D">
        <w:rPr>
          <w:sz w:val="28"/>
          <w:szCs w:val="28"/>
        </w:rPr>
        <w:t xml:space="preserve"> </w:t>
      </w:r>
      <w:r w:rsidR="007C75AE" w:rsidRPr="001F7B6D">
        <w:rPr>
          <w:sz w:val="28"/>
          <w:szCs w:val="28"/>
        </w:rPr>
        <w:t xml:space="preserve">erythromycin. Consideration of these findings </w:t>
      </w:r>
      <w:r w:rsidR="007C75AE" w:rsidRPr="001F7B6D">
        <w:rPr>
          <w:sz w:val="28"/>
          <w:szCs w:val="28"/>
        </w:rPr>
        <w:lastRenderedPageBreak/>
        <w:t>should be balanced with treatment benefits when prescribing erythromycin</w:t>
      </w:r>
      <w:r w:rsidR="007C75AE" w:rsidRPr="001F7B6D">
        <w:rPr>
          <w:sz w:val="28"/>
          <w:szCs w:val="28"/>
        </w:rPr>
        <w:t>.</w:t>
      </w:r>
    </w:p>
    <w:p w14:paraId="20D3E33C" w14:textId="4C70F113" w:rsidR="00DD1EBA" w:rsidRPr="001F7B6D" w:rsidRDefault="00000000" w:rsidP="001F7B6D">
      <w:pPr>
        <w:spacing w:after="240" w:line="360" w:lineRule="auto"/>
        <w:ind w:left="794" w:right="459" w:firstLine="0"/>
        <w:rPr>
          <w:sz w:val="28"/>
          <w:szCs w:val="28"/>
        </w:rPr>
      </w:pPr>
      <w:r w:rsidRPr="001F7B6D">
        <w:rPr>
          <w:sz w:val="28"/>
          <w:szCs w:val="28"/>
        </w:rPr>
        <w:t>Care should be taken when administering this product to patients who are pregnant or breastfeeding.</w:t>
      </w:r>
      <w:r w:rsidR="007C75AE" w:rsidRPr="001F7B6D">
        <w:rPr>
          <w:sz w:val="28"/>
          <w:szCs w:val="28"/>
        </w:rPr>
        <w:t xml:space="preserve"> </w:t>
      </w:r>
      <w:r w:rsidR="007C75AE" w:rsidRPr="001F7B6D">
        <w:rPr>
          <w:sz w:val="28"/>
          <w:szCs w:val="28"/>
        </w:rPr>
        <w:t>There have been reports suggesting erythromycin does not reach the foetus in adequate concentrations to prevent congenital syphilis. Infants born to women treated during pregnancy with oral erythromycin for early syphilis should be treated with an appropriate penicillin regimen</w:t>
      </w:r>
      <w:r w:rsidR="001F7B6D" w:rsidRPr="001F7B6D">
        <w:rPr>
          <w:sz w:val="28"/>
          <w:szCs w:val="28"/>
        </w:rPr>
        <w:t xml:space="preserve">. </w:t>
      </w:r>
    </w:p>
    <w:p w14:paraId="3C0D78C9" w14:textId="77777777" w:rsidR="00DD1EBA" w:rsidRPr="001F7B6D" w:rsidRDefault="00000000" w:rsidP="001F7B6D">
      <w:pPr>
        <w:spacing w:after="240" w:line="360" w:lineRule="auto"/>
        <w:ind w:left="794" w:right="459" w:firstLine="0"/>
        <w:rPr>
          <w:sz w:val="28"/>
          <w:szCs w:val="28"/>
        </w:rPr>
      </w:pPr>
      <w:r w:rsidRPr="001F7B6D">
        <w:rPr>
          <w:sz w:val="28"/>
          <w:szCs w:val="28"/>
        </w:rPr>
        <w:t>There have been reports that erythromycin may aggravate the weakness of patients with myasthenia gravis.</w:t>
      </w:r>
    </w:p>
    <w:p w14:paraId="6BDF7954" w14:textId="77777777" w:rsidR="00DD1EBA" w:rsidRPr="001F7B6D" w:rsidRDefault="00000000" w:rsidP="001F7B6D">
      <w:pPr>
        <w:spacing w:after="240" w:line="360" w:lineRule="auto"/>
        <w:ind w:left="804" w:right="459"/>
        <w:rPr>
          <w:sz w:val="28"/>
          <w:szCs w:val="28"/>
        </w:rPr>
      </w:pPr>
      <w:r w:rsidRPr="001F7B6D">
        <w:rPr>
          <w:sz w:val="28"/>
          <w:szCs w:val="28"/>
        </w:rPr>
        <w:t>Erythromycin interferes with the fluorometric determination of urinary catecholamines.</w:t>
      </w:r>
    </w:p>
    <w:p w14:paraId="773E8233" w14:textId="3E57E90C" w:rsidR="00DD1EBA" w:rsidRPr="001F7B6D" w:rsidRDefault="00000000" w:rsidP="001F7B6D">
      <w:pPr>
        <w:spacing w:after="240" w:line="360" w:lineRule="auto"/>
        <w:ind w:left="804" w:right="459" w:firstLine="0"/>
        <w:rPr>
          <w:sz w:val="28"/>
          <w:szCs w:val="28"/>
        </w:rPr>
      </w:pPr>
      <w:r w:rsidRPr="001F7B6D">
        <w:rPr>
          <w:sz w:val="28"/>
          <w:szCs w:val="28"/>
        </w:rPr>
        <w:t>Pseudomembranous colitis has been reported with nearly with all antibacterial agents, including macrolides, and may range in severity from mild to lifethreatening (see section 4.8). Clostridium difficile-associated diarrhoea (CDAD) has been reported with use of nearly all antibacterial agents including erythromycin, and may range in severity from mild diarrhoea to fatal colitis. Treatment with antibacterial agents alters the normal flora of the colon, which may lead to overgrowth of C. difficile. CDAD must be considered in all patients who present with diarrhoea following antibiotic use. Careful medical history is necessary since CDAD has been reported to occur over two months after the administration of antibacterial agents.</w:t>
      </w:r>
      <w:r w:rsidR="001F7B6D" w:rsidRPr="001F7B6D">
        <w:t xml:space="preserve"> </w:t>
      </w:r>
      <w:r w:rsidR="001F7B6D" w:rsidRPr="001F7B6D">
        <w:rPr>
          <w:sz w:val="28"/>
          <w:szCs w:val="28"/>
        </w:rPr>
        <w:t xml:space="preserve">As with other broad spectrum antibiotics, </w:t>
      </w:r>
      <w:r w:rsidR="001F7B6D" w:rsidRPr="001F7B6D">
        <w:rPr>
          <w:sz w:val="28"/>
          <w:szCs w:val="28"/>
        </w:rPr>
        <w:lastRenderedPageBreak/>
        <w:t>pseudomembranous colitis has been reported rarely with erythromycin.</w:t>
      </w:r>
    </w:p>
    <w:p w14:paraId="4470904E" w14:textId="77777777" w:rsidR="00DD1EBA" w:rsidRPr="001F7B6D" w:rsidRDefault="00000000" w:rsidP="001F7B6D">
      <w:pPr>
        <w:pStyle w:val="ListParagraph"/>
        <w:spacing w:after="240" w:line="360" w:lineRule="auto"/>
        <w:ind w:left="788" w:right="459" w:firstLine="0"/>
        <w:contextualSpacing w:val="0"/>
        <w:rPr>
          <w:sz w:val="28"/>
          <w:szCs w:val="28"/>
        </w:rPr>
      </w:pPr>
      <w:r w:rsidRPr="001F7B6D">
        <w:rPr>
          <w:sz w:val="28"/>
          <w:szCs w:val="28"/>
        </w:rPr>
        <w:t>Rhabdomyolysis with or without renal impairment has been reported in seriously ill patients receiving erythromycin concomitantly with statins.</w:t>
      </w:r>
    </w:p>
    <w:p w14:paraId="787F8D6E" w14:textId="3B495CEF" w:rsidR="00DD1EBA" w:rsidRPr="00722E38" w:rsidRDefault="00000000" w:rsidP="001F7B6D">
      <w:pPr>
        <w:spacing w:after="240" w:line="360" w:lineRule="auto"/>
        <w:ind w:left="794" w:right="459" w:firstLine="0"/>
        <w:rPr>
          <w:sz w:val="28"/>
          <w:szCs w:val="28"/>
        </w:rPr>
      </w:pPr>
      <w:r w:rsidRPr="00722E38">
        <w:rPr>
          <w:sz w:val="28"/>
          <w:szCs w:val="28"/>
        </w:rPr>
        <w:t>There have been reports of infantile hypertrophic pyloric stenosis (IHPS) occurring in infants following erythromycin therapy. Epidemiological studies including data from meta-analyses suggest a 2-3-fold increase in the risk of IHPS following exposure to erythromycin in infancy. This risk is highest following exposure to erythromycin during the first 14 days of life. Available data suggests a risk of 2.6% (95% CI: 1.5 -4.2%) following exposure to erythromycin during this time period. The risk of IHPS in the general population is 0.1-0.2%. Since erythromycin may be used in the treatment of conditions in infants which are associated with significant mortality or morbidity (such as pertussis or chlamydia), the benefit of erythromycin therapy needs to be weighed against the potential risk of developing IHPS.</w:t>
      </w:r>
      <w:r w:rsidR="001F7B6D">
        <w:rPr>
          <w:sz w:val="28"/>
          <w:szCs w:val="28"/>
        </w:rPr>
        <w:t xml:space="preserve"> </w:t>
      </w:r>
      <w:r w:rsidRPr="00722E38">
        <w:rPr>
          <w:sz w:val="28"/>
          <w:szCs w:val="28"/>
        </w:rPr>
        <w:t>Parents should be informed to contact their physician if vomiting</w:t>
      </w:r>
      <w:r w:rsidR="001F7B6D">
        <w:rPr>
          <w:sz w:val="28"/>
          <w:szCs w:val="28"/>
        </w:rPr>
        <w:t xml:space="preserve"> </w:t>
      </w:r>
      <w:r w:rsidRPr="00722E38">
        <w:rPr>
          <w:sz w:val="28"/>
          <w:szCs w:val="28"/>
        </w:rPr>
        <w:t>or irritability with feeding occurs.</w:t>
      </w:r>
    </w:p>
    <w:p w14:paraId="5061B0F7" w14:textId="3251A8D2" w:rsidR="00DD1EBA" w:rsidRPr="00722E38" w:rsidRDefault="00000000" w:rsidP="001F7B6D">
      <w:pPr>
        <w:spacing w:line="360" w:lineRule="auto"/>
        <w:ind w:left="795" w:right="461" w:firstLine="0"/>
        <w:rPr>
          <w:sz w:val="28"/>
          <w:szCs w:val="28"/>
        </w:rPr>
      </w:pPr>
      <w:r w:rsidRPr="00722E38">
        <w:rPr>
          <w:sz w:val="28"/>
          <w:szCs w:val="28"/>
        </w:rPr>
        <w:t xml:space="preserve">As with other macrolides, rare serious allergic reactions, including acute generalised exanthematous pustulosis (AGEP) have been reported. If an allergic reaction occurs, the drug should be discontinued and appropriate therapy should be instituted. </w:t>
      </w:r>
      <w:r w:rsidRPr="00722E38">
        <w:rPr>
          <w:sz w:val="28"/>
          <w:szCs w:val="28"/>
        </w:rPr>
        <w:lastRenderedPageBreak/>
        <w:t>Physicians should be aware that reappearance of the allergic symptoms may occur when symptomatic therapy is discontinued.</w:t>
      </w:r>
    </w:p>
    <w:p w14:paraId="4ECEE53F" w14:textId="77777777" w:rsidR="00DD1EBA" w:rsidRPr="00722E38" w:rsidRDefault="00000000" w:rsidP="001F7B6D">
      <w:pPr>
        <w:spacing w:after="240" w:line="360" w:lineRule="auto"/>
        <w:ind w:left="794" w:right="459" w:firstLine="0"/>
        <w:rPr>
          <w:sz w:val="28"/>
          <w:szCs w:val="28"/>
        </w:rPr>
      </w:pPr>
      <w:r w:rsidRPr="00722E38">
        <w:rPr>
          <w:sz w:val="28"/>
          <w:szCs w:val="28"/>
        </w:rPr>
        <w:t>This medicine contains less than 1mmol sodium (23mg) per tablet, which is to say essentially ‘sodium free’</w:t>
      </w:r>
    </w:p>
    <w:p w14:paraId="38AF5581" w14:textId="77777777" w:rsidR="001F7B6D" w:rsidRDefault="00000000" w:rsidP="001F7B6D">
      <w:pPr>
        <w:pStyle w:val="Heading4"/>
        <w:numPr>
          <w:ilvl w:val="1"/>
          <w:numId w:val="5"/>
        </w:numPr>
        <w:spacing w:after="240" w:line="271" w:lineRule="auto"/>
        <w:ind w:left="788" w:hanging="431"/>
        <w:rPr>
          <w:sz w:val="28"/>
          <w:szCs w:val="28"/>
        </w:rPr>
      </w:pPr>
      <w:r w:rsidRPr="00722E38">
        <w:rPr>
          <w:sz w:val="28"/>
          <w:szCs w:val="28"/>
        </w:rPr>
        <w:t>Interaction with other medicinal products and other forms of interaction</w:t>
      </w:r>
    </w:p>
    <w:p w14:paraId="3CD173F5" w14:textId="36460EB7" w:rsidR="00DD1EBA" w:rsidRPr="001F7B6D" w:rsidRDefault="00000000" w:rsidP="001F7B6D">
      <w:pPr>
        <w:pStyle w:val="Heading4"/>
        <w:spacing w:after="240" w:line="360" w:lineRule="auto"/>
        <w:ind w:left="794" w:firstLine="0"/>
        <w:jc w:val="thaiDistribute"/>
        <w:rPr>
          <w:sz w:val="28"/>
          <w:szCs w:val="28"/>
        </w:rPr>
      </w:pPr>
      <w:r w:rsidRPr="001F7B6D">
        <w:rPr>
          <w:b w:val="0"/>
          <w:bCs/>
          <w:sz w:val="28"/>
          <w:szCs w:val="28"/>
        </w:rPr>
        <w:t>Increases in serum concentrations of the following drugs metabolised by the cytochrome P450 system may occur when administered concurrently with erythromycin: acenocoumarol, alfentanil, astemizole, bromocriptine, carbamazepine, cilostazol, cyclosporin, digoxin, dihydroergotamine, disopyramide, ergotamine, hexobarbitone, methylprednisolone, midazolam, omeprazole, phenytoin, quinidine, rifabutin, sildenafil, tacrolimus, terfenadine, domperidone, theophylline, triazolam, valproate, vinblastine, antifungals e.g fluconazole, ketoconazole and itraconazole and warfarin. Appropriate monitoring should be undertaken and dosage should be adjusted as necessary</w:t>
      </w:r>
      <w:r w:rsidRPr="001F7B6D">
        <w:rPr>
          <w:sz w:val="28"/>
          <w:szCs w:val="28"/>
        </w:rPr>
        <w:t>.</w:t>
      </w:r>
    </w:p>
    <w:p w14:paraId="4A5A4F9A" w14:textId="77777777" w:rsidR="00DD1EBA" w:rsidRPr="00722E38" w:rsidRDefault="00000000" w:rsidP="001F7B6D">
      <w:pPr>
        <w:spacing w:after="240" w:line="360" w:lineRule="auto"/>
        <w:ind w:left="794" w:right="414" w:firstLine="0"/>
        <w:jc w:val="thaiDistribute"/>
        <w:rPr>
          <w:sz w:val="28"/>
          <w:szCs w:val="28"/>
        </w:rPr>
      </w:pPr>
      <w:r w:rsidRPr="00722E38">
        <w:rPr>
          <w:sz w:val="28"/>
          <w:szCs w:val="28"/>
        </w:rPr>
        <w:t>Particular care should be taken with medications known to prolong the QTc interval of the electrocardiogram. Erythromycin has also been reported to potentiate the effects of corticosteroids.</w:t>
      </w:r>
    </w:p>
    <w:p w14:paraId="05AC995F" w14:textId="77777777" w:rsidR="00DD1EBA" w:rsidRPr="00722E38" w:rsidRDefault="00000000" w:rsidP="001F7B6D">
      <w:pPr>
        <w:spacing w:after="240" w:line="360" w:lineRule="auto"/>
        <w:ind w:left="794" w:right="459" w:firstLine="0"/>
        <w:rPr>
          <w:sz w:val="28"/>
          <w:szCs w:val="28"/>
        </w:rPr>
      </w:pPr>
      <w:r w:rsidRPr="00722E38">
        <w:rPr>
          <w:sz w:val="28"/>
          <w:szCs w:val="28"/>
        </w:rPr>
        <w:t xml:space="preserve">Drugs that induce CYP3A4 (such as rifampicin, phenytoin, carbamazepine, phenobarbital, St John's Wort) may induce the metabolism of erythromycin. This may lead to sub-therapeutic levels of erythromycin and a decreased effect. The induction </w:t>
      </w:r>
      <w:r w:rsidRPr="00722E38">
        <w:rPr>
          <w:sz w:val="28"/>
          <w:szCs w:val="28"/>
        </w:rPr>
        <w:lastRenderedPageBreak/>
        <w:t>decreases gradually during two weeks after discontinued treatment with CYP3A4 inducers. Erythromycin should not be used during and two weeks after treatment with CYP3A4 inducers.</w:t>
      </w:r>
    </w:p>
    <w:p w14:paraId="550438B3" w14:textId="77777777" w:rsidR="001F7B6D" w:rsidRDefault="00000000" w:rsidP="001F7B6D">
      <w:pPr>
        <w:spacing w:after="240" w:line="360" w:lineRule="auto"/>
        <w:ind w:left="805" w:right="459" w:hanging="11"/>
        <w:jc w:val="thaiDistribute"/>
        <w:rPr>
          <w:sz w:val="28"/>
          <w:szCs w:val="28"/>
        </w:rPr>
      </w:pPr>
      <w:r w:rsidRPr="00722E38">
        <w:rPr>
          <w:sz w:val="28"/>
          <w:szCs w:val="28"/>
        </w:rPr>
        <w:t>HMG-CoA Reductase Inhibitors: erythromycin has been reported to increase concentrations of HMG-CoA reductase inhibitors (e.g. lovastatin and simvastatin). Rare reports of rhabdomyolysis have been reported in patients taking these drugs concomitantly.</w:t>
      </w:r>
    </w:p>
    <w:p w14:paraId="159D6745" w14:textId="77777777" w:rsidR="001F7B6D" w:rsidRDefault="00000000" w:rsidP="001F7B6D">
      <w:pPr>
        <w:spacing w:after="240" w:line="360" w:lineRule="auto"/>
        <w:ind w:left="805" w:right="459" w:hanging="11"/>
        <w:jc w:val="thaiDistribute"/>
        <w:rPr>
          <w:sz w:val="28"/>
          <w:szCs w:val="28"/>
        </w:rPr>
      </w:pPr>
      <w:r w:rsidRPr="00722E38">
        <w:rPr>
          <w:sz w:val="28"/>
          <w:szCs w:val="28"/>
        </w:rPr>
        <w:t>Contraceptives: some antibiotics may in rare cases decrease the effect of</w:t>
      </w:r>
      <w:r w:rsidR="001F7B6D">
        <w:rPr>
          <w:sz w:val="28"/>
          <w:szCs w:val="28"/>
        </w:rPr>
        <w:t xml:space="preserve"> </w:t>
      </w:r>
      <w:r w:rsidR="001F7B6D" w:rsidRPr="00722E38">
        <w:rPr>
          <w:sz w:val="28"/>
          <w:szCs w:val="28"/>
        </w:rPr>
        <w:t>contraceptive pills by interfering with the bacterial hydrolysis of steroid conjugates in the intestine and thereby reabsorption of unconjugated steroid. As a result of this plasma levels of active steroid may decrease</w:t>
      </w:r>
      <w:r w:rsidR="001F7B6D">
        <w:rPr>
          <w:sz w:val="28"/>
          <w:szCs w:val="28"/>
        </w:rPr>
        <w:t>.</w:t>
      </w:r>
    </w:p>
    <w:p w14:paraId="428874E7" w14:textId="05D30C3F" w:rsidR="001F7B6D" w:rsidRDefault="00000000" w:rsidP="001F7B6D">
      <w:pPr>
        <w:spacing w:after="240" w:line="360" w:lineRule="auto"/>
        <w:ind w:left="805" w:right="459" w:hanging="11"/>
        <w:jc w:val="thaiDistribute"/>
        <w:rPr>
          <w:sz w:val="28"/>
          <w:szCs w:val="32"/>
        </w:rPr>
      </w:pPr>
      <w:r w:rsidRPr="001F7B6D">
        <w:rPr>
          <w:sz w:val="28"/>
          <w:szCs w:val="32"/>
        </w:rPr>
        <w:t>Antihistamine</w:t>
      </w:r>
      <w:r w:rsidR="001F7B6D">
        <w:rPr>
          <w:sz w:val="28"/>
          <w:szCs w:val="32"/>
        </w:rPr>
        <w:t xml:space="preserve"> </w:t>
      </w:r>
      <w:r w:rsidRPr="001F7B6D">
        <w:rPr>
          <w:sz w:val="28"/>
          <w:szCs w:val="32"/>
        </w:rPr>
        <w:t>H1</w:t>
      </w:r>
      <w:r w:rsidR="001F7B6D">
        <w:rPr>
          <w:sz w:val="28"/>
          <w:szCs w:val="32"/>
        </w:rPr>
        <w:t xml:space="preserve"> </w:t>
      </w:r>
      <w:r w:rsidRPr="001F7B6D">
        <w:rPr>
          <w:sz w:val="28"/>
          <w:szCs w:val="32"/>
        </w:rPr>
        <w:t>antagonists:</w:t>
      </w:r>
      <w:r w:rsidRPr="001F7B6D">
        <w:rPr>
          <w:sz w:val="28"/>
          <w:szCs w:val="32"/>
        </w:rPr>
        <w:tab/>
        <w:t>care</w:t>
      </w:r>
      <w:r w:rsidRPr="001F7B6D">
        <w:rPr>
          <w:sz w:val="28"/>
          <w:szCs w:val="32"/>
        </w:rPr>
        <w:tab/>
        <w:t>should</w:t>
      </w:r>
      <w:r w:rsidR="001F7B6D">
        <w:rPr>
          <w:sz w:val="28"/>
          <w:szCs w:val="32"/>
        </w:rPr>
        <w:t xml:space="preserve"> </w:t>
      </w:r>
      <w:r w:rsidRPr="001F7B6D">
        <w:rPr>
          <w:sz w:val="28"/>
          <w:szCs w:val="32"/>
        </w:rPr>
        <w:t>be</w:t>
      </w:r>
      <w:r w:rsidR="001F7B6D" w:rsidRPr="001F7B6D">
        <w:rPr>
          <w:sz w:val="28"/>
          <w:szCs w:val="32"/>
        </w:rPr>
        <w:t xml:space="preserve"> </w:t>
      </w:r>
      <w:r w:rsidRPr="001F7B6D">
        <w:rPr>
          <w:sz w:val="28"/>
          <w:szCs w:val="32"/>
        </w:rPr>
        <w:t>taken</w:t>
      </w:r>
      <w:r w:rsidR="001F7B6D" w:rsidRPr="001F7B6D">
        <w:rPr>
          <w:sz w:val="28"/>
          <w:szCs w:val="32"/>
        </w:rPr>
        <w:t xml:space="preserve"> </w:t>
      </w:r>
      <w:r w:rsidRPr="001F7B6D">
        <w:rPr>
          <w:sz w:val="28"/>
          <w:szCs w:val="32"/>
        </w:rPr>
        <w:t>in</w:t>
      </w:r>
      <w:r w:rsidR="001F7B6D" w:rsidRPr="001F7B6D">
        <w:rPr>
          <w:sz w:val="28"/>
          <w:szCs w:val="32"/>
        </w:rPr>
        <w:t xml:space="preserve"> </w:t>
      </w:r>
      <w:r w:rsidRPr="001F7B6D">
        <w:rPr>
          <w:sz w:val="28"/>
          <w:szCs w:val="32"/>
        </w:rPr>
        <w:t>the coadministration of erythromycin with H1 antagonists such as terfenadine, astemizole and mizolastine due to the alteration of their metabolism by erythromycin.</w:t>
      </w:r>
    </w:p>
    <w:p w14:paraId="0B3DE058" w14:textId="77777777" w:rsidR="001F7B6D" w:rsidRDefault="00000000" w:rsidP="001F7B6D">
      <w:pPr>
        <w:spacing w:line="360" w:lineRule="auto"/>
        <w:ind w:left="802" w:right="461"/>
        <w:jc w:val="thaiDistribute"/>
        <w:rPr>
          <w:sz w:val="28"/>
          <w:szCs w:val="28"/>
        </w:rPr>
      </w:pPr>
      <w:r w:rsidRPr="001F7B6D">
        <w:rPr>
          <w:sz w:val="28"/>
          <w:szCs w:val="32"/>
        </w:rPr>
        <w:t>The metabolism of terfenadine, pimozide and astemizole is significantly altered when either are taken concomitantly with erythromycin. Rare cases of serious potentially fatal cardio-vascular events have been observed, including torsades de pointes, other ventricular arrhythmias and cardiac arrest. Death has been reported with the terfenadine/erythromycin combination (see sections 4.3 and 4.8).</w:t>
      </w:r>
    </w:p>
    <w:p w14:paraId="05864B9C" w14:textId="5A951DF8" w:rsidR="001F7B6D" w:rsidRDefault="00000000" w:rsidP="001F7B6D">
      <w:pPr>
        <w:spacing w:after="240" w:line="360" w:lineRule="auto"/>
        <w:ind w:left="805" w:right="459" w:hanging="11"/>
        <w:jc w:val="thaiDistribute"/>
        <w:rPr>
          <w:sz w:val="28"/>
          <w:szCs w:val="32"/>
        </w:rPr>
      </w:pPr>
      <w:r w:rsidRPr="001F7B6D">
        <w:rPr>
          <w:sz w:val="28"/>
          <w:szCs w:val="32"/>
        </w:rPr>
        <w:lastRenderedPageBreak/>
        <w:t>Concomitant</w:t>
      </w:r>
      <w:r w:rsidRPr="001F7B6D">
        <w:rPr>
          <w:sz w:val="28"/>
          <w:szCs w:val="32"/>
        </w:rPr>
        <w:tab/>
        <w:t>use</w:t>
      </w:r>
      <w:r w:rsidRPr="001F7B6D">
        <w:rPr>
          <w:sz w:val="28"/>
          <w:szCs w:val="32"/>
        </w:rPr>
        <w:tab/>
        <w:t>of</w:t>
      </w:r>
      <w:r w:rsidRPr="001F7B6D">
        <w:rPr>
          <w:sz w:val="28"/>
          <w:szCs w:val="32"/>
        </w:rPr>
        <w:tab/>
        <w:t>erythromycin</w:t>
      </w:r>
      <w:r w:rsidRPr="001F7B6D">
        <w:rPr>
          <w:sz w:val="28"/>
          <w:szCs w:val="32"/>
        </w:rPr>
        <w:tab/>
        <w:t>with</w:t>
      </w:r>
      <w:r w:rsidR="001F7B6D">
        <w:rPr>
          <w:sz w:val="28"/>
          <w:szCs w:val="32"/>
        </w:rPr>
        <w:t xml:space="preserve"> </w:t>
      </w:r>
      <w:r w:rsidRPr="001F7B6D">
        <w:rPr>
          <w:sz w:val="28"/>
          <w:szCs w:val="32"/>
        </w:rPr>
        <w:t>simvastatin,</w:t>
      </w:r>
      <w:r w:rsidRPr="001F7B6D">
        <w:rPr>
          <w:sz w:val="28"/>
          <w:szCs w:val="32"/>
        </w:rPr>
        <w:tab/>
        <w:t>tolterodine, mizolastine, amisulpride, terfenadine or astemizole is likely to result in an enhanced risk of cardio toxicity with these drugs. The concomitant use of erythromycin with either simvastatin, tolterodine, mizolastine, amisulpride, astemizole or terfenadine is therefore contraindicated</w:t>
      </w:r>
      <w:r w:rsidR="001F7B6D">
        <w:rPr>
          <w:sz w:val="28"/>
          <w:szCs w:val="32"/>
        </w:rPr>
        <w:t>.</w:t>
      </w:r>
    </w:p>
    <w:p w14:paraId="6BA29DF0" w14:textId="77777777" w:rsidR="001F7B6D" w:rsidRDefault="00000000" w:rsidP="001F7B6D">
      <w:pPr>
        <w:spacing w:after="240" w:line="360" w:lineRule="auto"/>
        <w:ind w:left="805" w:right="459" w:hanging="11"/>
        <w:jc w:val="thaiDistribute"/>
        <w:rPr>
          <w:sz w:val="28"/>
          <w:szCs w:val="28"/>
        </w:rPr>
      </w:pPr>
      <w:r w:rsidRPr="001F7B6D">
        <w:rPr>
          <w:sz w:val="28"/>
          <w:szCs w:val="32"/>
        </w:rPr>
        <w:t>Anti-bacterial agents: an in vitro antagonism exists between erythromycin</w:t>
      </w:r>
      <w:r w:rsidR="001F7B6D" w:rsidRPr="001F7B6D">
        <w:rPr>
          <w:sz w:val="28"/>
          <w:szCs w:val="32"/>
        </w:rPr>
        <w:t xml:space="preserve"> </w:t>
      </w:r>
      <w:r w:rsidR="001F7B6D" w:rsidRPr="001F7B6D">
        <w:rPr>
          <w:sz w:val="28"/>
          <w:szCs w:val="32"/>
        </w:rPr>
        <w:t>and the bactericidal beta-lactam antibiotics (e.g. penicillin, cephalosporin). Erythromycin antagonises the action of clindamycin, lincomycin and chloramphenicol. The same applies for streptomycin, tetracyclines and colistin.</w:t>
      </w:r>
    </w:p>
    <w:p w14:paraId="2AA16B91" w14:textId="77777777" w:rsidR="001F7B6D" w:rsidRDefault="001F7B6D" w:rsidP="001F7B6D">
      <w:pPr>
        <w:spacing w:after="240" w:line="360" w:lineRule="auto"/>
        <w:ind w:left="805" w:right="459" w:hanging="11"/>
        <w:jc w:val="thaiDistribute"/>
        <w:rPr>
          <w:sz w:val="32"/>
          <w:szCs w:val="32"/>
        </w:rPr>
      </w:pPr>
      <w:r w:rsidRPr="00722E38">
        <w:rPr>
          <w:sz w:val="28"/>
          <w:szCs w:val="28"/>
        </w:rPr>
        <w:t>Protease inhibitors: in concomitant administration of erythromycin and protease inhibitors, an inhibition of the decomposition of erythromycin has been observed</w:t>
      </w:r>
    </w:p>
    <w:p w14:paraId="5F69D347" w14:textId="77777777" w:rsidR="00493D17" w:rsidRDefault="00000000" w:rsidP="00493D17">
      <w:pPr>
        <w:spacing w:after="240" w:line="360" w:lineRule="auto"/>
        <w:ind w:left="805" w:right="459" w:hanging="11"/>
        <w:jc w:val="thaiDistribute"/>
      </w:pPr>
      <w:r w:rsidRPr="001F7B6D">
        <w:rPr>
          <w:sz w:val="28"/>
          <w:szCs w:val="32"/>
        </w:rPr>
        <w:t>Oral anticoagulants: there have been reports of increased anticoagulant</w:t>
      </w:r>
      <w:r w:rsidR="001F7B6D" w:rsidRPr="001F7B6D">
        <w:rPr>
          <w:sz w:val="28"/>
          <w:szCs w:val="32"/>
        </w:rPr>
        <w:t xml:space="preserve"> </w:t>
      </w:r>
      <w:r w:rsidR="001F7B6D" w:rsidRPr="001F7B6D">
        <w:rPr>
          <w:sz w:val="28"/>
          <w:szCs w:val="32"/>
        </w:rPr>
        <w:t>effects when erythromycin and oral anticoagulants (e.g. warfarin, rivaroxaban) are used concomitantly.</w:t>
      </w:r>
      <w:r w:rsidR="00493D17" w:rsidRPr="00493D17">
        <w:t xml:space="preserve"> </w:t>
      </w:r>
    </w:p>
    <w:p w14:paraId="34A6F08D" w14:textId="77777777" w:rsidR="00493D17" w:rsidRDefault="00493D17" w:rsidP="00493D17">
      <w:pPr>
        <w:spacing w:after="240" w:line="360" w:lineRule="auto"/>
        <w:ind w:left="805" w:right="459" w:hanging="11"/>
        <w:jc w:val="thaiDistribute"/>
      </w:pPr>
      <w:r w:rsidRPr="00493D17">
        <w:rPr>
          <w:sz w:val="28"/>
          <w:szCs w:val="32"/>
        </w:rPr>
        <w:t>Triazolobenzodiazepines (such as triazolam and alprazolam) and related benzodiazepines: erythromycin has been reported to decrease the clearance of triazolam, midazolam, and related benzodiazepines, and thus may increase the pharmacological effect of these benzodiazepines.</w:t>
      </w:r>
      <w:r w:rsidRPr="00493D17">
        <w:t xml:space="preserve"> </w:t>
      </w:r>
    </w:p>
    <w:p w14:paraId="6DC32A93" w14:textId="77777777" w:rsidR="00493D17" w:rsidRDefault="00493D17" w:rsidP="00493D17">
      <w:pPr>
        <w:spacing w:after="240" w:line="360" w:lineRule="auto"/>
        <w:ind w:left="805" w:right="459" w:hanging="11"/>
        <w:jc w:val="thaiDistribute"/>
      </w:pPr>
      <w:r w:rsidRPr="00493D17">
        <w:rPr>
          <w:sz w:val="28"/>
          <w:szCs w:val="32"/>
        </w:rPr>
        <w:t xml:space="preserve">Post-marketing reports indicate that concurrent use of erythromycin and ergotamine or dihydroergotamine has been associated in some </w:t>
      </w:r>
      <w:r w:rsidRPr="00493D17">
        <w:rPr>
          <w:sz w:val="28"/>
          <w:szCs w:val="32"/>
        </w:rPr>
        <w:lastRenderedPageBreak/>
        <w:t>patients with acute ergot toxicity, characterised by the rapid development of severe peripheral vasospasm, dysaesthesia and ischaemia of the central nervous system, extremities and other tissues (see section</w:t>
      </w:r>
      <w:r>
        <w:rPr>
          <w:sz w:val="28"/>
          <w:szCs w:val="32"/>
        </w:rPr>
        <w:t xml:space="preserve"> </w:t>
      </w:r>
      <w:r w:rsidRPr="00493D17">
        <w:rPr>
          <w:sz w:val="28"/>
          <w:szCs w:val="32"/>
        </w:rPr>
        <w:t>4.3).</w:t>
      </w:r>
      <w:r w:rsidRPr="00493D17">
        <w:t xml:space="preserve"> </w:t>
      </w:r>
    </w:p>
    <w:p w14:paraId="6A5CFF72" w14:textId="77777777" w:rsidR="00493D17" w:rsidRDefault="00493D17" w:rsidP="00493D17">
      <w:pPr>
        <w:spacing w:after="240" w:line="360" w:lineRule="auto"/>
        <w:ind w:left="805" w:right="459" w:hanging="11"/>
        <w:jc w:val="thaiDistribute"/>
      </w:pPr>
      <w:r w:rsidRPr="00493D17">
        <w:rPr>
          <w:sz w:val="28"/>
          <w:szCs w:val="32"/>
        </w:rPr>
        <w:t>Elevated cisapride levels have been reported in patients receiving erythromycin and cisapride concomitantly. This may result in QTc prolongation and cardiac arrhythmias including ventricular tachycardia, ventricular fibrillation and torsades de pointes.</w:t>
      </w:r>
      <w:r w:rsidRPr="00493D17">
        <w:t xml:space="preserve"> </w:t>
      </w:r>
      <w:r>
        <w:t>S</w:t>
      </w:r>
      <w:r w:rsidRPr="00493D17">
        <w:rPr>
          <w:sz w:val="28"/>
          <w:szCs w:val="32"/>
        </w:rPr>
        <w:t>imilar effects have been observed with concomitant administration of</w:t>
      </w:r>
      <w:r>
        <w:rPr>
          <w:sz w:val="28"/>
          <w:szCs w:val="32"/>
        </w:rPr>
        <w:t xml:space="preserve"> </w:t>
      </w:r>
      <w:r w:rsidRPr="00493D17">
        <w:rPr>
          <w:sz w:val="28"/>
          <w:szCs w:val="32"/>
        </w:rPr>
        <w:t>pimozide and clarithromycin, another macrolide antibiotic.</w:t>
      </w:r>
      <w:r w:rsidRPr="00493D17">
        <w:t xml:space="preserve"> </w:t>
      </w:r>
    </w:p>
    <w:p w14:paraId="4FE2B705" w14:textId="77777777" w:rsidR="00493D17" w:rsidRDefault="00493D17" w:rsidP="00493D17">
      <w:pPr>
        <w:spacing w:after="240" w:line="360" w:lineRule="auto"/>
        <w:ind w:left="805" w:right="459" w:hanging="11"/>
        <w:jc w:val="thaiDistribute"/>
      </w:pPr>
      <w:r w:rsidRPr="00493D17">
        <w:rPr>
          <w:sz w:val="28"/>
          <w:szCs w:val="32"/>
        </w:rPr>
        <w:t>Erythromycin use in patients who are receiving high doses of theophylline may be associated with an increase in serum theophylline levels and potential theophylline toxicity. In case of theophylline toxicity and/or elevated serum theophylline levels, the dose of theophylline should be reduced while the patient is receiving concomitant erythromycin therapy. There have been published reports suggesting when oral erythromycin is given concurrently with theophylline; there is a significant decrease in erythromycin serum concentrations. The decrease could result in sub therapeutic concentrations of erythromycin.</w:t>
      </w:r>
      <w:r w:rsidRPr="00493D17">
        <w:t xml:space="preserve"> </w:t>
      </w:r>
    </w:p>
    <w:p w14:paraId="2AECFCF7" w14:textId="77777777" w:rsidR="00493D17" w:rsidRDefault="00493D17" w:rsidP="00493D17">
      <w:pPr>
        <w:spacing w:after="240" w:line="360" w:lineRule="auto"/>
        <w:ind w:left="805" w:right="459" w:hanging="11"/>
        <w:jc w:val="thaiDistribute"/>
      </w:pPr>
      <w:r w:rsidRPr="00493D17">
        <w:rPr>
          <w:sz w:val="28"/>
          <w:szCs w:val="32"/>
        </w:rPr>
        <w:t>There have been post-marketing reports of colchicine toxicity with concomitant use of erythromycin and colchicine.</w:t>
      </w:r>
      <w:r w:rsidRPr="00493D17">
        <w:t xml:space="preserve"> </w:t>
      </w:r>
    </w:p>
    <w:p w14:paraId="7EB5C1F9" w14:textId="77777777" w:rsidR="00493D17" w:rsidRDefault="00493D17" w:rsidP="00493D17">
      <w:pPr>
        <w:spacing w:after="240" w:line="360" w:lineRule="auto"/>
        <w:ind w:left="805" w:right="459" w:hanging="11"/>
        <w:jc w:val="thaiDistribute"/>
      </w:pPr>
      <w:r w:rsidRPr="00493D17">
        <w:rPr>
          <w:sz w:val="28"/>
          <w:szCs w:val="32"/>
        </w:rPr>
        <w:t xml:space="preserve">Observational data have shown that co-administration of azithromycin with hydroxychloroquine in patients with rheumatoid </w:t>
      </w:r>
      <w:r w:rsidRPr="00493D17">
        <w:rPr>
          <w:sz w:val="28"/>
          <w:szCs w:val="32"/>
        </w:rPr>
        <w:lastRenderedPageBreak/>
        <w:t>arthritis is associated with an increased risk of cardiovascular events and cardiovascular mortality. Because of the potential for a similar risk with other macrolides when used in combination with hydroxychloroquine or chloroquine, careful consideration should be given to the balance of benefits and risks before prescribing erythromycin for any patients taking hydroxychloroquine or chloroquine.</w:t>
      </w:r>
      <w:r w:rsidRPr="00493D17">
        <w:t xml:space="preserve"> </w:t>
      </w:r>
    </w:p>
    <w:p w14:paraId="2F2ECDDE" w14:textId="49303A67" w:rsidR="00493D17" w:rsidRPr="00493D17" w:rsidRDefault="00493D17" w:rsidP="00493D17">
      <w:pPr>
        <w:spacing w:after="240" w:line="360" w:lineRule="auto"/>
        <w:ind w:left="805" w:right="459" w:hanging="11"/>
        <w:jc w:val="thaiDistribute"/>
        <w:rPr>
          <w:sz w:val="28"/>
          <w:szCs w:val="32"/>
        </w:rPr>
      </w:pPr>
      <w:r w:rsidRPr="00493D17">
        <w:rPr>
          <w:sz w:val="28"/>
          <w:szCs w:val="32"/>
        </w:rPr>
        <w:t>Hypotension, bradyarrhythmias and lactic acidosis have been observed in</w:t>
      </w:r>
      <w:r>
        <w:rPr>
          <w:sz w:val="28"/>
          <w:szCs w:val="32"/>
        </w:rPr>
        <w:t xml:space="preserve"> </w:t>
      </w:r>
      <w:r w:rsidRPr="00493D17">
        <w:rPr>
          <w:sz w:val="28"/>
          <w:szCs w:val="32"/>
        </w:rPr>
        <w:t>patients receiving concurrent verapamil, a calcium channel blocker.</w:t>
      </w:r>
    </w:p>
    <w:p w14:paraId="17980C74" w14:textId="77777777" w:rsidR="00493D17" w:rsidRDefault="00493D17" w:rsidP="00493D17">
      <w:pPr>
        <w:spacing w:after="240" w:line="360" w:lineRule="auto"/>
        <w:ind w:left="805" w:right="459" w:hanging="11"/>
        <w:jc w:val="thaiDistribute"/>
        <w:rPr>
          <w:sz w:val="28"/>
          <w:szCs w:val="32"/>
        </w:rPr>
      </w:pPr>
      <w:r w:rsidRPr="00493D17">
        <w:rPr>
          <w:sz w:val="28"/>
          <w:szCs w:val="32"/>
        </w:rPr>
        <w:t>Cimetidine may inhibit the metabolism of erythromycin which may lead</w:t>
      </w:r>
      <w:r>
        <w:rPr>
          <w:sz w:val="28"/>
          <w:szCs w:val="32"/>
        </w:rPr>
        <w:t xml:space="preserve"> </w:t>
      </w:r>
      <w:r w:rsidRPr="00493D17">
        <w:rPr>
          <w:sz w:val="28"/>
          <w:szCs w:val="32"/>
        </w:rPr>
        <w:t>to an increased plasma concentration.</w:t>
      </w:r>
      <w:r w:rsidRPr="00493D17">
        <w:t xml:space="preserve"> </w:t>
      </w:r>
      <w:r w:rsidRPr="00493D17">
        <w:rPr>
          <w:sz w:val="28"/>
          <w:szCs w:val="32"/>
        </w:rPr>
        <w:tab/>
      </w:r>
    </w:p>
    <w:p w14:paraId="70110944" w14:textId="77777777" w:rsidR="00493D17" w:rsidRDefault="00493D17" w:rsidP="00493D17">
      <w:pPr>
        <w:spacing w:after="240" w:line="360" w:lineRule="auto"/>
        <w:ind w:left="805" w:right="459" w:hanging="11"/>
        <w:jc w:val="thaiDistribute"/>
      </w:pPr>
      <w:r w:rsidRPr="00493D17">
        <w:rPr>
          <w:sz w:val="28"/>
          <w:szCs w:val="32"/>
        </w:rPr>
        <w:t>Erythromycin</w:t>
      </w:r>
      <w:r w:rsidRPr="00493D17">
        <w:rPr>
          <w:sz w:val="28"/>
          <w:szCs w:val="32"/>
        </w:rPr>
        <w:tab/>
        <w:t>has</w:t>
      </w:r>
      <w:r w:rsidRPr="00493D17">
        <w:rPr>
          <w:sz w:val="28"/>
          <w:szCs w:val="32"/>
        </w:rPr>
        <w:tab/>
        <w:t>also</w:t>
      </w:r>
      <w:r w:rsidRPr="00493D17">
        <w:rPr>
          <w:sz w:val="28"/>
          <w:szCs w:val="32"/>
        </w:rPr>
        <w:tab/>
        <w:t>been</w:t>
      </w:r>
      <w:r w:rsidRPr="00493D17">
        <w:rPr>
          <w:sz w:val="28"/>
          <w:szCs w:val="32"/>
        </w:rPr>
        <w:tab/>
        <w:t>reported</w:t>
      </w:r>
      <w:r w:rsidRPr="00493D17">
        <w:rPr>
          <w:sz w:val="28"/>
          <w:szCs w:val="32"/>
        </w:rPr>
        <w:tab/>
        <w:t>to</w:t>
      </w:r>
      <w:r w:rsidRPr="00493D17">
        <w:rPr>
          <w:sz w:val="28"/>
          <w:szCs w:val="32"/>
        </w:rPr>
        <w:tab/>
        <w:t>potentiate</w:t>
      </w:r>
      <w:r>
        <w:rPr>
          <w:sz w:val="28"/>
          <w:szCs w:val="32"/>
        </w:rPr>
        <w:t xml:space="preserve"> </w:t>
      </w:r>
      <w:r w:rsidRPr="00493D17">
        <w:rPr>
          <w:sz w:val="28"/>
          <w:szCs w:val="32"/>
        </w:rPr>
        <w:t>the</w:t>
      </w:r>
      <w:r w:rsidRPr="00493D17">
        <w:rPr>
          <w:sz w:val="28"/>
          <w:szCs w:val="32"/>
        </w:rPr>
        <w:tab/>
        <w:t>effect of corticosteroids.</w:t>
      </w:r>
      <w:r w:rsidRPr="00493D17">
        <w:t xml:space="preserve"> </w:t>
      </w:r>
    </w:p>
    <w:p w14:paraId="54A87719" w14:textId="589D70CF" w:rsidR="00DD1EBA" w:rsidRPr="00493D17" w:rsidRDefault="00493D17" w:rsidP="00493D17">
      <w:pPr>
        <w:spacing w:after="240" w:line="360" w:lineRule="auto"/>
        <w:ind w:left="805" w:right="459" w:hanging="11"/>
        <w:jc w:val="thaiDistribute"/>
        <w:rPr>
          <w:sz w:val="28"/>
          <w:szCs w:val="32"/>
        </w:rPr>
      </w:pPr>
      <w:r w:rsidRPr="00493D17">
        <w:rPr>
          <w:sz w:val="28"/>
          <w:szCs w:val="32"/>
        </w:rPr>
        <w:t>Erythromycin has been reported to decrease the clearance of zopiclone and thus may increase the pharmacodynamic effects of this drug.</w:t>
      </w:r>
    </w:p>
    <w:p w14:paraId="3E87C4FB" w14:textId="77777777" w:rsidR="00493D17" w:rsidRPr="00493D17" w:rsidRDefault="00000000" w:rsidP="00493D17">
      <w:pPr>
        <w:pStyle w:val="ListParagraph"/>
        <w:numPr>
          <w:ilvl w:val="1"/>
          <w:numId w:val="5"/>
        </w:numPr>
        <w:tabs>
          <w:tab w:val="center" w:pos="2535"/>
        </w:tabs>
        <w:spacing w:after="240" w:line="271" w:lineRule="auto"/>
        <w:ind w:left="788" w:hanging="431"/>
        <w:contextualSpacing w:val="0"/>
        <w:jc w:val="left"/>
        <w:rPr>
          <w:sz w:val="28"/>
          <w:szCs w:val="28"/>
        </w:rPr>
      </w:pPr>
      <w:r w:rsidRPr="00493D17">
        <w:rPr>
          <w:b/>
          <w:sz w:val="28"/>
          <w:szCs w:val="28"/>
        </w:rPr>
        <w:t>Fertility, Pregnancy and lactation</w:t>
      </w:r>
    </w:p>
    <w:p w14:paraId="2DADD270" w14:textId="77777777" w:rsidR="00493D17" w:rsidRDefault="00000000" w:rsidP="00493D17">
      <w:pPr>
        <w:ind w:left="0" w:firstLine="720"/>
        <w:rPr>
          <w:sz w:val="28"/>
          <w:szCs w:val="28"/>
          <w:u w:val="single"/>
        </w:rPr>
      </w:pPr>
      <w:r w:rsidRPr="00493D17">
        <w:rPr>
          <w:sz w:val="28"/>
          <w:szCs w:val="28"/>
          <w:u w:val="single"/>
        </w:rPr>
        <w:t>Pregnancy</w:t>
      </w:r>
      <w:r w:rsidR="00493D17" w:rsidRPr="00493D17">
        <w:rPr>
          <w:sz w:val="28"/>
          <w:szCs w:val="28"/>
          <w:u w:val="single"/>
        </w:rPr>
        <w:t xml:space="preserve"> </w:t>
      </w:r>
    </w:p>
    <w:p w14:paraId="0F24DCFA" w14:textId="77777777" w:rsidR="00493D17" w:rsidRDefault="00493D17" w:rsidP="00493D17">
      <w:pPr>
        <w:spacing w:line="360" w:lineRule="auto"/>
        <w:ind w:left="720" w:firstLine="0"/>
      </w:pPr>
      <w:r w:rsidRPr="00493D17">
        <w:rPr>
          <w:sz w:val="28"/>
          <w:szCs w:val="28"/>
        </w:rPr>
        <w:t>There are no adequate and well-controlled studies in pregnant women.</w:t>
      </w:r>
      <w:r>
        <w:rPr>
          <w:sz w:val="28"/>
          <w:szCs w:val="28"/>
        </w:rPr>
        <w:t xml:space="preserve"> </w:t>
      </w:r>
      <w:r w:rsidRPr="00493D17">
        <w:rPr>
          <w:sz w:val="28"/>
          <w:szCs w:val="28"/>
        </w:rPr>
        <w:t>However, observational studies in humans have reported</w:t>
      </w:r>
      <w:r>
        <w:rPr>
          <w:sz w:val="28"/>
          <w:szCs w:val="28"/>
          <w:u w:val="single"/>
        </w:rPr>
        <w:t xml:space="preserve"> </w:t>
      </w:r>
      <w:r w:rsidRPr="00493D17">
        <w:rPr>
          <w:sz w:val="28"/>
          <w:szCs w:val="28"/>
        </w:rPr>
        <w:t xml:space="preserve">cardiovascular malformations after exposure to medicinal products containing erythromycin during early pregnancy. </w:t>
      </w:r>
      <w:r>
        <w:rPr>
          <w:sz w:val="28"/>
          <w:szCs w:val="28"/>
        </w:rPr>
        <w:t xml:space="preserve"> </w:t>
      </w:r>
      <w:r w:rsidRPr="00493D17">
        <w:rPr>
          <w:sz w:val="28"/>
          <w:szCs w:val="28"/>
        </w:rPr>
        <w:t xml:space="preserve">Erythromycin has been reported </w:t>
      </w:r>
      <w:r w:rsidRPr="00493D17">
        <w:rPr>
          <w:sz w:val="28"/>
          <w:szCs w:val="28"/>
        </w:rPr>
        <w:lastRenderedPageBreak/>
        <w:t>to cross the placental barrier in humans, but foetal plasma levels are generally low.</w:t>
      </w:r>
      <w:r w:rsidRPr="00493D17">
        <w:t xml:space="preserve"> </w:t>
      </w:r>
      <w:r w:rsidRPr="00493D17">
        <w:rPr>
          <w:sz w:val="28"/>
          <w:szCs w:val="28"/>
        </w:rPr>
        <w:t>There have been reports that maternal macrolide antibiotics exposure within 7 weeks of delivery may be associated with a higher risk of infantile hypertrophic pylori stenosis (IHPS).</w:t>
      </w:r>
      <w:r w:rsidRPr="00493D17">
        <w:t xml:space="preserve"> </w:t>
      </w:r>
    </w:p>
    <w:p w14:paraId="2CED1A1C" w14:textId="77777777" w:rsidR="00493D17" w:rsidRDefault="00493D17" w:rsidP="00493D17">
      <w:pPr>
        <w:spacing w:line="360" w:lineRule="auto"/>
        <w:ind w:left="720" w:firstLine="0"/>
      </w:pPr>
      <w:r w:rsidRPr="00493D17">
        <w:rPr>
          <w:sz w:val="28"/>
          <w:szCs w:val="28"/>
        </w:rPr>
        <w:t>There is a large amount of data from observational studies performed in several countries on exposure to erythromycin during pregnancy, compared to no antibiotic use or use of another antibiotic during the same period (&gt;24,000 first trimester exposures). While most studies do not suggest an association with adverse fetal effects such as major congenital malformations, cardiovascular malformations or miscarriage, there is limited epidemiological evidence of a small increased risk of major congenital malformations, specifically cardiovascular malformations following first trimester exposure to erythromycin.</w:t>
      </w:r>
    </w:p>
    <w:p w14:paraId="3184B6E6" w14:textId="77777777" w:rsidR="00493D17" w:rsidRDefault="00493D17" w:rsidP="00493D17">
      <w:pPr>
        <w:spacing w:after="240" w:line="360" w:lineRule="auto"/>
        <w:ind w:left="720" w:firstLine="0"/>
        <w:rPr>
          <w:sz w:val="28"/>
          <w:szCs w:val="28"/>
          <w:u w:val="single"/>
        </w:rPr>
      </w:pPr>
      <w:r w:rsidRPr="00493D17">
        <w:rPr>
          <w:sz w:val="28"/>
          <w:szCs w:val="28"/>
        </w:rPr>
        <w:t>Therefore, erythromycin should only be used during pregnancy if clinically needed and the benefit of treatment is expected to outweigh any small increased risks which may exist</w:t>
      </w:r>
    </w:p>
    <w:p w14:paraId="37EC7831" w14:textId="78C826C8" w:rsidR="00DD1EBA" w:rsidRDefault="00000000" w:rsidP="00493D17">
      <w:pPr>
        <w:spacing w:after="240" w:line="360" w:lineRule="auto"/>
        <w:ind w:left="720" w:firstLine="0"/>
        <w:rPr>
          <w:sz w:val="28"/>
          <w:szCs w:val="28"/>
          <w:u w:val="single" w:color="000000"/>
        </w:rPr>
      </w:pPr>
      <w:r w:rsidRPr="00722E38">
        <w:rPr>
          <w:sz w:val="28"/>
          <w:szCs w:val="28"/>
          <w:u w:val="single" w:color="000000"/>
        </w:rPr>
        <w:t>Breast-feeding</w:t>
      </w:r>
    </w:p>
    <w:p w14:paraId="5A42E8DF" w14:textId="77777777" w:rsidR="00493D17" w:rsidRDefault="00493D17" w:rsidP="00493D17">
      <w:pPr>
        <w:spacing w:after="240" w:line="360" w:lineRule="auto"/>
        <w:ind w:left="720" w:firstLine="0"/>
        <w:rPr>
          <w:sz w:val="28"/>
          <w:szCs w:val="28"/>
        </w:rPr>
      </w:pPr>
      <w:r w:rsidRPr="00493D17">
        <w:rPr>
          <w:sz w:val="28"/>
          <w:szCs w:val="28"/>
        </w:rPr>
        <w:t>Erythromycin can be excreted into breast milk, therefore, caution should be exercised when erythromycin is administered to lactating mothers, due to reports of infantile hypertrophic pylori stenosis in breast-fed infants.</w:t>
      </w:r>
    </w:p>
    <w:p w14:paraId="2ED0339F" w14:textId="77777777" w:rsidR="00493D17" w:rsidRDefault="00000000" w:rsidP="00493D17">
      <w:pPr>
        <w:spacing w:after="240" w:line="360" w:lineRule="auto"/>
        <w:ind w:left="720" w:firstLine="0"/>
        <w:rPr>
          <w:sz w:val="28"/>
          <w:szCs w:val="28"/>
        </w:rPr>
      </w:pPr>
      <w:r w:rsidRPr="00722E38">
        <w:rPr>
          <w:sz w:val="28"/>
          <w:szCs w:val="28"/>
          <w:u w:val="single" w:color="000000"/>
        </w:rPr>
        <w:t>Fertility</w:t>
      </w:r>
    </w:p>
    <w:p w14:paraId="2595225F" w14:textId="0A8BC34E" w:rsidR="00DD1EBA" w:rsidRPr="00722E38" w:rsidRDefault="00000000" w:rsidP="00493D17">
      <w:pPr>
        <w:spacing w:line="360" w:lineRule="auto"/>
        <w:ind w:left="720" w:firstLine="0"/>
        <w:rPr>
          <w:sz w:val="28"/>
          <w:szCs w:val="28"/>
        </w:rPr>
      </w:pPr>
      <w:r w:rsidRPr="00722E38">
        <w:rPr>
          <w:sz w:val="28"/>
          <w:szCs w:val="28"/>
        </w:rPr>
        <w:t>Animal studies have shown no hazard.</w:t>
      </w:r>
    </w:p>
    <w:p w14:paraId="039389B3" w14:textId="77777777" w:rsidR="00493D17" w:rsidRPr="00493D17" w:rsidRDefault="00000000" w:rsidP="00493D17">
      <w:pPr>
        <w:pStyle w:val="Heading4"/>
        <w:numPr>
          <w:ilvl w:val="1"/>
          <w:numId w:val="5"/>
        </w:numPr>
        <w:tabs>
          <w:tab w:val="center" w:pos="3030"/>
        </w:tabs>
        <w:spacing w:after="240" w:line="271" w:lineRule="auto"/>
        <w:ind w:left="788" w:hanging="431"/>
        <w:rPr>
          <w:sz w:val="28"/>
          <w:szCs w:val="28"/>
        </w:rPr>
      </w:pPr>
      <w:r w:rsidRPr="00722E38">
        <w:rPr>
          <w:sz w:val="28"/>
          <w:szCs w:val="28"/>
        </w:rPr>
        <w:lastRenderedPageBreak/>
        <w:t>Effects on ability to drive and use machines</w:t>
      </w:r>
      <w:r w:rsidR="00493D17" w:rsidRPr="00493D17">
        <w:t xml:space="preserve"> </w:t>
      </w:r>
    </w:p>
    <w:p w14:paraId="655469C1" w14:textId="1457B3A5" w:rsidR="00DD1EBA" w:rsidRPr="00493D17" w:rsidRDefault="00493D17" w:rsidP="00493D17">
      <w:pPr>
        <w:pStyle w:val="Heading4"/>
        <w:tabs>
          <w:tab w:val="center" w:pos="3030"/>
        </w:tabs>
        <w:spacing w:before="240" w:after="240" w:line="360" w:lineRule="auto"/>
        <w:ind w:left="794" w:firstLine="0"/>
        <w:rPr>
          <w:b w:val="0"/>
          <w:bCs/>
          <w:sz w:val="28"/>
          <w:szCs w:val="28"/>
        </w:rPr>
      </w:pPr>
      <w:r w:rsidRPr="00493D17">
        <w:rPr>
          <w:b w:val="0"/>
          <w:bCs/>
          <w:sz w:val="28"/>
          <w:szCs w:val="28"/>
        </w:rPr>
        <w:t>Erythromycin 250mg Gastro-resistant Tablets has no influence on the ability to drive and use machines.</w:t>
      </w:r>
    </w:p>
    <w:p w14:paraId="620A3A3B" w14:textId="77777777" w:rsidR="00493D17" w:rsidRDefault="00000000" w:rsidP="00493D17">
      <w:pPr>
        <w:pStyle w:val="Heading4"/>
        <w:numPr>
          <w:ilvl w:val="1"/>
          <w:numId w:val="5"/>
        </w:numPr>
        <w:tabs>
          <w:tab w:val="center" w:pos="1785"/>
        </w:tabs>
        <w:spacing w:after="240" w:line="271" w:lineRule="auto"/>
        <w:ind w:left="788" w:hanging="431"/>
        <w:rPr>
          <w:sz w:val="28"/>
          <w:szCs w:val="28"/>
        </w:rPr>
      </w:pPr>
      <w:r w:rsidRPr="00722E38">
        <w:rPr>
          <w:sz w:val="28"/>
          <w:szCs w:val="28"/>
        </w:rPr>
        <w:t>Undesirable effects</w:t>
      </w:r>
    </w:p>
    <w:p w14:paraId="5E658FF5" w14:textId="77777777" w:rsidR="00493D17" w:rsidRPr="00493D17" w:rsidRDefault="00000000" w:rsidP="00493D17">
      <w:pPr>
        <w:pStyle w:val="Heading4"/>
        <w:tabs>
          <w:tab w:val="center" w:pos="1785"/>
        </w:tabs>
        <w:spacing w:line="360" w:lineRule="auto"/>
        <w:ind w:left="792" w:firstLine="0"/>
        <w:jc w:val="thaiDistribute"/>
        <w:rPr>
          <w:b w:val="0"/>
          <w:bCs/>
          <w:sz w:val="28"/>
          <w:szCs w:val="28"/>
          <w:u w:val="single"/>
        </w:rPr>
      </w:pPr>
      <w:r w:rsidRPr="00493D17">
        <w:rPr>
          <w:b w:val="0"/>
          <w:bCs/>
          <w:sz w:val="28"/>
          <w:szCs w:val="28"/>
          <w:u w:val="single"/>
        </w:rPr>
        <w:t>Blood and lymphatic system disorders:</w:t>
      </w:r>
    </w:p>
    <w:p w14:paraId="66CF6962" w14:textId="77777777" w:rsidR="00493D17" w:rsidRPr="00493D17" w:rsidRDefault="00000000" w:rsidP="00493D17">
      <w:pPr>
        <w:pStyle w:val="Heading4"/>
        <w:tabs>
          <w:tab w:val="center" w:pos="1785"/>
        </w:tabs>
        <w:spacing w:after="240" w:line="360" w:lineRule="auto"/>
        <w:ind w:left="794" w:firstLine="0"/>
        <w:jc w:val="thaiDistribute"/>
        <w:rPr>
          <w:b w:val="0"/>
          <w:bCs/>
          <w:sz w:val="28"/>
          <w:szCs w:val="28"/>
        </w:rPr>
      </w:pPr>
      <w:r w:rsidRPr="00493D17">
        <w:rPr>
          <w:b w:val="0"/>
          <w:bCs/>
          <w:sz w:val="28"/>
          <w:szCs w:val="28"/>
        </w:rPr>
        <w:t>Eosinophilia.</w:t>
      </w:r>
    </w:p>
    <w:p w14:paraId="168B10F5" w14:textId="77777777" w:rsidR="00493D17" w:rsidRPr="00493D17" w:rsidRDefault="00000000" w:rsidP="00493D17">
      <w:pPr>
        <w:pStyle w:val="Heading4"/>
        <w:tabs>
          <w:tab w:val="center" w:pos="1785"/>
        </w:tabs>
        <w:spacing w:line="360" w:lineRule="auto"/>
        <w:ind w:left="792" w:firstLine="0"/>
        <w:jc w:val="thaiDistribute"/>
        <w:rPr>
          <w:b w:val="0"/>
          <w:bCs/>
          <w:sz w:val="28"/>
          <w:szCs w:val="28"/>
          <w:u w:val="single"/>
        </w:rPr>
      </w:pPr>
      <w:r w:rsidRPr="00493D17">
        <w:rPr>
          <w:b w:val="0"/>
          <w:bCs/>
          <w:sz w:val="28"/>
          <w:szCs w:val="28"/>
          <w:u w:val="single"/>
        </w:rPr>
        <w:t>Cardiac disorders SOC</w:t>
      </w:r>
    </w:p>
    <w:p w14:paraId="39E1D435" w14:textId="77777777" w:rsidR="00493D17" w:rsidRDefault="00000000" w:rsidP="00493D17">
      <w:pPr>
        <w:pStyle w:val="Heading4"/>
        <w:tabs>
          <w:tab w:val="center" w:pos="1785"/>
        </w:tabs>
        <w:spacing w:after="240" w:line="360" w:lineRule="auto"/>
        <w:ind w:left="794" w:firstLine="0"/>
        <w:jc w:val="thaiDistribute"/>
        <w:rPr>
          <w:b w:val="0"/>
          <w:bCs/>
          <w:sz w:val="28"/>
          <w:szCs w:val="28"/>
        </w:rPr>
      </w:pPr>
      <w:r w:rsidRPr="00493D17">
        <w:rPr>
          <w:b w:val="0"/>
          <w:bCs/>
          <w:sz w:val="28"/>
          <w:szCs w:val="28"/>
        </w:rPr>
        <w:t>QTc interval prolongation, torsades de pointes, palpitations, and</w:t>
      </w:r>
      <w:r w:rsidR="00493D17" w:rsidRPr="00493D17">
        <w:rPr>
          <w:b w:val="0"/>
          <w:bCs/>
          <w:sz w:val="28"/>
          <w:szCs w:val="28"/>
        </w:rPr>
        <w:t xml:space="preserve"> </w:t>
      </w:r>
      <w:r w:rsidRPr="00493D17">
        <w:rPr>
          <w:b w:val="0"/>
          <w:bCs/>
          <w:sz w:val="28"/>
          <w:szCs w:val="28"/>
        </w:rPr>
        <w:t>cardiac rhythm disorders including ventricular tachyarrhythmias.</w:t>
      </w:r>
      <w:r w:rsidR="00493D17">
        <w:rPr>
          <w:b w:val="0"/>
          <w:bCs/>
          <w:sz w:val="28"/>
          <w:szCs w:val="28"/>
        </w:rPr>
        <w:t xml:space="preserve"> </w:t>
      </w:r>
      <w:r w:rsidRPr="00493D17">
        <w:rPr>
          <w:b w:val="0"/>
          <w:bCs/>
          <w:sz w:val="28"/>
          <w:szCs w:val="28"/>
        </w:rPr>
        <w:t>Cardiac arrest, ventricular fibrillation (frequency not known).</w:t>
      </w:r>
    </w:p>
    <w:p w14:paraId="6EC14B1D" w14:textId="77777777" w:rsidR="00493D17" w:rsidRPr="00493D17" w:rsidRDefault="00000000" w:rsidP="00493D17">
      <w:pPr>
        <w:pStyle w:val="Heading4"/>
        <w:tabs>
          <w:tab w:val="center" w:pos="1785"/>
        </w:tabs>
        <w:spacing w:line="360" w:lineRule="auto"/>
        <w:ind w:left="792" w:firstLine="0"/>
        <w:jc w:val="thaiDistribute"/>
        <w:rPr>
          <w:b w:val="0"/>
          <w:bCs/>
          <w:sz w:val="28"/>
          <w:szCs w:val="28"/>
          <w:u w:val="single"/>
        </w:rPr>
      </w:pPr>
      <w:r w:rsidRPr="00493D17">
        <w:rPr>
          <w:b w:val="0"/>
          <w:bCs/>
          <w:sz w:val="28"/>
          <w:szCs w:val="28"/>
          <w:u w:val="single"/>
        </w:rPr>
        <w:t>Ear and labyrinth disorders</w:t>
      </w:r>
    </w:p>
    <w:p w14:paraId="14150257" w14:textId="77777777" w:rsidR="00493D17" w:rsidRPr="00493D17" w:rsidRDefault="00000000" w:rsidP="00493D17">
      <w:pPr>
        <w:pStyle w:val="Heading4"/>
        <w:tabs>
          <w:tab w:val="center" w:pos="1785"/>
        </w:tabs>
        <w:spacing w:after="240" w:line="360" w:lineRule="auto"/>
        <w:ind w:left="794" w:firstLine="0"/>
        <w:jc w:val="thaiDistribute"/>
        <w:rPr>
          <w:b w:val="0"/>
          <w:bCs/>
          <w:sz w:val="28"/>
          <w:szCs w:val="28"/>
        </w:rPr>
      </w:pPr>
      <w:r w:rsidRPr="00493D17">
        <w:rPr>
          <w:b w:val="0"/>
          <w:bCs/>
          <w:sz w:val="28"/>
          <w:szCs w:val="28"/>
        </w:rPr>
        <w:t>Deafness, tinnitus</w:t>
      </w:r>
      <w:r w:rsidR="00493D17" w:rsidRPr="00493D17">
        <w:rPr>
          <w:b w:val="0"/>
          <w:bCs/>
          <w:sz w:val="28"/>
          <w:szCs w:val="28"/>
        </w:rPr>
        <w:t xml:space="preserve"> </w:t>
      </w:r>
      <w:r w:rsidRPr="00493D17">
        <w:rPr>
          <w:b w:val="0"/>
          <w:bCs/>
          <w:sz w:val="28"/>
          <w:szCs w:val="28"/>
        </w:rPr>
        <w:t>There have been isolated reports of reversible hearing loss occurring chiefly in patients with renal insufficiency or high doses.</w:t>
      </w:r>
    </w:p>
    <w:p w14:paraId="326238F5" w14:textId="77777777" w:rsidR="00493D17" w:rsidRPr="00493D17" w:rsidRDefault="00000000" w:rsidP="00493D17">
      <w:pPr>
        <w:pStyle w:val="Heading4"/>
        <w:tabs>
          <w:tab w:val="center" w:pos="1785"/>
        </w:tabs>
        <w:spacing w:line="360" w:lineRule="auto"/>
        <w:ind w:left="792" w:firstLine="0"/>
        <w:jc w:val="thaiDistribute"/>
        <w:rPr>
          <w:b w:val="0"/>
          <w:bCs/>
          <w:sz w:val="28"/>
          <w:szCs w:val="28"/>
          <w:u w:val="single"/>
        </w:rPr>
      </w:pPr>
      <w:r w:rsidRPr="00493D17">
        <w:rPr>
          <w:b w:val="0"/>
          <w:bCs/>
          <w:sz w:val="28"/>
          <w:szCs w:val="28"/>
          <w:u w:val="single"/>
        </w:rPr>
        <w:t>Eye disorders</w:t>
      </w:r>
    </w:p>
    <w:p w14:paraId="361CDC74" w14:textId="77777777" w:rsidR="00493D17" w:rsidRPr="00493D17" w:rsidRDefault="00000000" w:rsidP="00493D17">
      <w:pPr>
        <w:pStyle w:val="Heading4"/>
        <w:tabs>
          <w:tab w:val="center" w:pos="1785"/>
        </w:tabs>
        <w:spacing w:after="240" w:line="360" w:lineRule="auto"/>
        <w:ind w:left="794" w:firstLine="0"/>
        <w:jc w:val="thaiDistribute"/>
        <w:rPr>
          <w:b w:val="0"/>
          <w:bCs/>
          <w:sz w:val="28"/>
          <w:szCs w:val="28"/>
        </w:rPr>
      </w:pPr>
      <w:r w:rsidRPr="00493D17">
        <w:rPr>
          <w:b w:val="0"/>
          <w:bCs/>
          <w:sz w:val="28"/>
          <w:szCs w:val="28"/>
        </w:rPr>
        <w:t>Mitochondrial Optic Neuropathy</w:t>
      </w:r>
    </w:p>
    <w:p w14:paraId="7142A420" w14:textId="77777777" w:rsidR="00493D17" w:rsidRPr="00493D17" w:rsidRDefault="00000000" w:rsidP="00493D17">
      <w:pPr>
        <w:pStyle w:val="Heading4"/>
        <w:tabs>
          <w:tab w:val="center" w:pos="1785"/>
        </w:tabs>
        <w:spacing w:line="360" w:lineRule="auto"/>
        <w:ind w:left="792" w:firstLine="0"/>
        <w:jc w:val="thaiDistribute"/>
        <w:rPr>
          <w:b w:val="0"/>
          <w:bCs/>
          <w:u w:val="single"/>
        </w:rPr>
      </w:pPr>
      <w:r w:rsidRPr="00493D17">
        <w:rPr>
          <w:b w:val="0"/>
          <w:bCs/>
          <w:sz w:val="28"/>
          <w:szCs w:val="28"/>
          <w:u w:val="single"/>
        </w:rPr>
        <w:t>Gastrointestinal disorders</w:t>
      </w:r>
      <w:r w:rsidR="00493D17" w:rsidRPr="00493D17">
        <w:rPr>
          <w:b w:val="0"/>
          <w:bCs/>
          <w:u w:val="single"/>
        </w:rPr>
        <w:t xml:space="preserve"> </w:t>
      </w:r>
    </w:p>
    <w:p w14:paraId="41CD4B45" w14:textId="1E384F30" w:rsidR="00493D17" w:rsidRPr="00493D17" w:rsidRDefault="00493D17" w:rsidP="00493D17">
      <w:pPr>
        <w:pStyle w:val="Heading4"/>
        <w:tabs>
          <w:tab w:val="center" w:pos="1785"/>
        </w:tabs>
        <w:spacing w:after="240" w:line="360" w:lineRule="auto"/>
        <w:ind w:left="794" w:firstLine="0"/>
        <w:jc w:val="thaiDistribute"/>
        <w:rPr>
          <w:b w:val="0"/>
          <w:bCs/>
          <w:sz w:val="28"/>
          <w:szCs w:val="28"/>
        </w:rPr>
      </w:pPr>
      <w:r w:rsidRPr="00493D17">
        <w:rPr>
          <w:b w:val="0"/>
          <w:bCs/>
          <w:sz w:val="28"/>
          <w:szCs w:val="28"/>
        </w:rPr>
        <w:t>The most frequent side effects of oral erythromycin preparations are gastrointestinal and are dose-related. The following have been reported: upper abdominal discomfort, nausea, vomiting, diarrhoea, pancreatitis, anorexia, infantile hypertrophic pyloric stenosis.</w:t>
      </w:r>
    </w:p>
    <w:p w14:paraId="06DCA943" w14:textId="77777777" w:rsidR="00493D17" w:rsidRDefault="00493D17" w:rsidP="00493D17">
      <w:pPr>
        <w:pStyle w:val="Heading4"/>
        <w:tabs>
          <w:tab w:val="center" w:pos="1785"/>
        </w:tabs>
        <w:spacing w:after="240" w:line="360" w:lineRule="auto"/>
        <w:ind w:left="794" w:firstLine="0"/>
        <w:jc w:val="thaiDistribute"/>
        <w:rPr>
          <w:b w:val="0"/>
          <w:bCs/>
          <w:sz w:val="28"/>
          <w:szCs w:val="28"/>
        </w:rPr>
      </w:pPr>
      <w:r w:rsidRPr="00493D17">
        <w:rPr>
          <w:b w:val="0"/>
          <w:bCs/>
          <w:sz w:val="28"/>
          <w:szCs w:val="28"/>
        </w:rPr>
        <w:t>Pseudomembranous colitis has been rarely reported in association with erythromycin therapy (see section 4.4).</w:t>
      </w:r>
    </w:p>
    <w:p w14:paraId="43EE1135" w14:textId="77777777" w:rsidR="00493D17" w:rsidRPr="00493D17" w:rsidRDefault="00000000" w:rsidP="002320B2">
      <w:pPr>
        <w:pStyle w:val="Heading4"/>
        <w:tabs>
          <w:tab w:val="center" w:pos="1785"/>
        </w:tabs>
        <w:spacing w:line="360" w:lineRule="auto"/>
        <w:ind w:left="792" w:firstLine="0"/>
        <w:jc w:val="thaiDistribute"/>
        <w:rPr>
          <w:b w:val="0"/>
          <w:bCs/>
          <w:sz w:val="28"/>
          <w:szCs w:val="28"/>
          <w:u w:val="single"/>
        </w:rPr>
      </w:pPr>
      <w:r w:rsidRPr="00493D17">
        <w:rPr>
          <w:b w:val="0"/>
          <w:bCs/>
          <w:sz w:val="28"/>
          <w:szCs w:val="28"/>
          <w:u w:val="single"/>
        </w:rPr>
        <w:lastRenderedPageBreak/>
        <w:t xml:space="preserve">General disorders and administration site conditions </w:t>
      </w:r>
    </w:p>
    <w:p w14:paraId="7C188286" w14:textId="77777777" w:rsidR="00493D17" w:rsidRDefault="00000000" w:rsidP="002320B2">
      <w:pPr>
        <w:pStyle w:val="Heading4"/>
        <w:tabs>
          <w:tab w:val="center" w:pos="1785"/>
        </w:tabs>
        <w:spacing w:after="240" w:line="360" w:lineRule="auto"/>
        <w:ind w:left="794" w:firstLine="0"/>
        <w:jc w:val="thaiDistribute"/>
        <w:rPr>
          <w:b w:val="0"/>
          <w:bCs/>
          <w:sz w:val="28"/>
          <w:szCs w:val="28"/>
        </w:rPr>
      </w:pPr>
      <w:r w:rsidRPr="00493D17">
        <w:rPr>
          <w:b w:val="0"/>
          <w:bCs/>
          <w:sz w:val="28"/>
          <w:szCs w:val="28"/>
        </w:rPr>
        <w:t>Chest pain, fever, malaise.</w:t>
      </w:r>
    </w:p>
    <w:p w14:paraId="725C549A" w14:textId="77777777" w:rsidR="00493D17" w:rsidRDefault="00000000" w:rsidP="002320B2">
      <w:pPr>
        <w:pStyle w:val="Heading4"/>
        <w:tabs>
          <w:tab w:val="center" w:pos="1785"/>
        </w:tabs>
        <w:spacing w:line="360" w:lineRule="auto"/>
        <w:ind w:left="792" w:firstLine="0"/>
        <w:jc w:val="thaiDistribute"/>
      </w:pPr>
      <w:r w:rsidRPr="00493D17">
        <w:rPr>
          <w:b w:val="0"/>
          <w:bCs/>
          <w:sz w:val="28"/>
          <w:szCs w:val="28"/>
          <w:u w:val="single"/>
        </w:rPr>
        <w:t>Hepatobiliary disorders</w:t>
      </w:r>
      <w:r w:rsidR="00493D17" w:rsidRPr="00493D17">
        <w:t xml:space="preserve"> </w:t>
      </w:r>
    </w:p>
    <w:p w14:paraId="72DF2C89" w14:textId="77777777" w:rsidR="00493D17" w:rsidRDefault="00493D17" w:rsidP="002320B2">
      <w:pPr>
        <w:pStyle w:val="Heading4"/>
        <w:tabs>
          <w:tab w:val="center" w:pos="1785"/>
        </w:tabs>
        <w:spacing w:after="240" w:line="360" w:lineRule="auto"/>
        <w:ind w:left="794" w:firstLine="0"/>
        <w:jc w:val="thaiDistribute"/>
        <w:rPr>
          <w:b w:val="0"/>
          <w:bCs/>
          <w:sz w:val="28"/>
          <w:szCs w:val="28"/>
        </w:rPr>
      </w:pPr>
      <w:r w:rsidRPr="00493D17">
        <w:rPr>
          <w:b w:val="0"/>
          <w:bCs/>
          <w:sz w:val="28"/>
          <w:szCs w:val="28"/>
        </w:rPr>
        <w:t>Cholestatic hepatitis, jaundice, hepatic disfunction, hepatomegaly, hepatic failure, hepatocellular hepatitis (see section 4.4).</w:t>
      </w:r>
    </w:p>
    <w:p w14:paraId="0D841116" w14:textId="77777777" w:rsidR="00493D17" w:rsidRDefault="00000000" w:rsidP="002320B2">
      <w:pPr>
        <w:pStyle w:val="Heading4"/>
        <w:tabs>
          <w:tab w:val="center" w:pos="1785"/>
        </w:tabs>
        <w:spacing w:after="0" w:line="360" w:lineRule="auto"/>
        <w:ind w:left="794" w:firstLine="0"/>
        <w:jc w:val="thaiDistribute"/>
      </w:pPr>
      <w:r w:rsidRPr="00493D17">
        <w:rPr>
          <w:b w:val="0"/>
          <w:bCs/>
          <w:sz w:val="28"/>
          <w:szCs w:val="28"/>
          <w:u w:val="single"/>
        </w:rPr>
        <w:t>Immune system disorders</w:t>
      </w:r>
      <w:r w:rsidR="00493D17" w:rsidRPr="00493D17">
        <w:t xml:space="preserve"> </w:t>
      </w:r>
    </w:p>
    <w:p w14:paraId="31103015" w14:textId="77777777" w:rsidR="00493D17" w:rsidRDefault="00493D17" w:rsidP="002320B2">
      <w:pPr>
        <w:pStyle w:val="Heading4"/>
        <w:tabs>
          <w:tab w:val="center" w:pos="1785"/>
        </w:tabs>
        <w:spacing w:after="240" w:line="360" w:lineRule="auto"/>
        <w:ind w:left="794" w:firstLine="0"/>
        <w:jc w:val="thaiDistribute"/>
        <w:rPr>
          <w:b w:val="0"/>
          <w:bCs/>
          <w:sz w:val="28"/>
          <w:szCs w:val="28"/>
        </w:rPr>
      </w:pPr>
      <w:r w:rsidRPr="00493D17">
        <w:rPr>
          <w:b w:val="0"/>
          <w:bCs/>
          <w:sz w:val="28"/>
          <w:szCs w:val="28"/>
        </w:rPr>
        <w:t>Allergic reactions ranging from urticaria and mild skin eruptions to anaphylaxis have occurred.</w:t>
      </w:r>
    </w:p>
    <w:p w14:paraId="29E237D2" w14:textId="77777777" w:rsidR="00493D17" w:rsidRDefault="00000000" w:rsidP="002320B2">
      <w:pPr>
        <w:pStyle w:val="Heading4"/>
        <w:tabs>
          <w:tab w:val="center" w:pos="1785"/>
        </w:tabs>
        <w:spacing w:after="0" w:line="360" w:lineRule="auto"/>
        <w:ind w:left="794" w:firstLine="0"/>
        <w:jc w:val="thaiDistribute"/>
        <w:rPr>
          <w:b w:val="0"/>
          <w:bCs/>
          <w:sz w:val="28"/>
          <w:szCs w:val="28"/>
          <w:u w:val="single"/>
        </w:rPr>
      </w:pPr>
      <w:r w:rsidRPr="00493D17">
        <w:rPr>
          <w:b w:val="0"/>
          <w:bCs/>
          <w:sz w:val="28"/>
          <w:szCs w:val="28"/>
          <w:u w:val="single"/>
        </w:rPr>
        <w:t>Investigations</w:t>
      </w:r>
    </w:p>
    <w:p w14:paraId="31050000" w14:textId="21328342" w:rsidR="00DD1EBA" w:rsidRPr="00493D17" w:rsidRDefault="00000000" w:rsidP="002320B2">
      <w:pPr>
        <w:pStyle w:val="Heading4"/>
        <w:tabs>
          <w:tab w:val="center" w:pos="1785"/>
        </w:tabs>
        <w:spacing w:after="240" w:line="360" w:lineRule="auto"/>
        <w:ind w:left="794" w:firstLine="0"/>
        <w:jc w:val="thaiDistribute"/>
        <w:rPr>
          <w:b w:val="0"/>
          <w:bCs/>
          <w:sz w:val="28"/>
          <w:szCs w:val="28"/>
          <w:u w:val="single"/>
        </w:rPr>
      </w:pPr>
      <w:r w:rsidRPr="00493D17">
        <w:rPr>
          <w:b w:val="0"/>
          <w:bCs/>
          <w:sz w:val="28"/>
          <w:szCs w:val="28"/>
        </w:rPr>
        <w:t>Increased liver enzyme values.</w:t>
      </w:r>
    </w:p>
    <w:p w14:paraId="5E53005E" w14:textId="77777777" w:rsidR="002320B2" w:rsidRDefault="00000000" w:rsidP="002320B2">
      <w:pPr>
        <w:pStyle w:val="Heading2"/>
        <w:spacing w:line="360" w:lineRule="auto"/>
        <w:ind w:left="895"/>
        <w:jc w:val="thaiDistribute"/>
      </w:pPr>
      <w:r w:rsidRPr="002320B2">
        <w:rPr>
          <w:b w:val="0"/>
          <w:bCs/>
          <w:sz w:val="28"/>
          <w:szCs w:val="28"/>
          <w:u w:val="single"/>
        </w:rPr>
        <w:t>Nervous system disorders</w:t>
      </w:r>
      <w:r w:rsidR="002320B2" w:rsidRPr="002320B2">
        <w:t xml:space="preserve"> </w:t>
      </w:r>
    </w:p>
    <w:p w14:paraId="69051361" w14:textId="77777777" w:rsidR="002320B2" w:rsidRDefault="002320B2" w:rsidP="002320B2">
      <w:pPr>
        <w:pStyle w:val="Heading2"/>
        <w:spacing w:after="240" w:line="360" w:lineRule="auto"/>
        <w:ind w:left="896" w:hanging="11"/>
        <w:jc w:val="thaiDistribute"/>
        <w:rPr>
          <w:b w:val="0"/>
          <w:bCs/>
          <w:sz w:val="28"/>
          <w:szCs w:val="28"/>
        </w:rPr>
      </w:pPr>
      <w:r w:rsidRPr="002320B2">
        <w:rPr>
          <w:b w:val="0"/>
          <w:bCs/>
          <w:sz w:val="28"/>
          <w:szCs w:val="28"/>
        </w:rPr>
        <w:t>There have been isolated reports of transient central nervous system side effects including confusion, seizures and vertigo; however, a cause and effect relationship has not been established.</w:t>
      </w:r>
    </w:p>
    <w:p w14:paraId="4EA7DB5B" w14:textId="77777777" w:rsidR="002320B2" w:rsidRPr="002320B2" w:rsidRDefault="00000000" w:rsidP="002320B2">
      <w:pPr>
        <w:pStyle w:val="Heading2"/>
        <w:spacing w:line="360" w:lineRule="auto"/>
        <w:ind w:left="895"/>
        <w:jc w:val="thaiDistribute"/>
        <w:rPr>
          <w:b w:val="0"/>
          <w:bCs/>
          <w:sz w:val="28"/>
          <w:szCs w:val="28"/>
          <w:u w:val="single"/>
        </w:rPr>
      </w:pPr>
      <w:r w:rsidRPr="002320B2">
        <w:rPr>
          <w:b w:val="0"/>
          <w:bCs/>
          <w:sz w:val="28"/>
          <w:szCs w:val="28"/>
          <w:u w:val="single"/>
        </w:rPr>
        <w:t>Psychiatric disorders</w:t>
      </w:r>
    </w:p>
    <w:p w14:paraId="23DEBAAF" w14:textId="77777777" w:rsidR="002320B2" w:rsidRDefault="00000000" w:rsidP="002320B2">
      <w:pPr>
        <w:pStyle w:val="Heading2"/>
        <w:spacing w:after="240" w:line="360" w:lineRule="auto"/>
        <w:ind w:left="896" w:hanging="11"/>
        <w:jc w:val="thaiDistribute"/>
        <w:rPr>
          <w:b w:val="0"/>
          <w:bCs/>
          <w:sz w:val="28"/>
          <w:szCs w:val="28"/>
        </w:rPr>
      </w:pPr>
      <w:r w:rsidRPr="002320B2">
        <w:rPr>
          <w:b w:val="0"/>
          <w:bCs/>
          <w:sz w:val="28"/>
          <w:szCs w:val="28"/>
        </w:rPr>
        <w:t>Hallucinations</w:t>
      </w:r>
    </w:p>
    <w:p w14:paraId="4BFB79F3" w14:textId="77777777" w:rsidR="002320B2" w:rsidRDefault="00000000" w:rsidP="002320B2">
      <w:pPr>
        <w:pStyle w:val="Heading2"/>
        <w:spacing w:after="0" w:line="360" w:lineRule="auto"/>
        <w:ind w:left="896" w:hanging="11"/>
        <w:jc w:val="thaiDistribute"/>
        <w:rPr>
          <w:b w:val="0"/>
          <w:bCs/>
          <w:sz w:val="28"/>
          <w:szCs w:val="28"/>
          <w:u w:val="single"/>
        </w:rPr>
      </w:pPr>
      <w:r w:rsidRPr="002320B2">
        <w:rPr>
          <w:b w:val="0"/>
          <w:bCs/>
          <w:sz w:val="28"/>
          <w:szCs w:val="28"/>
          <w:u w:val="single"/>
        </w:rPr>
        <w:t>Renal and urinary disorders</w:t>
      </w:r>
    </w:p>
    <w:p w14:paraId="70B61B22" w14:textId="77777777" w:rsidR="002320B2" w:rsidRDefault="00000000" w:rsidP="002320B2">
      <w:pPr>
        <w:pStyle w:val="Heading2"/>
        <w:spacing w:after="240" w:line="360" w:lineRule="auto"/>
        <w:ind w:left="896" w:hanging="11"/>
        <w:jc w:val="thaiDistribute"/>
        <w:rPr>
          <w:b w:val="0"/>
          <w:bCs/>
          <w:sz w:val="28"/>
          <w:szCs w:val="28"/>
          <w:u w:val="single"/>
        </w:rPr>
      </w:pPr>
      <w:r w:rsidRPr="002320B2">
        <w:rPr>
          <w:b w:val="0"/>
          <w:bCs/>
          <w:sz w:val="28"/>
          <w:szCs w:val="28"/>
        </w:rPr>
        <w:t>Interstitial nephritis</w:t>
      </w:r>
    </w:p>
    <w:p w14:paraId="0BD6FF9D" w14:textId="77777777" w:rsidR="002320B2" w:rsidRDefault="00000000" w:rsidP="002320B2">
      <w:pPr>
        <w:pStyle w:val="Heading2"/>
        <w:spacing w:after="0" w:line="360" w:lineRule="auto"/>
        <w:ind w:left="896" w:hanging="11"/>
        <w:jc w:val="thaiDistribute"/>
      </w:pPr>
      <w:r w:rsidRPr="002320B2">
        <w:rPr>
          <w:b w:val="0"/>
          <w:bCs/>
          <w:sz w:val="28"/>
          <w:szCs w:val="28"/>
          <w:u w:val="single"/>
        </w:rPr>
        <w:t>Skin and subcutaneous tissue disorders</w:t>
      </w:r>
      <w:r w:rsidR="002320B2" w:rsidRPr="002320B2">
        <w:t xml:space="preserve"> </w:t>
      </w:r>
    </w:p>
    <w:p w14:paraId="74335E37" w14:textId="77777777" w:rsidR="002320B2" w:rsidRDefault="002320B2" w:rsidP="002320B2">
      <w:pPr>
        <w:pStyle w:val="Heading2"/>
        <w:spacing w:after="240" w:line="360" w:lineRule="auto"/>
        <w:ind w:left="896" w:hanging="11"/>
        <w:jc w:val="thaiDistribute"/>
        <w:rPr>
          <w:b w:val="0"/>
          <w:bCs/>
          <w:sz w:val="28"/>
          <w:szCs w:val="28"/>
        </w:rPr>
      </w:pPr>
      <w:r w:rsidRPr="002320B2">
        <w:rPr>
          <w:b w:val="0"/>
          <w:bCs/>
          <w:sz w:val="28"/>
          <w:szCs w:val="28"/>
        </w:rPr>
        <w:t>Skin</w:t>
      </w:r>
      <w:r w:rsidRPr="002320B2">
        <w:rPr>
          <w:b w:val="0"/>
          <w:bCs/>
          <w:sz w:val="28"/>
          <w:szCs w:val="28"/>
        </w:rPr>
        <w:tab/>
        <w:t>eruptions,</w:t>
      </w:r>
      <w:r w:rsidRPr="002320B2">
        <w:rPr>
          <w:b w:val="0"/>
          <w:bCs/>
          <w:sz w:val="28"/>
          <w:szCs w:val="28"/>
        </w:rPr>
        <w:tab/>
        <w:t>pruritus,</w:t>
      </w:r>
      <w:r w:rsidRPr="002320B2">
        <w:rPr>
          <w:b w:val="0"/>
          <w:bCs/>
          <w:sz w:val="28"/>
          <w:szCs w:val="28"/>
        </w:rPr>
        <w:tab/>
        <w:t>urticaria,</w:t>
      </w:r>
      <w:r w:rsidRPr="002320B2">
        <w:rPr>
          <w:b w:val="0"/>
          <w:bCs/>
          <w:sz w:val="28"/>
          <w:szCs w:val="28"/>
        </w:rPr>
        <w:tab/>
        <w:t>exanthema,</w:t>
      </w:r>
      <w:r w:rsidRPr="002320B2">
        <w:rPr>
          <w:b w:val="0"/>
          <w:bCs/>
          <w:sz w:val="28"/>
          <w:szCs w:val="28"/>
        </w:rPr>
        <w:tab/>
        <w:t>angioedema, Stevens-Johnson syndrome, toxic epidermal necrolysis, erythema multiforme.</w:t>
      </w:r>
      <w:r w:rsidR="00000000" w:rsidRPr="002320B2">
        <w:rPr>
          <w:b w:val="0"/>
          <w:bCs/>
          <w:sz w:val="28"/>
          <w:szCs w:val="28"/>
        </w:rPr>
        <w:t>Not known: acute generalised exanthematous pustulosis (AGEP)</w:t>
      </w:r>
    </w:p>
    <w:p w14:paraId="1EFB9FF9" w14:textId="77777777" w:rsidR="002320B2" w:rsidRDefault="00000000" w:rsidP="002320B2">
      <w:pPr>
        <w:pStyle w:val="Heading2"/>
        <w:spacing w:after="0" w:line="360" w:lineRule="auto"/>
        <w:ind w:left="896" w:hanging="11"/>
        <w:jc w:val="thaiDistribute"/>
        <w:rPr>
          <w:b w:val="0"/>
          <w:bCs/>
          <w:sz w:val="28"/>
          <w:szCs w:val="28"/>
          <w:u w:val="single"/>
        </w:rPr>
      </w:pPr>
      <w:r w:rsidRPr="002320B2">
        <w:rPr>
          <w:b w:val="0"/>
          <w:bCs/>
          <w:sz w:val="28"/>
          <w:szCs w:val="28"/>
          <w:u w:val="single"/>
        </w:rPr>
        <w:lastRenderedPageBreak/>
        <w:t xml:space="preserve">Vascular disorders </w:t>
      </w:r>
    </w:p>
    <w:p w14:paraId="3138C378" w14:textId="77777777" w:rsidR="002320B2" w:rsidRDefault="00000000" w:rsidP="002320B2">
      <w:pPr>
        <w:pStyle w:val="Heading2"/>
        <w:spacing w:after="240" w:line="360" w:lineRule="auto"/>
        <w:ind w:left="896" w:hanging="11"/>
        <w:jc w:val="thaiDistribute"/>
        <w:rPr>
          <w:b w:val="0"/>
          <w:bCs/>
          <w:sz w:val="28"/>
          <w:szCs w:val="28"/>
          <w:u w:val="single"/>
        </w:rPr>
      </w:pPr>
      <w:r w:rsidRPr="002320B2">
        <w:rPr>
          <w:b w:val="0"/>
          <w:bCs/>
          <w:sz w:val="28"/>
          <w:szCs w:val="28"/>
        </w:rPr>
        <w:t>Hypotension.</w:t>
      </w:r>
    </w:p>
    <w:p w14:paraId="26094610" w14:textId="77777777" w:rsidR="002320B2" w:rsidRDefault="00000000" w:rsidP="002320B2">
      <w:pPr>
        <w:pStyle w:val="Heading2"/>
        <w:spacing w:after="0" w:line="360" w:lineRule="auto"/>
        <w:ind w:left="896" w:hanging="11"/>
        <w:jc w:val="thaiDistribute"/>
      </w:pPr>
      <w:r w:rsidRPr="002320B2">
        <w:rPr>
          <w:b w:val="0"/>
          <w:bCs/>
          <w:sz w:val="28"/>
          <w:szCs w:val="28"/>
          <w:u w:val="single"/>
        </w:rPr>
        <w:t>Reporting of suspected adverse reactions</w:t>
      </w:r>
      <w:r w:rsidR="002320B2" w:rsidRPr="002320B2">
        <w:t xml:space="preserve"> </w:t>
      </w:r>
    </w:p>
    <w:p w14:paraId="2BF32194" w14:textId="7ADA419E" w:rsidR="00DD1EBA" w:rsidRPr="002320B2" w:rsidRDefault="002320B2" w:rsidP="002320B2">
      <w:pPr>
        <w:pStyle w:val="Heading2"/>
        <w:spacing w:after="240" w:line="360" w:lineRule="auto"/>
        <w:ind w:left="896" w:hanging="11"/>
        <w:jc w:val="thaiDistribute"/>
        <w:rPr>
          <w:b w:val="0"/>
          <w:bCs/>
          <w:sz w:val="28"/>
          <w:szCs w:val="28"/>
        </w:rPr>
      </w:pPr>
      <w:r w:rsidRPr="002320B2">
        <w:rPr>
          <w:b w:val="0"/>
          <w:bCs/>
          <w:sz w:val="28"/>
          <w:szCs w:val="28"/>
        </w:rPr>
        <w:t>Reporting</w:t>
      </w:r>
      <w:r w:rsidRPr="002320B2">
        <w:rPr>
          <w:b w:val="0"/>
          <w:bCs/>
          <w:sz w:val="28"/>
          <w:szCs w:val="28"/>
        </w:rPr>
        <w:tab/>
        <w:t>suspected</w:t>
      </w:r>
      <w:r w:rsidRPr="002320B2">
        <w:rPr>
          <w:b w:val="0"/>
          <w:bCs/>
          <w:sz w:val="28"/>
          <w:szCs w:val="28"/>
        </w:rPr>
        <w:tab/>
        <w:t>adverse</w:t>
      </w:r>
      <w:r w:rsidRPr="002320B2">
        <w:rPr>
          <w:b w:val="0"/>
          <w:bCs/>
          <w:sz w:val="28"/>
          <w:szCs w:val="28"/>
        </w:rPr>
        <w:tab/>
        <w:t>reactions</w:t>
      </w:r>
      <w:r w:rsidRPr="002320B2">
        <w:rPr>
          <w:b w:val="0"/>
          <w:bCs/>
          <w:sz w:val="28"/>
          <w:szCs w:val="28"/>
        </w:rPr>
        <w:tab/>
        <w:t>after</w:t>
      </w:r>
      <w:r w:rsidRPr="002320B2">
        <w:rPr>
          <w:b w:val="0"/>
          <w:bCs/>
          <w:sz w:val="28"/>
          <w:szCs w:val="28"/>
        </w:rPr>
        <w:tab/>
        <w:t>authorisation</w:t>
      </w:r>
      <w:r>
        <w:rPr>
          <w:b w:val="0"/>
          <w:bCs/>
          <w:sz w:val="28"/>
          <w:szCs w:val="28"/>
        </w:rPr>
        <w:t xml:space="preserve"> </w:t>
      </w:r>
      <w:r w:rsidRPr="002320B2">
        <w:rPr>
          <w:b w:val="0"/>
          <w:bCs/>
          <w:sz w:val="28"/>
          <w:szCs w:val="28"/>
        </w:rPr>
        <w:t>of</w:t>
      </w:r>
      <w:r w:rsidRPr="002320B2">
        <w:rPr>
          <w:b w:val="0"/>
          <w:bCs/>
          <w:sz w:val="28"/>
          <w:szCs w:val="28"/>
        </w:rPr>
        <w:tab/>
        <w:t>the</w:t>
      </w:r>
      <w:r>
        <w:rPr>
          <w:b w:val="0"/>
          <w:bCs/>
          <w:sz w:val="28"/>
          <w:szCs w:val="28"/>
        </w:rPr>
        <w:t xml:space="preserve"> </w:t>
      </w:r>
      <w:r w:rsidRPr="002320B2">
        <w:rPr>
          <w:b w:val="0"/>
          <w:bCs/>
          <w:sz w:val="28"/>
          <w:szCs w:val="28"/>
        </w:rPr>
        <w:t>medicinal product is important. It allows continued monitoring of the benefit/risk balance of the medicinal product. Healthcare professionals are asked to report any suspected adverse reactions via Health Product Vigilance Center; HPVC</w:t>
      </w:r>
    </w:p>
    <w:p w14:paraId="73EED14C" w14:textId="77777777" w:rsidR="002320B2" w:rsidRDefault="00000000" w:rsidP="002320B2">
      <w:pPr>
        <w:pStyle w:val="Heading3"/>
        <w:numPr>
          <w:ilvl w:val="1"/>
          <w:numId w:val="5"/>
        </w:numPr>
        <w:tabs>
          <w:tab w:val="center" w:pos="1290"/>
        </w:tabs>
        <w:spacing w:after="240" w:line="271" w:lineRule="auto"/>
        <w:ind w:left="788" w:hanging="431"/>
        <w:rPr>
          <w:sz w:val="28"/>
          <w:szCs w:val="28"/>
        </w:rPr>
      </w:pPr>
      <w:r w:rsidRPr="00722E38">
        <w:rPr>
          <w:sz w:val="28"/>
          <w:szCs w:val="28"/>
        </w:rPr>
        <w:t>Overdose</w:t>
      </w:r>
      <w:r w:rsidR="002320B2" w:rsidRPr="002320B2">
        <w:t xml:space="preserve"> </w:t>
      </w:r>
    </w:p>
    <w:p w14:paraId="1DA13E78" w14:textId="14DCC143" w:rsidR="002320B2" w:rsidRPr="002320B2" w:rsidRDefault="002320B2" w:rsidP="002320B2">
      <w:pPr>
        <w:pStyle w:val="Heading3"/>
        <w:tabs>
          <w:tab w:val="center" w:pos="1290"/>
        </w:tabs>
        <w:spacing w:after="0" w:line="360" w:lineRule="auto"/>
        <w:ind w:left="792" w:firstLine="0"/>
        <w:rPr>
          <w:b w:val="0"/>
          <w:bCs/>
          <w:sz w:val="28"/>
          <w:szCs w:val="28"/>
        </w:rPr>
      </w:pPr>
      <w:r w:rsidRPr="002320B2">
        <w:rPr>
          <w:b w:val="0"/>
          <w:bCs/>
          <w:sz w:val="28"/>
          <w:szCs w:val="28"/>
        </w:rPr>
        <w:t>Symptoms: hearing loss, severe nausea, vomiting and diarrhoea.</w:t>
      </w:r>
    </w:p>
    <w:p w14:paraId="295BFC37" w14:textId="4DE63EF6" w:rsidR="00DD1EBA" w:rsidRPr="002320B2" w:rsidRDefault="002320B2" w:rsidP="002320B2">
      <w:pPr>
        <w:pStyle w:val="Heading3"/>
        <w:tabs>
          <w:tab w:val="center" w:pos="1290"/>
        </w:tabs>
        <w:spacing w:after="240" w:line="360" w:lineRule="auto"/>
        <w:ind w:left="794" w:firstLine="0"/>
        <w:rPr>
          <w:b w:val="0"/>
          <w:bCs/>
          <w:sz w:val="28"/>
          <w:szCs w:val="28"/>
        </w:rPr>
      </w:pPr>
      <w:r w:rsidRPr="002320B2">
        <w:rPr>
          <w:b w:val="0"/>
          <w:bCs/>
          <w:sz w:val="28"/>
          <w:szCs w:val="28"/>
        </w:rPr>
        <w:t>Treatment: gastric lavage, general supportive measures.</w:t>
      </w:r>
    </w:p>
    <w:p w14:paraId="1F384ECF" w14:textId="77777777" w:rsidR="002320B2" w:rsidRDefault="00000000" w:rsidP="002320B2">
      <w:pPr>
        <w:pStyle w:val="Heading1"/>
        <w:numPr>
          <w:ilvl w:val="0"/>
          <w:numId w:val="5"/>
        </w:numPr>
        <w:tabs>
          <w:tab w:val="center" w:pos="3225"/>
        </w:tabs>
        <w:spacing w:after="240" w:line="264" w:lineRule="auto"/>
        <w:ind w:left="357" w:right="0" w:hanging="357"/>
        <w:rPr>
          <w:szCs w:val="28"/>
        </w:rPr>
      </w:pPr>
      <w:r w:rsidRPr="00722E38">
        <w:rPr>
          <w:szCs w:val="28"/>
        </w:rPr>
        <w:t>PHARMACOLOGICAL PROPERTIES</w:t>
      </w:r>
    </w:p>
    <w:p w14:paraId="1C2683C9" w14:textId="77777777" w:rsidR="002320B2" w:rsidRDefault="00000000" w:rsidP="002320B2">
      <w:pPr>
        <w:pStyle w:val="Heading1"/>
        <w:numPr>
          <w:ilvl w:val="1"/>
          <w:numId w:val="5"/>
        </w:numPr>
        <w:tabs>
          <w:tab w:val="center" w:pos="3225"/>
        </w:tabs>
        <w:spacing w:after="240" w:line="264" w:lineRule="auto"/>
        <w:ind w:left="788" w:right="0" w:hanging="431"/>
        <w:rPr>
          <w:szCs w:val="28"/>
        </w:rPr>
      </w:pPr>
      <w:r w:rsidRPr="002320B2">
        <w:rPr>
          <w:szCs w:val="28"/>
        </w:rPr>
        <w:t>Pharmacodynamic properties</w:t>
      </w:r>
    </w:p>
    <w:p w14:paraId="7942204E" w14:textId="77777777" w:rsidR="002320B2" w:rsidRDefault="00000000" w:rsidP="002320B2">
      <w:pPr>
        <w:pStyle w:val="Heading1"/>
        <w:tabs>
          <w:tab w:val="center" w:pos="3225"/>
        </w:tabs>
        <w:spacing w:after="0" w:line="360" w:lineRule="auto"/>
        <w:ind w:left="792" w:right="0" w:firstLine="0"/>
        <w:rPr>
          <w:b w:val="0"/>
          <w:bCs/>
          <w:szCs w:val="28"/>
        </w:rPr>
      </w:pPr>
      <w:r w:rsidRPr="002320B2">
        <w:rPr>
          <w:b w:val="0"/>
          <w:bCs/>
          <w:szCs w:val="28"/>
        </w:rPr>
        <w:t>Pharmacotherapeutic Group: Macrolides</w:t>
      </w:r>
    </w:p>
    <w:p w14:paraId="36EDF1FF" w14:textId="77777777" w:rsidR="002320B2" w:rsidRDefault="00000000" w:rsidP="00A144D6">
      <w:pPr>
        <w:pStyle w:val="Heading1"/>
        <w:tabs>
          <w:tab w:val="center" w:pos="3225"/>
        </w:tabs>
        <w:spacing w:after="240" w:line="360" w:lineRule="auto"/>
        <w:ind w:left="794" w:right="0" w:firstLine="0"/>
      </w:pPr>
      <w:r w:rsidRPr="002320B2">
        <w:rPr>
          <w:b w:val="0"/>
          <w:bCs/>
          <w:szCs w:val="28"/>
        </w:rPr>
        <w:t>ATC Code: J01FA01</w:t>
      </w:r>
      <w:r w:rsidR="002320B2" w:rsidRPr="002320B2">
        <w:t xml:space="preserve"> </w:t>
      </w:r>
    </w:p>
    <w:p w14:paraId="7BE9DB8C" w14:textId="77777777" w:rsidR="00A144D6" w:rsidRDefault="002320B2" w:rsidP="00A144D6">
      <w:pPr>
        <w:pStyle w:val="Heading1"/>
        <w:tabs>
          <w:tab w:val="center" w:pos="3225"/>
        </w:tabs>
        <w:spacing w:line="360" w:lineRule="auto"/>
        <w:ind w:left="792" w:right="0" w:firstLine="0"/>
        <w:jc w:val="thaiDistribute"/>
        <w:rPr>
          <w:b w:val="0"/>
          <w:bCs/>
          <w:szCs w:val="28"/>
        </w:rPr>
      </w:pPr>
      <w:r w:rsidRPr="002320B2">
        <w:rPr>
          <w:b w:val="0"/>
          <w:bCs/>
          <w:szCs w:val="28"/>
        </w:rPr>
        <w:t>Erythromycin exerts its antimicrobial action by binding to the 50S</w:t>
      </w:r>
      <w:r w:rsidRPr="002320B2">
        <w:t xml:space="preserve"> </w:t>
      </w:r>
      <w:r w:rsidRPr="002320B2">
        <w:rPr>
          <w:b w:val="0"/>
          <w:bCs/>
          <w:szCs w:val="28"/>
        </w:rPr>
        <w:t>ribosomal sub-unit of susceptible microorganisms and suppresses protein synthesis. Erythromycin is usually active against most strains of the following organisms both in vitro and in clinical infections:</w:t>
      </w:r>
    </w:p>
    <w:p w14:paraId="04D9C6F7" w14:textId="77777777" w:rsidR="00A144D6" w:rsidRPr="00A144D6" w:rsidRDefault="00000000" w:rsidP="00A144D6">
      <w:pPr>
        <w:pStyle w:val="Heading1"/>
        <w:numPr>
          <w:ilvl w:val="0"/>
          <w:numId w:val="16"/>
        </w:numPr>
        <w:tabs>
          <w:tab w:val="center" w:pos="3225"/>
        </w:tabs>
        <w:spacing w:after="240" w:line="360" w:lineRule="auto"/>
        <w:ind w:left="1508" w:right="0" w:hanging="357"/>
        <w:jc w:val="thaiDistribute"/>
        <w:rPr>
          <w:b w:val="0"/>
          <w:bCs/>
          <w:szCs w:val="28"/>
        </w:rPr>
      </w:pPr>
      <w:r w:rsidRPr="00A144D6">
        <w:rPr>
          <w:b w:val="0"/>
          <w:bCs/>
        </w:rPr>
        <w:t>Gram-positive</w:t>
      </w:r>
      <w:r w:rsidR="00A144D6">
        <w:rPr>
          <w:b w:val="0"/>
          <w:bCs/>
        </w:rPr>
        <w:t xml:space="preserve"> </w:t>
      </w:r>
      <w:r w:rsidRPr="00A144D6">
        <w:rPr>
          <w:b w:val="0"/>
          <w:bCs/>
        </w:rPr>
        <w:tab/>
        <w:t>bacteria</w:t>
      </w:r>
      <w:r w:rsidR="00A144D6">
        <w:rPr>
          <w:b w:val="0"/>
          <w:bCs/>
          <w:szCs w:val="28"/>
        </w:rPr>
        <w:t xml:space="preserve">: </w:t>
      </w:r>
      <w:r w:rsidRPr="00A144D6">
        <w:rPr>
          <w:b w:val="0"/>
          <w:bCs/>
        </w:rPr>
        <w:t>Listeria</w:t>
      </w:r>
      <w:r w:rsidR="00A144D6">
        <w:rPr>
          <w:b w:val="0"/>
          <w:bCs/>
        </w:rPr>
        <w:t xml:space="preserve"> </w:t>
      </w:r>
      <w:r w:rsidRPr="00A144D6">
        <w:rPr>
          <w:b w:val="0"/>
          <w:bCs/>
        </w:rPr>
        <w:t>monocytogenes</w:t>
      </w:r>
      <w:r w:rsidR="00A144D6" w:rsidRPr="00A144D6">
        <w:t xml:space="preserve"> </w:t>
      </w:r>
      <w:r w:rsidR="00A144D6" w:rsidRPr="00A144D6">
        <w:rPr>
          <w:b w:val="0"/>
          <w:bCs/>
        </w:rPr>
        <w:t>Corynebacterium diphtheriae (as an adjunct to antitoxin), Staphylococci spp, Streptococci spp (including Enterococci).</w:t>
      </w:r>
    </w:p>
    <w:p w14:paraId="731EB43D" w14:textId="77777777" w:rsidR="00A144D6" w:rsidRPr="00A144D6" w:rsidRDefault="00A144D6" w:rsidP="00A144D6">
      <w:pPr>
        <w:pStyle w:val="Heading1"/>
        <w:numPr>
          <w:ilvl w:val="0"/>
          <w:numId w:val="16"/>
        </w:numPr>
        <w:tabs>
          <w:tab w:val="center" w:pos="3225"/>
        </w:tabs>
        <w:spacing w:after="240" w:line="360" w:lineRule="auto"/>
        <w:ind w:left="1508" w:right="0" w:hanging="357"/>
        <w:jc w:val="thaiDistribute"/>
        <w:rPr>
          <w:b w:val="0"/>
          <w:bCs/>
          <w:szCs w:val="28"/>
        </w:rPr>
      </w:pPr>
      <w:r w:rsidRPr="00A144D6">
        <w:rPr>
          <w:b w:val="0"/>
          <w:bCs/>
        </w:rPr>
        <w:lastRenderedPageBreak/>
        <w:t>Gram-negative</w:t>
      </w:r>
      <w:r w:rsidRPr="00A144D6">
        <w:rPr>
          <w:b w:val="0"/>
          <w:bCs/>
        </w:rPr>
        <w:tab/>
        <w:t>bacteria</w:t>
      </w:r>
      <w:r>
        <w:rPr>
          <w:b w:val="0"/>
          <w:bCs/>
        </w:rPr>
        <w:t xml:space="preserve">: </w:t>
      </w:r>
      <w:r w:rsidRPr="00A144D6">
        <w:rPr>
          <w:b w:val="0"/>
          <w:bCs/>
        </w:rPr>
        <w:t>Haemophilus</w:t>
      </w:r>
      <w:r w:rsidRPr="00A144D6">
        <w:rPr>
          <w:b w:val="0"/>
          <w:bCs/>
        </w:rPr>
        <w:tab/>
        <w:t>influenzae,</w:t>
      </w:r>
      <w:r w:rsidRPr="00A144D6">
        <w:rPr>
          <w:b w:val="0"/>
          <w:bCs/>
        </w:rPr>
        <w:tab/>
        <w:t>Neisseria</w:t>
      </w:r>
      <w:r w:rsidRPr="00A144D6">
        <w:t xml:space="preserve"> </w:t>
      </w:r>
      <w:r w:rsidRPr="00A144D6">
        <w:rPr>
          <w:b w:val="0"/>
          <w:bCs/>
        </w:rPr>
        <w:t>meningitidis, Neisseria gonorrhoeae, Legionella pneumophila, Moraxella (Branhamella) catarrhalis, Bordetella pertussis, Campylobacter spp.</w:t>
      </w:r>
    </w:p>
    <w:p w14:paraId="1DA2A016" w14:textId="77777777" w:rsidR="00A144D6" w:rsidRPr="00A144D6" w:rsidRDefault="00000000" w:rsidP="00A144D6">
      <w:pPr>
        <w:pStyle w:val="Heading1"/>
        <w:numPr>
          <w:ilvl w:val="0"/>
          <w:numId w:val="16"/>
        </w:numPr>
        <w:tabs>
          <w:tab w:val="center" w:pos="3225"/>
        </w:tabs>
        <w:spacing w:after="240" w:line="360" w:lineRule="auto"/>
        <w:ind w:left="1508" w:right="0" w:hanging="357"/>
        <w:jc w:val="thaiDistribute"/>
        <w:rPr>
          <w:b w:val="0"/>
          <w:bCs/>
          <w:szCs w:val="28"/>
        </w:rPr>
      </w:pPr>
      <w:r w:rsidRPr="00A144D6">
        <w:rPr>
          <w:b w:val="0"/>
          <w:bCs/>
        </w:rPr>
        <w:t xml:space="preserve">Mycoplasma </w:t>
      </w:r>
      <w:r w:rsidR="00A144D6">
        <w:rPr>
          <w:b w:val="0"/>
          <w:bCs/>
        </w:rPr>
        <w:t xml:space="preserve">: </w:t>
      </w:r>
      <w:r w:rsidRPr="00A144D6">
        <w:rPr>
          <w:b w:val="0"/>
          <w:bCs/>
        </w:rPr>
        <w:t>Mycoplasma pneumoniae, Ureaplasma urealyticum</w:t>
      </w:r>
    </w:p>
    <w:p w14:paraId="1CCFB420" w14:textId="77777777" w:rsidR="00A144D6" w:rsidRPr="00A144D6" w:rsidRDefault="00000000" w:rsidP="00A144D6">
      <w:pPr>
        <w:pStyle w:val="Heading1"/>
        <w:numPr>
          <w:ilvl w:val="0"/>
          <w:numId w:val="16"/>
        </w:numPr>
        <w:tabs>
          <w:tab w:val="center" w:pos="3225"/>
        </w:tabs>
        <w:spacing w:after="240" w:line="360" w:lineRule="auto"/>
        <w:ind w:left="1508" w:right="0" w:hanging="357"/>
        <w:jc w:val="thaiDistribute"/>
        <w:rPr>
          <w:b w:val="0"/>
          <w:bCs/>
          <w:szCs w:val="28"/>
        </w:rPr>
      </w:pPr>
      <w:r w:rsidRPr="00A144D6">
        <w:rPr>
          <w:b w:val="0"/>
          <w:bCs/>
        </w:rPr>
        <w:t>Other organisms - Treponema pallidum, Chlamydia spp, Clostridia</w:t>
      </w:r>
      <w:r w:rsidR="00A144D6">
        <w:rPr>
          <w:b w:val="0"/>
          <w:bCs/>
        </w:rPr>
        <w:t xml:space="preserve"> </w:t>
      </w:r>
      <w:r w:rsidRPr="00A144D6">
        <w:rPr>
          <w:b w:val="0"/>
          <w:bCs/>
        </w:rPr>
        <w:t>spp, Lforms, the agents causing trachoma and lymphogranuloma venereum</w:t>
      </w:r>
    </w:p>
    <w:p w14:paraId="114EC038" w14:textId="74BB1D08" w:rsidR="00DD1EBA" w:rsidRPr="00A144D6" w:rsidRDefault="00000000" w:rsidP="00A144D6">
      <w:pPr>
        <w:pStyle w:val="Heading1"/>
        <w:tabs>
          <w:tab w:val="center" w:pos="3225"/>
        </w:tabs>
        <w:spacing w:after="240" w:line="360" w:lineRule="auto"/>
        <w:ind w:left="1514" w:right="0" w:firstLine="0"/>
        <w:jc w:val="thaiDistribute"/>
        <w:rPr>
          <w:b w:val="0"/>
          <w:bCs/>
          <w:szCs w:val="28"/>
        </w:rPr>
      </w:pPr>
      <w:r w:rsidRPr="00A144D6">
        <w:rPr>
          <w:b w:val="0"/>
          <w:bCs/>
          <w:u w:val="single"/>
        </w:rPr>
        <w:t>Note</w:t>
      </w:r>
      <w:r w:rsidRPr="00A144D6">
        <w:rPr>
          <w:b w:val="0"/>
          <w:bCs/>
        </w:rPr>
        <w:t>:</w:t>
      </w:r>
      <w:r w:rsidR="00A144D6">
        <w:rPr>
          <w:b w:val="0"/>
          <w:bCs/>
        </w:rPr>
        <w:t xml:space="preserve"> </w:t>
      </w:r>
      <w:r w:rsidRPr="00A144D6">
        <w:rPr>
          <w:b w:val="0"/>
          <w:bCs/>
        </w:rPr>
        <w:t>The</w:t>
      </w:r>
      <w:r w:rsidRPr="00A144D6">
        <w:rPr>
          <w:b w:val="0"/>
          <w:bCs/>
        </w:rPr>
        <w:tab/>
        <w:t>majority</w:t>
      </w:r>
      <w:r w:rsidR="00A144D6">
        <w:rPr>
          <w:b w:val="0"/>
          <w:bCs/>
        </w:rPr>
        <w:t xml:space="preserve"> </w:t>
      </w:r>
      <w:r w:rsidRPr="00A144D6">
        <w:rPr>
          <w:b w:val="0"/>
          <w:bCs/>
        </w:rPr>
        <w:t>of</w:t>
      </w:r>
      <w:r w:rsidR="00A144D6">
        <w:rPr>
          <w:b w:val="0"/>
          <w:bCs/>
        </w:rPr>
        <w:t xml:space="preserve"> </w:t>
      </w:r>
      <w:r w:rsidRPr="00A144D6">
        <w:rPr>
          <w:b w:val="0"/>
          <w:bCs/>
        </w:rPr>
        <w:t>strains</w:t>
      </w:r>
      <w:r w:rsidR="00A144D6">
        <w:rPr>
          <w:b w:val="0"/>
          <w:bCs/>
        </w:rPr>
        <w:t xml:space="preserve"> </w:t>
      </w:r>
      <w:r w:rsidRPr="00A144D6">
        <w:rPr>
          <w:b w:val="0"/>
          <w:bCs/>
        </w:rPr>
        <w:t>of Haemophilus influenzae are</w:t>
      </w:r>
      <w:r w:rsidR="00A144D6" w:rsidRPr="00A144D6">
        <w:rPr>
          <w:b w:val="0"/>
          <w:bCs/>
        </w:rPr>
        <w:t xml:space="preserve"> </w:t>
      </w:r>
      <w:r w:rsidRPr="00A144D6">
        <w:rPr>
          <w:b w:val="0"/>
          <w:bCs/>
        </w:rPr>
        <w:t>susceptible to the concentrations reached after ordinary doses.</w:t>
      </w:r>
    </w:p>
    <w:p w14:paraId="3008993C" w14:textId="77777777" w:rsidR="00A144D6" w:rsidRDefault="00000000" w:rsidP="00A144D6">
      <w:pPr>
        <w:pStyle w:val="Heading3"/>
        <w:numPr>
          <w:ilvl w:val="1"/>
          <w:numId w:val="5"/>
        </w:numPr>
        <w:tabs>
          <w:tab w:val="center" w:pos="2235"/>
        </w:tabs>
        <w:spacing w:after="411"/>
        <w:rPr>
          <w:sz w:val="28"/>
          <w:szCs w:val="28"/>
        </w:rPr>
      </w:pPr>
      <w:r w:rsidRPr="00722E38">
        <w:rPr>
          <w:sz w:val="28"/>
          <w:szCs w:val="28"/>
        </w:rPr>
        <w:t>Pharmacokinetic properties</w:t>
      </w:r>
    </w:p>
    <w:p w14:paraId="13091303" w14:textId="77777777" w:rsidR="00A144D6" w:rsidRDefault="00000000" w:rsidP="00A144D6">
      <w:pPr>
        <w:pStyle w:val="Heading3"/>
        <w:tabs>
          <w:tab w:val="center" w:pos="2235"/>
        </w:tabs>
        <w:spacing w:after="240" w:line="271" w:lineRule="auto"/>
        <w:ind w:left="794" w:firstLine="0"/>
      </w:pPr>
      <w:r w:rsidRPr="00A144D6">
        <w:rPr>
          <w:b w:val="0"/>
          <w:bCs/>
          <w:sz w:val="28"/>
          <w:szCs w:val="28"/>
          <w:u w:val="single"/>
        </w:rPr>
        <w:t>Absorption and Fate</w:t>
      </w:r>
      <w:r w:rsidR="00A144D6" w:rsidRPr="00A144D6">
        <w:t xml:space="preserve"> </w:t>
      </w:r>
    </w:p>
    <w:p w14:paraId="4AED6BA7" w14:textId="77777777" w:rsidR="00A144D6" w:rsidRDefault="00A144D6" w:rsidP="00A144D6">
      <w:pPr>
        <w:pStyle w:val="Heading3"/>
        <w:tabs>
          <w:tab w:val="center" w:pos="2235"/>
        </w:tabs>
        <w:spacing w:after="240" w:line="360" w:lineRule="auto"/>
        <w:ind w:left="794" w:firstLine="0"/>
        <w:jc w:val="thaiDistribute"/>
      </w:pPr>
      <w:r w:rsidRPr="00A144D6">
        <w:rPr>
          <w:b w:val="0"/>
          <w:bCs/>
          <w:sz w:val="28"/>
          <w:szCs w:val="28"/>
        </w:rPr>
        <w:t>Peak blood levels normally occur within one hour of dosing of</w:t>
      </w:r>
      <w:r>
        <w:rPr>
          <w:b w:val="0"/>
          <w:bCs/>
          <w:sz w:val="28"/>
          <w:szCs w:val="28"/>
        </w:rPr>
        <w:t xml:space="preserve"> </w:t>
      </w:r>
      <w:r w:rsidRPr="00A144D6">
        <w:rPr>
          <w:b w:val="0"/>
          <w:bCs/>
          <w:sz w:val="28"/>
          <w:szCs w:val="28"/>
        </w:rPr>
        <w:t>erythromycin</w:t>
      </w:r>
      <w:r>
        <w:rPr>
          <w:b w:val="0"/>
          <w:bCs/>
          <w:sz w:val="28"/>
          <w:szCs w:val="28"/>
        </w:rPr>
        <w:t xml:space="preserve"> </w:t>
      </w:r>
      <w:r w:rsidRPr="00A144D6">
        <w:rPr>
          <w:b w:val="0"/>
          <w:bCs/>
          <w:sz w:val="28"/>
          <w:szCs w:val="28"/>
        </w:rPr>
        <w:t>ethylsuccinate</w:t>
      </w:r>
      <w:r>
        <w:rPr>
          <w:b w:val="0"/>
          <w:bCs/>
          <w:sz w:val="28"/>
          <w:szCs w:val="28"/>
        </w:rPr>
        <w:t xml:space="preserve"> </w:t>
      </w:r>
      <w:r w:rsidRPr="00A144D6">
        <w:rPr>
          <w:b w:val="0"/>
          <w:bCs/>
          <w:sz w:val="28"/>
          <w:szCs w:val="28"/>
        </w:rPr>
        <w:t>granules.</w:t>
      </w:r>
      <w:r>
        <w:rPr>
          <w:b w:val="0"/>
          <w:bCs/>
          <w:sz w:val="28"/>
          <w:szCs w:val="28"/>
        </w:rPr>
        <w:t xml:space="preserve"> </w:t>
      </w:r>
      <w:r w:rsidRPr="00A144D6">
        <w:rPr>
          <w:b w:val="0"/>
          <w:bCs/>
          <w:sz w:val="28"/>
          <w:szCs w:val="28"/>
        </w:rPr>
        <w:t>The</w:t>
      </w:r>
      <w:r w:rsidRPr="00A144D6">
        <w:rPr>
          <w:b w:val="0"/>
          <w:bCs/>
          <w:sz w:val="28"/>
          <w:szCs w:val="28"/>
        </w:rPr>
        <w:tab/>
        <w:t>elimination</w:t>
      </w:r>
      <w:r>
        <w:rPr>
          <w:b w:val="0"/>
          <w:bCs/>
          <w:sz w:val="28"/>
          <w:szCs w:val="28"/>
        </w:rPr>
        <w:t xml:space="preserve"> </w:t>
      </w:r>
      <w:r w:rsidRPr="00A144D6">
        <w:rPr>
          <w:b w:val="0"/>
          <w:bCs/>
          <w:sz w:val="28"/>
          <w:szCs w:val="28"/>
        </w:rPr>
        <w:t>half</w:t>
      </w:r>
      <w:r>
        <w:rPr>
          <w:b w:val="0"/>
          <w:bCs/>
          <w:sz w:val="28"/>
          <w:szCs w:val="28"/>
        </w:rPr>
        <w:t xml:space="preserve"> </w:t>
      </w:r>
      <w:r w:rsidRPr="00A144D6">
        <w:rPr>
          <w:b w:val="0"/>
          <w:bCs/>
          <w:sz w:val="28"/>
          <w:szCs w:val="28"/>
        </w:rPr>
        <w:t>life</w:t>
      </w:r>
      <w:r w:rsidRPr="00A144D6">
        <w:rPr>
          <w:b w:val="0"/>
          <w:bCs/>
          <w:sz w:val="28"/>
          <w:szCs w:val="28"/>
        </w:rPr>
        <w:tab/>
        <w:t>is approximately two hours. Dose may be administered two, three or four times a day.</w:t>
      </w:r>
      <w:r w:rsidRPr="00A144D6">
        <w:t xml:space="preserve"> </w:t>
      </w:r>
      <w:r w:rsidRPr="00A144D6">
        <w:rPr>
          <w:b w:val="0"/>
          <w:bCs/>
          <w:sz w:val="28"/>
          <w:szCs w:val="28"/>
        </w:rPr>
        <w:t>Erythromycin is adversely affected by gastric acid. For this reason</w:t>
      </w:r>
      <w:r w:rsidRPr="00A144D6">
        <w:t xml:space="preserve"> </w:t>
      </w:r>
      <w:r w:rsidRPr="00A144D6">
        <w:rPr>
          <w:b w:val="0"/>
          <w:bCs/>
          <w:sz w:val="28"/>
          <w:szCs w:val="28"/>
        </w:rPr>
        <w:t>erythromycin tablets are enteric coated.</w:t>
      </w:r>
      <w:r w:rsidRPr="00A144D6">
        <w:t xml:space="preserve"> </w:t>
      </w:r>
    </w:p>
    <w:p w14:paraId="7FF76C6A" w14:textId="77777777" w:rsidR="00A144D6" w:rsidRDefault="00A144D6" w:rsidP="00A144D6">
      <w:pPr>
        <w:pStyle w:val="Heading3"/>
        <w:tabs>
          <w:tab w:val="center" w:pos="2235"/>
        </w:tabs>
        <w:spacing w:after="411" w:line="360" w:lineRule="auto"/>
        <w:ind w:left="792" w:firstLine="0"/>
        <w:jc w:val="thaiDistribute"/>
        <w:rPr>
          <w:b w:val="0"/>
          <w:bCs/>
          <w:sz w:val="28"/>
          <w:szCs w:val="28"/>
        </w:rPr>
      </w:pPr>
      <w:r w:rsidRPr="00A144D6">
        <w:rPr>
          <w:b w:val="0"/>
          <w:bCs/>
          <w:sz w:val="28"/>
          <w:szCs w:val="28"/>
        </w:rPr>
        <w:t>It is absorbed from the small intestine. It is widely distributed throughout body tissues. Little metabolism occurs and only about 5% is eliminated in the urine. It is excreted principally by the liver.</w:t>
      </w:r>
    </w:p>
    <w:p w14:paraId="7F1CB960" w14:textId="77777777" w:rsidR="00A144D6" w:rsidRDefault="00A144D6">
      <w:pPr>
        <w:spacing w:after="160" w:line="278" w:lineRule="auto"/>
        <w:ind w:left="0" w:firstLine="0"/>
        <w:jc w:val="left"/>
        <w:rPr>
          <w:bCs/>
          <w:sz w:val="28"/>
          <w:szCs w:val="28"/>
        </w:rPr>
      </w:pPr>
      <w:r>
        <w:rPr>
          <w:b/>
          <w:bCs/>
          <w:sz w:val="28"/>
          <w:szCs w:val="28"/>
        </w:rPr>
        <w:br w:type="page"/>
      </w:r>
    </w:p>
    <w:p w14:paraId="28162648" w14:textId="77777777" w:rsidR="00A144D6" w:rsidRPr="00A144D6" w:rsidRDefault="00000000" w:rsidP="00A144D6">
      <w:pPr>
        <w:pStyle w:val="Heading3"/>
        <w:numPr>
          <w:ilvl w:val="0"/>
          <w:numId w:val="18"/>
        </w:numPr>
        <w:tabs>
          <w:tab w:val="center" w:pos="2235"/>
        </w:tabs>
        <w:spacing w:after="0" w:line="360" w:lineRule="auto"/>
        <w:jc w:val="thaiDistribute"/>
        <w:rPr>
          <w:b w:val="0"/>
          <w:bCs/>
          <w:sz w:val="28"/>
          <w:szCs w:val="28"/>
        </w:rPr>
      </w:pPr>
      <w:r w:rsidRPr="00A144D6">
        <w:rPr>
          <w:b w:val="0"/>
          <w:bCs/>
          <w:sz w:val="28"/>
          <w:szCs w:val="28"/>
        </w:rPr>
        <w:lastRenderedPageBreak/>
        <w:t>t max = 4h</w:t>
      </w:r>
    </w:p>
    <w:p w14:paraId="7EAC722E" w14:textId="77777777" w:rsidR="00A144D6" w:rsidRPr="00A144D6" w:rsidRDefault="00000000" w:rsidP="00A144D6">
      <w:pPr>
        <w:pStyle w:val="Heading3"/>
        <w:numPr>
          <w:ilvl w:val="0"/>
          <w:numId w:val="18"/>
        </w:numPr>
        <w:tabs>
          <w:tab w:val="center" w:pos="2235"/>
        </w:tabs>
        <w:spacing w:after="0" w:line="360" w:lineRule="auto"/>
        <w:jc w:val="thaiDistribute"/>
        <w:rPr>
          <w:b w:val="0"/>
          <w:bCs/>
          <w:sz w:val="28"/>
          <w:szCs w:val="28"/>
        </w:rPr>
      </w:pPr>
      <w:r w:rsidRPr="00A144D6">
        <w:rPr>
          <w:b w:val="0"/>
          <w:bCs/>
          <w:sz w:val="28"/>
          <w:szCs w:val="28"/>
        </w:rPr>
        <w:t>C max = 0.3 – 0.5 ug/ml</w:t>
      </w:r>
    </w:p>
    <w:p w14:paraId="0015083E" w14:textId="77777777" w:rsidR="00A144D6" w:rsidRPr="00A144D6" w:rsidRDefault="00000000" w:rsidP="00A144D6">
      <w:pPr>
        <w:pStyle w:val="Heading3"/>
        <w:numPr>
          <w:ilvl w:val="0"/>
          <w:numId w:val="18"/>
        </w:numPr>
        <w:tabs>
          <w:tab w:val="center" w:pos="2235"/>
        </w:tabs>
        <w:spacing w:after="0" w:line="360" w:lineRule="auto"/>
        <w:jc w:val="thaiDistribute"/>
        <w:rPr>
          <w:b w:val="0"/>
          <w:bCs/>
          <w:sz w:val="28"/>
          <w:szCs w:val="28"/>
        </w:rPr>
      </w:pPr>
      <w:r w:rsidRPr="00A144D6">
        <w:rPr>
          <w:b w:val="0"/>
          <w:bCs/>
          <w:sz w:val="28"/>
          <w:szCs w:val="28"/>
        </w:rPr>
        <w:t>Vd = 0.78 + 0.44 1/kg</w:t>
      </w:r>
    </w:p>
    <w:p w14:paraId="2C03FC82" w14:textId="77777777" w:rsidR="00A144D6" w:rsidRPr="00A144D6" w:rsidRDefault="00000000" w:rsidP="00A144D6">
      <w:pPr>
        <w:pStyle w:val="Heading3"/>
        <w:numPr>
          <w:ilvl w:val="0"/>
          <w:numId w:val="18"/>
        </w:numPr>
        <w:tabs>
          <w:tab w:val="center" w:pos="2235"/>
        </w:tabs>
        <w:spacing w:after="0" w:line="360" w:lineRule="auto"/>
        <w:jc w:val="thaiDistribute"/>
        <w:rPr>
          <w:b w:val="0"/>
          <w:bCs/>
          <w:sz w:val="28"/>
          <w:szCs w:val="28"/>
        </w:rPr>
      </w:pPr>
      <w:r w:rsidRPr="00A144D6">
        <w:rPr>
          <w:b w:val="0"/>
          <w:bCs/>
          <w:sz w:val="28"/>
          <w:szCs w:val="28"/>
        </w:rPr>
        <w:t>T 1/2 = 1.6 +/- 0.7h</w:t>
      </w:r>
    </w:p>
    <w:p w14:paraId="5EBF0051" w14:textId="7B5CDE77" w:rsidR="00A144D6" w:rsidRPr="00A144D6" w:rsidRDefault="00000000" w:rsidP="00A144D6">
      <w:pPr>
        <w:pStyle w:val="Heading3"/>
        <w:numPr>
          <w:ilvl w:val="0"/>
          <w:numId w:val="18"/>
        </w:numPr>
        <w:tabs>
          <w:tab w:val="center" w:pos="2235"/>
        </w:tabs>
        <w:spacing w:after="240" w:line="360" w:lineRule="auto"/>
        <w:ind w:left="1508" w:hanging="357"/>
        <w:jc w:val="thaiDistribute"/>
        <w:rPr>
          <w:b w:val="0"/>
          <w:bCs/>
          <w:sz w:val="28"/>
          <w:szCs w:val="28"/>
        </w:rPr>
      </w:pPr>
      <w:r w:rsidRPr="00A144D6">
        <w:rPr>
          <w:b w:val="0"/>
          <w:bCs/>
          <w:sz w:val="28"/>
          <w:szCs w:val="28"/>
        </w:rPr>
        <w:t>CLEARANCE = 9.1 – 4.1 ml/min/kg</w:t>
      </w:r>
    </w:p>
    <w:p w14:paraId="01A20C03" w14:textId="77777777" w:rsidR="00A144D6" w:rsidRPr="00A144D6" w:rsidRDefault="00000000" w:rsidP="00A144D6">
      <w:pPr>
        <w:pStyle w:val="Heading3"/>
        <w:numPr>
          <w:ilvl w:val="1"/>
          <w:numId w:val="5"/>
        </w:numPr>
        <w:tabs>
          <w:tab w:val="center" w:pos="1935"/>
        </w:tabs>
        <w:spacing w:after="240" w:line="271" w:lineRule="auto"/>
        <w:ind w:left="788" w:hanging="431"/>
        <w:rPr>
          <w:sz w:val="28"/>
          <w:szCs w:val="28"/>
        </w:rPr>
      </w:pPr>
      <w:r w:rsidRPr="00722E38">
        <w:rPr>
          <w:sz w:val="28"/>
          <w:szCs w:val="28"/>
        </w:rPr>
        <w:t>Preclinical safety data</w:t>
      </w:r>
      <w:r w:rsidR="00A144D6" w:rsidRPr="00A144D6">
        <w:t xml:space="preserve"> </w:t>
      </w:r>
    </w:p>
    <w:p w14:paraId="17C53DCA" w14:textId="77777777" w:rsidR="00A144D6" w:rsidRDefault="00A144D6" w:rsidP="00A144D6">
      <w:pPr>
        <w:pStyle w:val="Heading3"/>
        <w:tabs>
          <w:tab w:val="center" w:pos="1935"/>
        </w:tabs>
        <w:spacing w:after="240" w:line="360" w:lineRule="auto"/>
        <w:ind w:left="794" w:firstLine="0"/>
        <w:rPr>
          <w:b w:val="0"/>
          <w:bCs/>
          <w:sz w:val="28"/>
          <w:szCs w:val="28"/>
        </w:rPr>
      </w:pPr>
      <w:r w:rsidRPr="00A144D6">
        <w:rPr>
          <w:b w:val="0"/>
          <w:bCs/>
          <w:sz w:val="28"/>
          <w:szCs w:val="28"/>
        </w:rPr>
        <w:t>There are no pre-clinical data of relevance to the prescriber which are additional to that already included in other sections of the SPC</w:t>
      </w:r>
    </w:p>
    <w:p w14:paraId="46526293" w14:textId="77777777" w:rsidR="00A144D6" w:rsidRDefault="00000000" w:rsidP="00A144D6">
      <w:pPr>
        <w:pStyle w:val="Heading3"/>
        <w:numPr>
          <w:ilvl w:val="0"/>
          <w:numId w:val="5"/>
        </w:numPr>
        <w:tabs>
          <w:tab w:val="center" w:pos="1935"/>
        </w:tabs>
        <w:spacing w:line="360" w:lineRule="auto"/>
        <w:rPr>
          <w:sz w:val="28"/>
          <w:szCs w:val="28"/>
        </w:rPr>
      </w:pPr>
      <w:r w:rsidRPr="00722E38">
        <w:rPr>
          <w:sz w:val="28"/>
          <w:szCs w:val="28"/>
        </w:rPr>
        <w:t>PHARMACEUTICAL PARTICULARS</w:t>
      </w:r>
    </w:p>
    <w:p w14:paraId="07EC0294" w14:textId="77777777" w:rsidR="00A144D6" w:rsidRDefault="00000000" w:rsidP="00A144D6">
      <w:pPr>
        <w:pStyle w:val="Heading3"/>
        <w:numPr>
          <w:ilvl w:val="1"/>
          <w:numId w:val="5"/>
        </w:numPr>
        <w:tabs>
          <w:tab w:val="center" w:pos="1935"/>
        </w:tabs>
        <w:spacing w:after="240" w:line="360" w:lineRule="auto"/>
        <w:ind w:left="788" w:hanging="431"/>
        <w:rPr>
          <w:sz w:val="28"/>
          <w:szCs w:val="28"/>
        </w:rPr>
      </w:pPr>
      <w:r w:rsidRPr="00A144D6">
        <w:rPr>
          <w:sz w:val="28"/>
          <w:szCs w:val="28"/>
        </w:rPr>
        <w:t>List of excipients</w:t>
      </w:r>
    </w:p>
    <w:p w14:paraId="21208925" w14:textId="1BDCFD3E" w:rsidR="003E14C3" w:rsidRPr="00A144D6" w:rsidRDefault="00000000" w:rsidP="00A144D6">
      <w:pPr>
        <w:pStyle w:val="Heading3"/>
        <w:tabs>
          <w:tab w:val="center" w:pos="1935"/>
        </w:tabs>
        <w:spacing w:after="240" w:line="360" w:lineRule="auto"/>
        <w:ind w:left="794" w:firstLine="0"/>
        <w:rPr>
          <w:b w:val="0"/>
          <w:bCs/>
          <w:sz w:val="28"/>
          <w:szCs w:val="28"/>
        </w:rPr>
      </w:pPr>
      <w:r w:rsidRPr="00A144D6">
        <w:rPr>
          <w:b w:val="0"/>
          <w:bCs/>
          <w:color w:val="FF0000"/>
          <w:sz w:val="28"/>
          <w:szCs w:val="28"/>
        </w:rPr>
        <w:t>&lt;REGARDING THE APPROVAL&gt;</w:t>
      </w:r>
    </w:p>
    <w:p w14:paraId="443E2892" w14:textId="77777777" w:rsidR="003E14C3" w:rsidRPr="003E14C3" w:rsidRDefault="00000000" w:rsidP="003E14C3">
      <w:pPr>
        <w:pStyle w:val="ListParagraph"/>
        <w:numPr>
          <w:ilvl w:val="1"/>
          <w:numId w:val="5"/>
        </w:numPr>
        <w:spacing w:after="240" w:line="360" w:lineRule="auto"/>
        <w:ind w:left="788" w:hanging="431"/>
        <w:contextualSpacing w:val="0"/>
        <w:rPr>
          <w:sz w:val="28"/>
          <w:szCs w:val="28"/>
        </w:rPr>
      </w:pPr>
      <w:r w:rsidRPr="003E14C3">
        <w:rPr>
          <w:b/>
          <w:sz w:val="28"/>
          <w:szCs w:val="28"/>
        </w:rPr>
        <w:t>Incompatibilities</w:t>
      </w:r>
    </w:p>
    <w:p w14:paraId="5F26834C" w14:textId="684899B8" w:rsidR="00DD1EBA" w:rsidRPr="003E14C3" w:rsidRDefault="00000000" w:rsidP="003E14C3">
      <w:pPr>
        <w:pStyle w:val="ListParagraph"/>
        <w:spacing w:after="240" w:line="360" w:lineRule="auto"/>
        <w:ind w:left="794" w:firstLine="0"/>
        <w:contextualSpacing w:val="0"/>
        <w:rPr>
          <w:sz w:val="28"/>
          <w:szCs w:val="28"/>
        </w:rPr>
      </w:pPr>
      <w:r w:rsidRPr="003E14C3">
        <w:rPr>
          <w:color w:val="FF0000"/>
          <w:sz w:val="28"/>
          <w:szCs w:val="28"/>
        </w:rPr>
        <w:t>&lt;REGARDING THE APPROVAL&gt;</w:t>
      </w:r>
    </w:p>
    <w:p w14:paraId="64613474" w14:textId="77777777" w:rsidR="001F7B6D" w:rsidRPr="001F7B6D" w:rsidRDefault="00000000" w:rsidP="001F7B6D">
      <w:pPr>
        <w:pStyle w:val="ListParagraph"/>
        <w:numPr>
          <w:ilvl w:val="1"/>
          <w:numId w:val="5"/>
        </w:numPr>
        <w:tabs>
          <w:tab w:val="center" w:pos="1260"/>
        </w:tabs>
        <w:spacing w:after="240" w:line="360" w:lineRule="auto"/>
        <w:ind w:left="788" w:hanging="431"/>
        <w:contextualSpacing w:val="0"/>
        <w:rPr>
          <w:sz w:val="28"/>
          <w:szCs w:val="28"/>
        </w:rPr>
      </w:pPr>
      <w:r w:rsidRPr="001F7B6D">
        <w:rPr>
          <w:b/>
          <w:sz w:val="28"/>
          <w:szCs w:val="28"/>
        </w:rPr>
        <w:t>Shelf life</w:t>
      </w:r>
    </w:p>
    <w:p w14:paraId="7092D785" w14:textId="60742FF8" w:rsidR="00DD1EBA" w:rsidRPr="001F7B6D" w:rsidRDefault="00000000" w:rsidP="001F7B6D">
      <w:pPr>
        <w:pStyle w:val="ListParagraph"/>
        <w:tabs>
          <w:tab w:val="center" w:pos="1260"/>
        </w:tabs>
        <w:spacing w:after="0" w:line="480" w:lineRule="auto"/>
        <w:ind w:left="792" w:firstLine="0"/>
        <w:rPr>
          <w:sz w:val="28"/>
          <w:szCs w:val="28"/>
        </w:rPr>
      </w:pPr>
      <w:r w:rsidRPr="001F7B6D">
        <w:rPr>
          <w:color w:val="FF0000"/>
          <w:sz w:val="28"/>
          <w:szCs w:val="28"/>
        </w:rPr>
        <w:t>&lt;REGARDING THE APPROVAL&gt;</w:t>
      </w:r>
    </w:p>
    <w:p w14:paraId="500DEA13" w14:textId="77777777" w:rsidR="001F7B6D" w:rsidRPr="001F7B6D" w:rsidRDefault="00000000" w:rsidP="001F7B6D">
      <w:pPr>
        <w:pStyle w:val="ListParagraph"/>
        <w:numPr>
          <w:ilvl w:val="1"/>
          <w:numId w:val="5"/>
        </w:numPr>
        <w:tabs>
          <w:tab w:val="center" w:pos="2391"/>
        </w:tabs>
        <w:spacing w:after="0" w:line="480" w:lineRule="auto"/>
        <w:ind w:left="788" w:hanging="431"/>
        <w:contextualSpacing w:val="0"/>
        <w:rPr>
          <w:sz w:val="28"/>
          <w:szCs w:val="28"/>
        </w:rPr>
      </w:pPr>
      <w:r w:rsidRPr="001F7B6D">
        <w:rPr>
          <w:b/>
          <w:sz w:val="28"/>
          <w:szCs w:val="28"/>
        </w:rPr>
        <w:t>Special precautions for storage</w:t>
      </w:r>
    </w:p>
    <w:p w14:paraId="09F61898" w14:textId="6B69AC8F" w:rsidR="00DD1EBA" w:rsidRPr="001F7B6D" w:rsidRDefault="00000000" w:rsidP="001F7B6D">
      <w:pPr>
        <w:pStyle w:val="ListParagraph"/>
        <w:tabs>
          <w:tab w:val="center" w:pos="2391"/>
        </w:tabs>
        <w:spacing w:after="0" w:line="480" w:lineRule="auto"/>
        <w:ind w:left="792" w:firstLine="0"/>
        <w:rPr>
          <w:sz w:val="28"/>
          <w:szCs w:val="28"/>
        </w:rPr>
      </w:pPr>
      <w:r w:rsidRPr="001F7B6D">
        <w:rPr>
          <w:color w:val="FF0000"/>
          <w:sz w:val="28"/>
          <w:szCs w:val="28"/>
        </w:rPr>
        <w:t>&lt;REGARDING THE APPROVAL&gt;</w:t>
      </w:r>
    </w:p>
    <w:p w14:paraId="67FDA8C9" w14:textId="77777777" w:rsidR="001F7B6D" w:rsidRPr="001F7B6D" w:rsidRDefault="00000000" w:rsidP="001F7B6D">
      <w:pPr>
        <w:pStyle w:val="ListParagraph"/>
        <w:numPr>
          <w:ilvl w:val="1"/>
          <w:numId w:val="5"/>
        </w:numPr>
        <w:tabs>
          <w:tab w:val="center" w:pos="2490"/>
        </w:tabs>
        <w:spacing w:after="240" w:line="360" w:lineRule="auto"/>
        <w:ind w:left="788" w:hanging="431"/>
        <w:contextualSpacing w:val="0"/>
        <w:rPr>
          <w:sz w:val="28"/>
          <w:szCs w:val="28"/>
        </w:rPr>
      </w:pPr>
      <w:r w:rsidRPr="001F7B6D">
        <w:rPr>
          <w:b/>
          <w:sz w:val="28"/>
          <w:szCs w:val="28"/>
        </w:rPr>
        <w:t>Nature and contents of container</w:t>
      </w:r>
    </w:p>
    <w:p w14:paraId="491AE59F" w14:textId="77777777" w:rsidR="003E14C3" w:rsidRDefault="00000000" w:rsidP="003E14C3">
      <w:pPr>
        <w:pStyle w:val="ListParagraph"/>
        <w:tabs>
          <w:tab w:val="center" w:pos="2490"/>
        </w:tabs>
        <w:spacing w:after="240" w:line="360" w:lineRule="auto"/>
        <w:ind w:left="794" w:firstLine="0"/>
        <w:contextualSpacing w:val="0"/>
        <w:rPr>
          <w:color w:val="FF0000"/>
          <w:sz w:val="28"/>
          <w:szCs w:val="28"/>
        </w:rPr>
      </w:pPr>
      <w:r w:rsidRPr="001F7B6D">
        <w:rPr>
          <w:color w:val="FF0000"/>
          <w:sz w:val="28"/>
          <w:szCs w:val="28"/>
        </w:rPr>
        <w:t>&lt;REGARDING THE APPROVAL&gt;</w:t>
      </w:r>
    </w:p>
    <w:p w14:paraId="191740C4" w14:textId="77777777" w:rsidR="00A144D6" w:rsidRDefault="003E14C3" w:rsidP="003E14C3">
      <w:pPr>
        <w:tabs>
          <w:tab w:val="center" w:pos="2490"/>
        </w:tabs>
        <w:spacing w:after="240" w:line="360" w:lineRule="auto"/>
        <w:ind w:left="0" w:firstLine="0"/>
        <w:rPr>
          <w:b/>
          <w:sz w:val="28"/>
          <w:szCs w:val="28"/>
        </w:rPr>
      </w:pPr>
      <w:r>
        <w:rPr>
          <w:b/>
          <w:sz w:val="28"/>
          <w:szCs w:val="28"/>
        </w:rPr>
        <w:tab/>
      </w:r>
    </w:p>
    <w:p w14:paraId="483FF687" w14:textId="26CE7A1B" w:rsidR="001F7B6D" w:rsidRPr="003E14C3" w:rsidRDefault="00A144D6" w:rsidP="003E14C3">
      <w:pPr>
        <w:tabs>
          <w:tab w:val="center" w:pos="2490"/>
        </w:tabs>
        <w:spacing w:after="240" w:line="360" w:lineRule="auto"/>
        <w:ind w:left="0" w:firstLine="0"/>
        <w:rPr>
          <w:sz w:val="28"/>
          <w:szCs w:val="28"/>
        </w:rPr>
      </w:pPr>
      <w:r>
        <w:rPr>
          <w:b/>
          <w:sz w:val="28"/>
          <w:szCs w:val="28"/>
        </w:rPr>
        <w:lastRenderedPageBreak/>
        <w:tab/>
        <w:t>6</w:t>
      </w:r>
      <w:r w:rsidR="003E14C3">
        <w:rPr>
          <w:b/>
          <w:sz w:val="28"/>
          <w:szCs w:val="28"/>
        </w:rPr>
        <w:t>.</w:t>
      </w:r>
      <w:r>
        <w:rPr>
          <w:b/>
          <w:sz w:val="28"/>
          <w:szCs w:val="28"/>
        </w:rPr>
        <w:t>6</w:t>
      </w:r>
      <w:r w:rsidR="003E14C3">
        <w:rPr>
          <w:b/>
          <w:sz w:val="28"/>
          <w:szCs w:val="28"/>
        </w:rPr>
        <w:t>.</w:t>
      </w:r>
      <w:r w:rsidR="00000000" w:rsidRPr="003E14C3">
        <w:rPr>
          <w:b/>
          <w:sz w:val="28"/>
          <w:szCs w:val="28"/>
        </w:rPr>
        <w:t>Special precautions for disposal</w:t>
      </w:r>
    </w:p>
    <w:p w14:paraId="360D2977" w14:textId="741E44BD" w:rsidR="00DD1EBA" w:rsidRPr="001F7B6D" w:rsidRDefault="00000000" w:rsidP="001F7B6D">
      <w:pPr>
        <w:pStyle w:val="ListParagraph"/>
        <w:tabs>
          <w:tab w:val="center" w:pos="2430"/>
        </w:tabs>
        <w:spacing w:after="240" w:line="271" w:lineRule="auto"/>
        <w:ind w:left="794" w:firstLine="0"/>
        <w:contextualSpacing w:val="0"/>
        <w:jc w:val="left"/>
        <w:rPr>
          <w:sz w:val="28"/>
          <w:szCs w:val="28"/>
        </w:rPr>
      </w:pPr>
      <w:r w:rsidRPr="001F7B6D">
        <w:rPr>
          <w:color w:val="FF0000"/>
          <w:sz w:val="28"/>
          <w:szCs w:val="28"/>
        </w:rPr>
        <w:t>&lt;REGARDING THE APPROVAL&gt;</w:t>
      </w:r>
    </w:p>
    <w:p w14:paraId="116CECDF" w14:textId="77777777" w:rsidR="001F7B6D" w:rsidRPr="001F7B6D" w:rsidRDefault="00000000" w:rsidP="001F7B6D">
      <w:pPr>
        <w:pStyle w:val="ListParagraph"/>
        <w:numPr>
          <w:ilvl w:val="0"/>
          <w:numId w:val="5"/>
        </w:numPr>
        <w:spacing w:after="240" w:line="264" w:lineRule="auto"/>
        <w:ind w:left="357" w:hanging="357"/>
        <w:contextualSpacing w:val="0"/>
        <w:jc w:val="left"/>
        <w:rPr>
          <w:sz w:val="28"/>
          <w:szCs w:val="28"/>
        </w:rPr>
      </w:pPr>
      <w:r w:rsidRPr="001F7B6D">
        <w:rPr>
          <w:b/>
          <w:sz w:val="28"/>
          <w:szCs w:val="28"/>
        </w:rPr>
        <w:t>MARKETING AUTHORISATION HOLDER</w:t>
      </w:r>
    </w:p>
    <w:p w14:paraId="53E1670B" w14:textId="77777777" w:rsidR="001F7B6D" w:rsidRDefault="00000000" w:rsidP="001F7B6D">
      <w:pPr>
        <w:pStyle w:val="ListParagraph"/>
        <w:spacing w:after="240" w:line="264" w:lineRule="auto"/>
        <w:ind w:left="357" w:firstLine="0"/>
        <w:contextualSpacing w:val="0"/>
        <w:jc w:val="left"/>
        <w:rPr>
          <w:color w:val="FF0000"/>
          <w:sz w:val="28"/>
          <w:szCs w:val="28"/>
        </w:rPr>
      </w:pPr>
      <w:r w:rsidRPr="001F7B6D">
        <w:rPr>
          <w:color w:val="FF0000"/>
          <w:sz w:val="28"/>
          <w:szCs w:val="28"/>
        </w:rPr>
        <w:t>&lt;REGARDING THE APPROVAL&gt;</w:t>
      </w:r>
    </w:p>
    <w:p w14:paraId="0256DD43" w14:textId="77777777" w:rsidR="001F7B6D" w:rsidRPr="001F7B6D" w:rsidRDefault="00000000" w:rsidP="001F7B6D">
      <w:pPr>
        <w:pStyle w:val="ListParagraph"/>
        <w:numPr>
          <w:ilvl w:val="0"/>
          <w:numId w:val="5"/>
        </w:numPr>
        <w:spacing w:after="240" w:line="264" w:lineRule="auto"/>
        <w:ind w:left="357" w:hanging="357"/>
        <w:contextualSpacing w:val="0"/>
        <w:jc w:val="left"/>
        <w:rPr>
          <w:sz w:val="28"/>
          <w:szCs w:val="28"/>
        </w:rPr>
      </w:pPr>
      <w:r w:rsidRPr="001F7B6D">
        <w:rPr>
          <w:b/>
          <w:sz w:val="28"/>
          <w:szCs w:val="28"/>
        </w:rPr>
        <w:t>MARKETING AUTHORISATION NUMBER(S)</w:t>
      </w:r>
    </w:p>
    <w:p w14:paraId="11509122" w14:textId="7AAE0DDD" w:rsidR="00DD1EBA" w:rsidRPr="001F7B6D" w:rsidRDefault="00000000" w:rsidP="001F7B6D">
      <w:pPr>
        <w:pStyle w:val="ListParagraph"/>
        <w:spacing w:after="240" w:line="264" w:lineRule="auto"/>
        <w:ind w:left="357" w:firstLine="0"/>
        <w:contextualSpacing w:val="0"/>
        <w:jc w:val="left"/>
        <w:rPr>
          <w:sz w:val="28"/>
          <w:szCs w:val="28"/>
        </w:rPr>
      </w:pPr>
      <w:r w:rsidRPr="001F7B6D">
        <w:rPr>
          <w:color w:val="FF0000"/>
          <w:sz w:val="28"/>
          <w:szCs w:val="28"/>
        </w:rPr>
        <w:t>&lt;REGARDING THE APPROVAL&gt;</w:t>
      </w:r>
    </w:p>
    <w:p w14:paraId="43E132E5" w14:textId="77777777" w:rsidR="001F7B6D" w:rsidRPr="001F7B6D" w:rsidRDefault="00000000" w:rsidP="001F7B6D">
      <w:pPr>
        <w:pStyle w:val="ListParagraph"/>
        <w:numPr>
          <w:ilvl w:val="0"/>
          <w:numId w:val="5"/>
        </w:numPr>
        <w:spacing w:after="240" w:line="264" w:lineRule="auto"/>
        <w:ind w:left="357" w:hanging="357"/>
        <w:contextualSpacing w:val="0"/>
        <w:jc w:val="left"/>
        <w:rPr>
          <w:sz w:val="28"/>
          <w:szCs w:val="28"/>
        </w:rPr>
      </w:pPr>
      <w:r w:rsidRPr="001F7B6D">
        <w:rPr>
          <w:b/>
          <w:sz w:val="28"/>
          <w:szCs w:val="28"/>
        </w:rPr>
        <w:t>DATE OF FIRST AUTHORISATION/RENEWAL OF THE AUTHORISATION</w:t>
      </w:r>
    </w:p>
    <w:p w14:paraId="60DB07D0" w14:textId="77777777" w:rsidR="001F7B6D" w:rsidRDefault="00000000" w:rsidP="001F7B6D">
      <w:pPr>
        <w:pStyle w:val="ListParagraph"/>
        <w:spacing w:after="240" w:line="264" w:lineRule="auto"/>
        <w:ind w:left="357" w:firstLine="0"/>
        <w:contextualSpacing w:val="0"/>
        <w:jc w:val="left"/>
        <w:rPr>
          <w:color w:val="FF0000"/>
          <w:sz w:val="28"/>
          <w:szCs w:val="28"/>
        </w:rPr>
      </w:pPr>
      <w:r w:rsidRPr="001F7B6D">
        <w:rPr>
          <w:color w:val="FF0000"/>
          <w:sz w:val="28"/>
          <w:szCs w:val="28"/>
        </w:rPr>
        <w:t>&lt;REGARDING THE APPROVAL&gt;</w:t>
      </w:r>
    </w:p>
    <w:p w14:paraId="7A57695B" w14:textId="77777777" w:rsidR="001F7B6D" w:rsidRDefault="00000000" w:rsidP="001F7B6D">
      <w:pPr>
        <w:pStyle w:val="ListParagraph"/>
        <w:numPr>
          <w:ilvl w:val="0"/>
          <w:numId w:val="5"/>
        </w:numPr>
        <w:spacing w:after="240" w:line="264" w:lineRule="auto"/>
        <w:ind w:left="357" w:hanging="357"/>
        <w:contextualSpacing w:val="0"/>
        <w:jc w:val="left"/>
        <w:rPr>
          <w:b/>
          <w:bCs/>
          <w:sz w:val="28"/>
          <w:szCs w:val="28"/>
        </w:rPr>
      </w:pPr>
      <w:r w:rsidRPr="001F7B6D">
        <w:rPr>
          <w:b/>
          <w:bCs/>
          <w:sz w:val="28"/>
          <w:szCs w:val="28"/>
        </w:rPr>
        <w:t>DATE OF REVISION OF THE TEXT</w:t>
      </w:r>
      <w:r w:rsidRPr="001F7B6D">
        <w:rPr>
          <w:b/>
          <w:bCs/>
          <w:vertAlign w:val="superscript"/>
        </w:rPr>
        <w:footnoteReference w:id="1"/>
      </w:r>
    </w:p>
    <w:p w14:paraId="3F0B3492" w14:textId="1C18B152" w:rsidR="00DD1EBA" w:rsidRPr="001F7B6D" w:rsidRDefault="00000000" w:rsidP="001F7B6D">
      <w:pPr>
        <w:pStyle w:val="ListParagraph"/>
        <w:spacing w:after="240" w:line="264" w:lineRule="auto"/>
        <w:ind w:left="360" w:firstLine="0"/>
        <w:jc w:val="left"/>
        <w:rPr>
          <w:b/>
          <w:bCs/>
          <w:sz w:val="28"/>
          <w:szCs w:val="28"/>
        </w:rPr>
      </w:pPr>
      <w:r w:rsidRPr="001F7B6D">
        <w:rPr>
          <w:color w:val="FF0000"/>
          <w:sz w:val="28"/>
          <w:szCs w:val="28"/>
        </w:rPr>
        <w:t>&lt;REGARDING THE APPROVAL&gt;</w:t>
      </w:r>
    </w:p>
    <w:sectPr w:rsidR="00DD1EBA" w:rsidRPr="001F7B6D" w:rsidSect="00722E38">
      <w:footnotePr>
        <w:numRestart w:val="eachPage"/>
      </w:footnotePr>
      <w:pgSz w:w="11920" w:h="16840"/>
      <w:pgMar w:top="1985" w:right="1418" w:bottom="1985"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D66B" w14:textId="77777777" w:rsidR="008962E2" w:rsidRDefault="008962E2">
      <w:pPr>
        <w:spacing w:after="0" w:line="240" w:lineRule="auto"/>
      </w:pPr>
      <w:r>
        <w:separator/>
      </w:r>
    </w:p>
  </w:endnote>
  <w:endnote w:type="continuationSeparator" w:id="0">
    <w:p w14:paraId="097B858F" w14:textId="77777777" w:rsidR="008962E2" w:rsidRDefault="0089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2E08" w14:textId="77777777" w:rsidR="008962E2" w:rsidRDefault="008962E2">
      <w:pPr>
        <w:spacing w:after="0" w:line="259" w:lineRule="auto"/>
        <w:ind w:left="1170" w:firstLine="0"/>
        <w:jc w:val="left"/>
      </w:pPr>
      <w:r>
        <w:separator/>
      </w:r>
    </w:p>
  </w:footnote>
  <w:footnote w:type="continuationSeparator" w:id="0">
    <w:p w14:paraId="79788679" w14:textId="77777777" w:rsidR="008962E2" w:rsidRDefault="008962E2">
      <w:pPr>
        <w:spacing w:after="0" w:line="259" w:lineRule="auto"/>
        <w:ind w:left="1170" w:firstLine="0"/>
        <w:jc w:val="left"/>
      </w:pPr>
      <w:r>
        <w:continuationSeparator/>
      </w:r>
    </w:p>
  </w:footnote>
  <w:footnote w:id="1">
    <w:p w14:paraId="050508A0" w14:textId="77777777" w:rsidR="00DD1EBA" w:rsidRDefault="00000000" w:rsidP="001F7B6D">
      <w:pPr>
        <w:pStyle w:val="footnotedescription"/>
        <w:ind w:left="0"/>
      </w:pPr>
      <w:r>
        <w:rPr>
          <w:rStyle w:val="footnotemark"/>
        </w:rPr>
        <w:footnoteRef/>
      </w:r>
      <w:r>
        <w:t xml:space="preserve"> Ref: Erythromycin, MHRA, 30/03/2022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32E4"/>
    <w:multiLevelType w:val="hybridMultilevel"/>
    <w:tmpl w:val="290862A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6D54BD7"/>
    <w:multiLevelType w:val="hybridMultilevel"/>
    <w:tmpl w:val="B7EC6F3E"/>
    <w:lvl w:ilvl="0" w:tplc="FB0ED478">
      <w:start w:val="1"/>
      <w:numFmt w:val="decimal"/>
      <w:lvlText w:val="%1."/>
      <w:lvlJc w:val="left"/>
      <w:pPr>
        <w:ind w:left="28" w:hanging="360"/>
      </w:pPr>
      <w:rPr>
        <w:b/>
        <w:bCs/>
      </w:rPr>
    </w:lvl>
    <w:lvl w:ilvl="1" w:tplc="04090019" w:tentative="1">
      <w:start w:val="1"/>
      <w:numFmt w:val="lowerLetter"/>
      <w:lvlText w:val="%2."/>
      <w:lvlJc w:val="left"/>
      <w:pPr>
        <w:ind w:left="748" w:hanging="360"/>
      </w:pPr>
    </w:lvl>
    <w:lvl w:ilvl="2" w:tplc="0409001B" w:tentative="1">
      <w:start w:val="1"/>
      <w:numFmt w:val="lowerRoman"/>
      <w:lvlText w:val="%3."/>
      <w:lvlJc w:val="right"/>
      <w:pPr>
        <w:ind w:left="1468" w:hanging="180"/>
      </w:pPr>
    </w:lvl>
    <w:lvl w:ilvl="3" w:tplc="0409000F" w:tentative="1">
      <w:start w:val="1"/>
      <w:numFmt w:val="decimal"/>
      <w:lvlText w:val="%4."/>
      <w:lvlJc w:val="left"/>
      <w:pPr>
        <w:ind w:left="2188" w:hanging="360"/>
      </w:pPr>
    </w:lvl>
    <w:lvl w:ilvl="4" w:tplc="04090019" w:tentative="1">
      <w:start w:val="1"/>
      <w:numFmt w:val="lowerLetter"/>
      <w:lvlText w:val="%5."/>
      <w:lvlJc w:val="left"/>
      <w:pPr>
        <w:ind w:left="2908" w:hanging="360"/>
      </w:pPr>
    </w:lvl>
    <w:lvl w:ilvl="5" w:tplc="0409001B" w:tentative="1">
      <w:start w:val="1"/>
      <w:numFmt w:val="lowerRoman"/>
      <w:lvlText w:val="%6."/>
      <w:lvlJc w:val="right"/>
      <w:pPr>
        <w:ind w:left="3628" w:hanging="180"/>
      </w:pPr>
    </w:lvl>
    <w:lvl w:ilvl="6" w:tplc="0409000F" w:tentative="1">
      <w:start w:val="1"/>
      <w:numFmt w:val="decimal"/>
      <w:lvlText w:val="%7."/>
      <w:lvlJc w:val="left"/>
      <w:pPr>
        <w:ind w:left="4348" w:hanging="360"/>
      </w:pPr>
    </w:lvl>
    <w:lvl w:ilvl="7" w:tplc="04090019" w:tentative="1">
      <w:start w:val="1"/>
      <w:numFmt w:val="lowerLetter"/>
      <w:lvlText w:val="%8."/>
      <w:lvlJc w:val="left"/>
      <w:pPr>
        <w:ind w:left="5068" w:hanging="360"/>
      </w:pPr>
    </w:lvl>
    <w:lvl w:ilvl="8" w:tplc="0409001B" w:tentative="1">
      <w:start w:val="1"/>
      <w:numFmt w:val="lowerRoman"/>
      <w:lvlText w:val="%9."/>
      <w:lvlJc w:val="right"/>
      <w:pPr>
        <w:ind w:left="5788" w:hanging="180"/>
      </w:pPr>
    </w:lvl>
  </w:abstractNum>
  <w:abstractNum w:abstractNumId="2" w15:restartNumberingAfterBreak="0">
    <w:nsid w:val="07E33407"/>
    <w:multiLevelType w:val="hybridMultilevel"/>
    <w:tmpl w:val="76889F4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544112B"/>
    <w:multiLevelType w:val="hybridMultilevel"/>
    <w:tmpl w:val="B90C8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F37A3"/>
    <w:multiLevelType w:val="hybridMultilevel"/>
    <w:tmpl w:val="70DE95E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79678E6"/>
    <w:multiLevelType w:val="hybridMultilevel"/>
    <w:tmpl w:val="DFC05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57529"/>
    <w:multiLevelType w:val="hybridMultilevel"/>
    <w:tmpl w:val="E244D718"/>
    <w:lvl w:ilvl="0" w:tplc="FB0ED478">
      <w:start w:val="1"/>
      <w:numFmt w:val="decimal"/>
      <w:lvlText w:val="%1."/>
      <w:lvlJc w:val="left"/>
      <w:pPr>
        <w:ind w:left="371" w:hanging="360"/>
      </w:pPr>
      <w:rPr>
        <w:b/>
        <w:bCs/>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7" w15:restartNumberingAfterBreak="0">
    <w:nsid w:val="289635DF"/>
    <w:multiLevelType w:val="hybridMultilevel"/>
    <w:tmpl w:val="E904C69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2E331A41"/>
    <w:multiLevelType w:val="hybridMultilevel"/>
    <w:tmpl w:val="BE0201DC"/>
    <w:lvl w:ilvl="0" w:tplc="B1F48FD6">
      <w:start w:val="1"/>
      <w:numFmt w:val="decimal"/>
      <w:lvlText w:val="%1."/>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A7414">
      <w:start w:val="1"/>
      <w:numFmt w:val="lowerLetter"/>
      <w:lvlText w:val="%2"/>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6BAE0">
      <w:start w:val="1"/>
      <w:numFmt w:val="lowerRoman"/>
      <w:lvlText w:val="%3"/>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689B8">
      <w:start w:val="1"/>
      <w:numFmt w:val="decimal"/>
      <w:lvlText w:val="%4"/>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44AC0">
      <w:start w:val="1"/>
      <w:numFmt w:val="lowerLetter"/>
      <w:lvlText w:val="%5"/>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4878A">
      <w:start w:val="1"/>
      <w:numFmt w:val="lowerRoman"/>
      <w:lvlText w:val="%6"/>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2C88A">
      <w:start w:val="1"/>
      <w:numFmt w:val="decimal"/>
      <w:lvlText w:val="%7"/>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C20F8">
      <w:start w:val="1"/>
      <w:numFmt w:val="lowerLetter"/>
      <w:lvlText w:val="%8"/>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2266E">
      <w:start w:val="1"/>
      <w:numFmt w:val="lowerRoman"/>
      <w:lvlText w:val="%9"/>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BF6B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9E5F49"/>
    <w:multiLevelType w:val="multilevel"/>
    <w:tmpl w:val="F7D437C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F312C2"/>
    <w:multiLevelType w:val="hybridMultilevel"/>
    <w:tmpl w:val="C15C7BD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4996861"/>
    <w:multiLevelType w:val="hybridMultilevel"/>
    <w:tmpl w:val="3E0A8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4D0BFD"/>
    <w:multiLevelType w:val="hybridMultilevel"/>
    <w:tmpl w:val="5914E06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525A1209"/>
    <w:multiLevelType w:val="hybridMultilevel"/>
    <w:tmpl w:val="52B8B358"/>
    <w:lvl w:ilvl="0" w:tplc="B936F1C0">
      <w:start w:val="7"/>
      <w:numFmt w:val="decimal"/>
      <w:lvlText w:val="%1"/>
      <w:lvlJc w:val="left"/>
      <w:pPr>
        <w:ind w:left="8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4CB71E">
      <w:start w:val="1"/>
      <w:numFmt w:val="lowerLetter"/>
      <w:lvlText w:val="%2"/>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CEA0964">
      <w:start w:val="1"/>
      <w:numFmt w:val="lowerRoman"/>
      <w:lvlText w:val="%3"/>
      <w:lvlJc w:val="left"/>
      <w:pPr>
        <w:ind w:left="1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B8B694">
      <w:start w:val="1"/>
      <w:numFmt w:val="decimal"/>
      <w:lvlText w:val="%4"/>
      <w:lvlJc w:val="left"/>
      <w:pPr>
        <w:ind w:left="25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CBEEA76">
      <w:start w:val="1"/>
      <w:numFmt w:val="lowerLetter"/>
      <w:lvlText w:val="%5"/>
      <w:lvlJc w:val="left"/>
      <w:pPr>
        <w:ind w:left="32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184714">
      <w:start w:val="1"/>
      <w:numFmt w:val="lowerRoman"/>
      <w:lvlText w:val="%6"/>
      <w:lvlJc w:val="left"/>
      <w:pPr>
        <w:ind w:left="40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FEF238">
      <w:start w:val="1"/>
      <w:numFmt w:val="decimal"/>
      <w:lvlText w:val="%7"/>
      <w:lvlJc w:val="left"/>
      <w:pPr>
        <w:ind w:left="4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CCAA5E8">
      <w:start w:val="1"/>
      <w:numFmt w:val="lowerLetter"/>
      <w:lvlText w:val="%8"/>
      <w:lvlJc w:val="left"/>
      <w:pPr>
        <w:ind w:left="54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0905588">
      <w:start w:val="1"/>
      <w:numFmt w:val="lowerRoman"/>
      <w:lvlText w:val="%9"/>
      <w:lvlJc w:val="left"/>
      <w:pPr>
        <w:ind w:left="61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620C8A"/>
    <w:multiLevelType w:val="multilevel"/>
    <w:tmpl w:val="F7D437C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64D3A"/>
    <w:multiLevelType w:val="multilevel"/>
    <w:tmpl w:val="F7D437C4"/>
    <w:styleLink w:val="CurrentList1"/>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D13837"/>
    <w:multiLevelType w:val="hybridMultilevel"/>
    <w:tmpl w:val="92AC574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num w:numId="1" w16cid:durableId="1323387770">
    <w:abstractNumId w:val="8"/>
  </w:num>
  <w:num w:numId="2" w16cid:durableId="1814440486">
    <w:abstractNumId w:val="14"/>
  </w:num>
  <w:num w:numId="3" w16cid:durableId="111749082">
    <w:abstractNumId w:val="1"/>
  </w:num>
  <w:num w:numId="4" w16cid:durableId="1853303998">
    <w:abstractNumId w:val="6"/>
  </w:num>
  <w:num w:numId="5" w16cid:durableId="139546423">
    <w:abstractNumId w:val="10"/>
  </w:num>
  <w:num w:numId="6" w16cid:durableId="996106159">
    <w:abstractNumId w:val="4"/>
  </w:num>
  <w:num w:numId="7" w16cid:durableId="1228225778">
    <w:abstractNumId w:val="11"/>
  </w:num>
  <w:num w:numId="8" w16cid:durableId="1854224602">
    <w:abstractNumId w:val="12"/>
  </w:num>
  <w:num w:numId="9" w16cid:durableId="636298630">
    <w:abstractNumId w:val="9"/>
  </w:num>
  <w:num w:numId="10" w16cid:durableId="445348115">
    <w:abstractNumId w:val="3"/>
  </w:num>
  <w:num w:numId="11" w16cid:durableId="2079403760">
    <w:abstractNumId w:val="17"/>
  </w:num>
  <w:num w:numId="12" w16cid:durableId="1138304095">
    <w:abstractNumId w:val="2"/>
  </w:num>
  <w:num w:numId="13" w16cid:durableId="1740597371">
    <w:abstractNumId w:val="16"/>
  </w:num>
  <w:num w:numId="14" w16cid:durableId="642469415">
    <w:abstractNumId w:val="0"/>
  </w:num>
  <w:num w:numId="15" w16cid:durableId="1869753520">
    <w:abstractNumId w:val="5"/>
  </w:num>
  <w:num w:numId="16" w16cid:durableId="1012996348">
    <w:abstractNumId w:val="7"/>
  </w:num>
  <w:num w:numId="17" w16cid:durableId="1707174013">
    <w:abstractNumId w:val="15"/>
  </w:num>
  <w:num w:numId="18" w16cid:durableId="404229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BA"/>
    <w:rsid w:val="001F7B6D"/>
    <w:rsid w:val="002320B2"/>
    <w:rsid w:val="003E14C3"/>
    <w:rsid w:val="00493D17"/>
    <w:rsid w:val="00722E38"/>
    <w:rsid w:val="007C75AE"/>
    <w:rsid w:val="00800F90"/>
    <w:rsid w:val="008962E2"/>
    <w:rsid w:val="00A144D6"/>
    <w:rsid w:val="00A65708"/>
    <w:rsid w:val="00DC4A65"/>
    <w:rsid w:val="00DD1EBA"/>
    <w:rsid w:val="00FA6C2A"/>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227A9B40"/>
  <w15:docId w15:val="{8097A68C-62FA-D74C-BA1D-C878602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3" w:line="268" w:lineRule="auto"/>
      <w:ind w:left="118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08" w:line="265" w:lineRule="auto"/>
      <w:ind w:left="10" w:right="19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8" w:line="270"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8" w:line="270" w:lineRule="auto"/>
      <w:ind w:left="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8" w:line="270"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9" w:lineRule="auto"/>
      <w:ind w:left="1170"/>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paragraph" w:styleId="ListParagraph">
    <w:name w:val="List Paragraph"/>
    <w:basedOn w:val="Normal"/>
    <w:uiPriority w:val="34"/>
    <w:qFormat/>
    <w:rsid w:val="00722E38"/>
    <w:pPr>
      <w:ind w:left="720"/>
      <w:contextualSpacing/>
    </w:pPr>
    <w:rPr>
      <w:rFonts w:cs="Angsana New"/>
    </w:rPr>
  </w:style>
  <w:style w:type="numbering" w:customStyle="1" w:styleId="CurrentList1">
    <w:name w:val="Current List1"/>
    <w:uiPriority w:val="99"/>
    <w:rsid w:val="003E14C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1</TotalTime>
  <Pages>19</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7063_1_erythromycin stearate_enteric-coated tablet_smpc_MHRA.docx</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7063_1_erythromycin stearate_enteric-coated tablet_smpc_MHRA.docx</dc:title>
  <dc:subject/>
  <dc:creator>PIYATIDA PANITSUPAKAMOL</dc:creator>
  <cp:keywords/>
  <cp:lastModifiedBy>PIYATIDA PANITSUPAKAMOL</cp:lastModifiedBy>
  <cp:revision>2</cp:revision>
  <dcterms:created xsi:type="dcterms:W3CDTF">2024-09-05T14:12:00Z</dcterms:created>
  <dcterms:modified xsi:type="dcterms:W3CDTF">2024-09-05T14:12:00Z</dcterms:modified>
</cp:coreProperties>
</file>