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2837" w14:textId="77777777" w:rsidR="000718DE" w:rsidRPr="00F42D77" w:rsidRDefault="00000000" w:rsidP="00F42D77">
      <w:pPr>
        <w:spacing w:after="0" w:line="480" w:lineRule="auto"/>
        <w:ind w:left="194"/>
        <w:jc w:val="center"/>
        <w:rPr>
          <w:sz w:val="28"/>
          <w:szCs w:val="28"/>
        </w:rPr>
      </w:pPr>
      <w:r w:rsidRPr="00F42D77">
        <w:rPr>
          <w:rFonts w:ascii="Times New Roman" w:eastAsia="Times New Roman" w:hAnsi="Times New Roman" w:cs="Times New Roman"/>
          <w:b/>
          <w:sz w:val="28"/>
          <w:szCs w:val="28"/>
        </w:rPr>
        <w:t>SUMMARYOFPRODUCTCHARACTERISTICS</w:t>
      </w:r>
    </w:p>
    <w:p w14:paraId="66EA006B" w14:textId="77777777" w:rsidR="00F42D77" w:rsidRPr="00F42D77" w:rsidRDefault="00000000" w:rsidP="00F42D77">
      <w:pPr>
        <w:pStyle w:val="Heading1"/>
        <w:numPr>
          <w:ilvl w:val="0"/>
          <w:numId w:val="3"/>
        </w:numPr>
        <w:tabs>
          <w:tab w:val="center" w:pos="3290"/>
        </w:tabs>
        <w:spacing w:after="240" w:line="264" w:lineRule="auto"/>
        <w:rPr>
          <w:szCs w:val="28"/>
        </w:rPr>
      </w:pPr>
      <w:r w:rsidRPr="00F42D77">
        <w:rPr>
          <w:szCs w:val="28"/>
        </w:rPr>
        <w:t>NAME</w:t>
      </w:r>
      <w:r w:rsidR="00F42D77" w:rsidRPr="00F42D77">
        <w:rPr>
          <w:szCs w:val="28"/>
        </w:rPr>
        <w:t xml:space="preserve"> </w:t>
      </w:r>
      <w:r w:rsidRPr="00F42D77">
        <w:rPr>
          <w:szCs w:val="28"/>
        </w:rPr>
        <w:t>OF</w:t>
      </w:r>
      <w:r w:rsidR="00F42D77" w:rsidRPr="00F42D77">
        <w:rPr>
          <w:szCs w:val="28"/>
        </w:rPr>
        <w:t xml:space="preserve"> </w:t>
      </w:r>
      <w:r w:rsidRPr="00F42D77">
        <w:rPr>
          <w:szCs w:val="28"/>
        </w:rPr>
        <w:t>THEMEDICINAL</w:t>
      </w:r>
      <w:r w:rsidR="00F42D77" w:rsidRPr="00F42D77">
        <w:rPr>
          <w:szCs w:val="28"/>
        </w:rPr>
        <w:t xml:space="preserve"> </w:t>
      </w:r>
      <w:r w:rsidRPr="00F42D77">
        <w:rPr>
          <w:szCs w:val="28"/>
        </w:rPr>
        <w:t>PRODUCT</w:t>
      </w:r>
    </w:p>
    <w:p w14:paraId="33BF440A" w14:textId="77777777" w:rsidR="00F42D77" w:rsidRPr="00F42D77" w:rsidRDefault="00000000" w:rsidP="00F42D77">
      <w:pPr>
        <w:pStyle w:val="Heading1"/>
        <w:tabs>
          <w:tab w:val="center" w:pos="3290"/>
        </w:tabs>
        <w:spacing w:after="0" w:line="360" w:lineRule="auto"/>
        <w:ind w:left="633" w:firstLine="0"/>
        <w:rPr>
          <w:b w:val="0"/>
          <w:bCs/>
          <w:szCs w:val="28"/>
        </w:rPr>
      </w:pPr>
      <w:r w:rsidRPr="00F42D77">
        <w:rPr>
          <w:b w:val="0"/>
          <w:bCs/>
          <w:color w:val="FF0000"/>
          <w:szCs w:val="28"/>
        </w:rPr>
        <w:t xml:space="preserve">&lt;TRADE NAME&gt; &lt;STRENGTH&gt; </w:t>
      </w:r>
      <w:r w:rsidRPr="00F42D77">
        <w:rPr>
          <w:b w:val="0"/>
          <w:bCs/>
          <w:szCs w:val="28"/>
        </w:rPr>
        <w:t>Lozenges</w:t>
      </w:r>
    </w:p>
    <w:p w14:paraId="5DD81D5E" w14:textId="4BB5B341" w:rsidR="000718DE" w:rsidRPr="00F42D77" w:rsidRDefault="00000000" w:rsidP="00F42D77">
      <w:pPr>
        <w:pStyle w:val="Heading1"/>
        <w:tabs>
          <w:tab w:val="center" w:pos="3290"/>
        </w:tabs>
        <w:spacing w:after="240" w:line="360" w:lineRule="auto"/>
        <w:ind w:left="635" w:firstLine="0"/>
        <w:rPr>
          <w:b w:val="0"/>
          <w:bCs/>
          <w:szCs w:val="28"/>
        </w:rPr>
      </w:pPr>
      <w:r w:rsidRPr="00F42D77">
        <w:rPr>
          <w:b w:val="0"/>
          <w:bCs/>
          <w:color w:val="FF0000"/>
          <w:szCs w:val="28"/>
        </w:rPr>
        <w:t>&lt;REGARDING TE APPROVAL&gt;</w:t>
      </w:r>
    </w:p>
    <w:p w14:paraId="1DB7D2E2" w14:textId="77777777" w:rsidR="00F42D77" w:rsidRPr="00F42D77" w:rsidRDefault="00000000" w:rsidP="00F42D77">
      <w:pPr>
        <w:pStyle w:val="Heading1"/>
        <w:numPr>
          <w:ilvl w:val="0"/>
          <w:numId w:val="3"/>
        </w:numPr>
        <w:tabs>
          <w:tab w:val="center" w:pos="4205"/>
        </w:tabs>
        <w:rPr>
          <w:szCs w:val="28"/>
        </w:rPr>
      </w:pPr>
      <w:r w:rsidRPr="00F42D77">
        <w:rPr>
          <w:szCs w:val="28"/>
        </w:rPr>
        <w:t>QUALITATIVEANDQUANTITATIVECOMPOSITION</w:t>
      </w:r>
    </w:p>
    <w:p w14:paraId="739CD7D1" w14:textId="77777777" w:rsidR="00F42D77" w:rsidRDefault="00000000" w:rsidP="00F42D77">
      <w:pPr>
        <w:pStyle w:val="Heading1"/>
        <w:tabs>
          <w:tab w:val="center" w:pos="4205"/>
        </w:tabs>
        <w:spacing w:after="240" w:line="264" w:lineRule="auto"/>
        <w:ind w:left="357" w:firstLine="0"/>
        <w:rPr>
          <w:b w:val="0"/>
          <w:bCs/>
          <w:color w:val="FF0000"/>
          <w:szCs w:val="28"/>
        </w:rPr>
      </w:pPr>
      <w:r w:rsidRPr="00F42D77">
        <w:rPr>
          <w:b w:val="0"/>
          <w:bCs/>
          <w:szCs w:val="28"/>
        </w:rPr>
        <w:t xml:space="preserve">Each Lozenges contains </w:t>
      </w:r>
      <w:r w:rsidRPr="00F42D77">
        <w:rPr>
          <w:b w:val="0"/>
          <w:bCs/>
          <w:color w:val="FF0000"/>
          <w:szCs w:val="28"/>
        </w:rPr>
        <w:t>&lt;STRENGTH&gt; &lt;GENERIC NAME&gt;</w:t>
      </w:r>
    </w:p>
    <w:p w14:paraId="6F01600A" w14:textId="77777777" w:rsidR="00F42D77" w:rsidRDefault="00000000" w:rsidP="00F42D77">
      <w:pPr>
        <w:pStyle w:val="Heading1"/>
        <w:tabs>
          <w:tab w:val="center" w:pos="4205"/>
        </w:tabs>
        <w:spacing w:after="0" w:line="360" w:lineRule="auto"/>
        <w:ind w:left="360" w:firstLine="0"/>
        <w:rPr>
          <w:b w:val="0"/>
          <w:bCs/>
          <w:iCs/>
          <w:szCs w:val="28"/>
        </w:rPr>
      </w:pPr>
      <w:r w:rsidRPr="00F42D77">
        <w:rPr>
          <w:b w:val="0"/>
          <w:bCs/>
          <w:iCs/>
          <w:szCs w:val="28"/>
        </w:rPr>
        <w:t>Excipient with known effect:</w:t>
      </w:r>
    </w:p>
    <w:p w14:paraId="2E152879" w14:textId="77777777" w:rsidR="00F42D77" w:rsidRDefault="00000000" w:rsidP="00F42D77">
      <w:pPr>
        <w:pStyle w:val="Heading1"/>
        <w:tabs>
          <w:tab w:val="center" w:pos="4205"/>
        </w:tabs>
        <w:spacing w:after="240" w:line="360" w:lineRule="auto"/>
        <w:ind w:left="357" w:firstLine="0"/>
        <w:rPr>
          <w:b w:val="0"/>
          <w:color w:val="FF0000"/>
          <w:szCs w:val="28"/>
        </w:rPr>
      </w:pPr>
      <w:r w:rsidRPr="00F42D77">
        <w:rPr>
          <w:b w:val="0"/>
          <w:color w:val="FF0000"/>
          <w:szCs w:val="28"/>
        </w:rPr>
        <w:t>&lt;REGARDING THE APPROVAL&gt;</w:t>
      </w:r>
    </w:p>
    <w:p w14:paraId="7A8E0D9B" w14:textId="3D883990" w:rsidR="000718DE" w:rsidRPr="00F42D77" w:rsidRDefault="00000000" w:rsidP="00F42D77">
      <w:pPr>
        <w:pStyle w:val="Heading1"/>
        <w:tabs>
          <w:tab w:val="center" w:pos="4205"/>
        </w:tabs>
        <w:spacing w:after="240" w:line="264" w:lineRule="auto"/>
        <w:ind w:left="357" w:firstLine="0"/>
        <w:rPr>
          <w:b w:val="0"/>
          <w:bCs/>
          <w:iCs/>
          <w:szCs w:val="28"/>
        </w:rPr>
      </w:pPr>
      <w:r w:rsidRPr="00F42D77">
        <w:rPr>
          <w:b w:val="0"/>
          <w:bCs/>
          <w:szCs w:val="28"/>
        </w:rPr>
        <w:t>For the full list of excipients, see section 6.1.</w:t>
      </w:r>
    </w:p>
    <w:p w14:paraId="615A953E" w14:textId="77777777" w:rsidR="00F42D77" w:rsidRPr="00F42D77" w:rsidRDefault="00000000" w:rsidP="00F42D77">
      <w:pPr>
        <w:pStyle w:val="ListParagraph"/>
        <w:numPr>
          <w:ilvl w:val="0"/>
          <w:numId w:val="3"/>
        </w:numPr>
        <w:tabs>
          <w:tab w:val="center" w:pos="2300"/>
        </w:tabs>
        <w:spacing w:after="240" w:line="264" w:lineRule="auto"/>
        <w:ind w:left="357" w:hanging="357"/>
        <w:contextualSpacing w:val="0"/>
        <w:rPr>
          <w:sz w:val="28"/>
          <w:szCs w:val="28"/>
        </w:rPr>
      </w:pPr>
      <w:r w:rsidRPr="00F42D77">
        <w:rPr>
          <w:rFonts w:ascii="Times New Roman" w:eastAsia="Times New Roman" w:hAnsi="Times New Roman" w:cs="Times New Roman"/>
          <w:b/>
          <w:sz w:val="28"/>
          <w:szCs w:val="28"/>
        </w:rPr>
        <w:t>PHARMACEUTICAL FORM</w:t>
      </w:r>
    </w:p>
    <w:p w14:paraId="176D4B9B" w14:textId="77777777" w:rsidR="00F42D77" w:rsidRDefault="00000000" w:rsidP="00F42D77">
      <w:pPr>
        <w:pStyle w:val="ListParagraph"/>
        <w:tabs>
          <w:tab w:val="center" w:pos="2300"/>
        </w:tabs>
        <w:spacing w:after="299" w:line="360" w:lineRule="auto"/>
        <w:ind w:left="360"/>
        <w:rPr>
          <w:rFonts w:ascii="Times New Roman" w:eastAsia="Times New Roman" w:hAnsi="Times New Roman" w:cs="Times New Roman"/>
          <w:sz w:val="28"/>
          <w:szCs w:val="28"/>
        </w:rPr>
      </w:pPr>
      <w:r w:rsidRPr="00F42D77">
        <w:rPr>
          <w:rFonts w:ascii="Times New Roman" w:eastAsia="Times New Roman" w:hAnsi="Times New Roman" w:cs="Times New Roman"/>
          <w:sz w:val="28"/>
          <w:szCs w:val="28"/>
        </w:rPr>
        <w:t>Lozenge</w:t>
      </w:r>
    </w:p>
    <w:p w14:paraId="66733508" w14:textId="040D9081" w:rsidR="000718DE" w:rsidRDefault="00000000" w:rsidP="00F42D77">
      <w:pPr>
        <w:pStyle w:val="ListParagraph"/>
        <w:tabs>
          <w:tab w:val="center" w:pos="2300"/>
        </w:tabs>
        <w:spacing w:after="299" w:line="360" w:lineRule="auto"/>
        <w:ind w:left="360"/>
        <w:rPr>
          <w:rFonts w:ascii="Times New Roman" w:eastAsia="Times New Roman" w:hAnsi="Times New Roman" w:cs="Times New Roman"/>
          <w:color w:val="FF0000"/>
          <w:sz w:val="28"/>
          <w:szCs w:val="28"/>
        </w:rPr>
      </w:pPr>
      <w:r w:rsidRPr="00F42D77">
        <w:rPr>
          <w:rFonts w:ascii="Times New Roman" w:eastAsia="Times New Roman" w:hAnsi="Times New Roman" w:cs="Times New Roman"/>
          <w:color w:val="FF0000"/>
          <w:sz w:val="28"/>
          <w:szCs w:val="28"/>
        </w:rPr>
        <w:t>&lt;REGARDING THE APPROVAL&gt;</w:t>
      </w:r>
    </w:p>
    <w:p w14:paraId="2AD06789" w14:textId="77777777" w:rsidR="00F42D77" w:rsidRDefault="00F42D77" w:rsidP="00F42D77">
      <w:pPr>
        <w:pStyle w:val="Heading1"/>
        <w:numPr>
          <w:ilvl w:val="0"/>
          <w:numId w:val="3"/>
        </w:numPr>
        <w:tabs>
          <w:tab w:val="center" w:pos="2450"/>
        </w:tabs>
        <w:spacing w:after="240" w:line="360" w:lineRule="auto"/>
        <w:ind w:left="357" w:hanging="357"/>
        <w:rPr>
          <w:szCs w:val="28"/>
        </w:rPr>
      </w:pPr>
      <w:r w:rsidRPr="00F42D77">
        <w:rPr>
          <w:szCs w:val="28"/>
        </w:rPr>
        <w:t>CLINICALPARTICULARS</w:t>
      </w:r>
    </w:p>
    <w:p w14:paraId="1820ABDE" w14:textId="77777777" w:rsidR="00F42D77" w:rsidRDefault="00F42D77" w:rsidP="00F42D77">
      <w:pPr>
        <w:pStyle w:val="Heading1"/>
        <w:numPr>
          <w:ilvl w:val="1"/>
          <w:numId w:val="3"/>
        </w:numPr>
        <w:tabs>
          <w:tab w:val="center" w:pos="2450"/>
        </w:tabs>
        <w:spacing w:after="240" w:line="264" w:lineRule="auto"/>
        <w:ind w:left="788" w:hanging="431"/>
        <w:rPr>
          <w:szCs w:val="28"/>
        </w:rPr>
      </w:pPr>
      <w:r w:rsidRPr="00F42D77">
        <w:rPr>
          <w:szCs w:val="28"/>
        </w:rPr>
        <w:t>Therapeutic indications</w:t>
      </w:r>
    </w:p>
    <w:p w14:paraId="386E26DC" w14:textId="77777777" w:rsidR="00F42D77" w:rsidRPr="00F42D77" w:rsidRDefault="00F42D77" w:rsidP="00F42D77">
      <w:pPr>
        <w:pStyle w:val="Heading1"/>
        <w:tabs>
          <w:tab w:val="center" w:pos="2450"/>
        </w:tabs>
        <w:spacing w:after="240" w:line="360" w:lineRule="auto"/>
        <w:ind w:left="794" w:firstLine="0"/>
        <w:jc w:val="thaiDistribute"/>
        <w:rPr>
          <w:b w:val="0"/>
          <w:bCs/>
          <w:szCs w:val="28"/>
        </w:rPr>
      </w:pPr>
      <w:r w:rsidRPr="00F42D77">
        <w:rPr>
          <w:b w:val="0"/>
          <w:bCs/>
          <w:szCs w:val="28"/>
        </w:rPr>
        <w:t>Cough suppressant for the relief of acute non-productive (dry, tickly) cough associated with respiratory tract infection.</w:t>
      </w:r>
    </w:p>
    <w:p w14:paraId="74D59D23" w14:textId="77777777" w:rsidR="00F42D77" w:rsidRPr="00F42D77" w:rsidRDefault="00F42D77" w:rsidP="00F42D77">
      <w:pPr>
        <w:pStyle w:val="Heading1"/>
        <w:tabs>
          <w:tab w:val="center" w:pos="2450"/>
        </w:tabs>
        <w:spacing w:after="240" w:line="360" w:lineRule="auto"/>
        <w:ind w:left="794" w:firstLine="0"/>
        <w:jc w:val="thaiDistribute"/>
        <w:rPr>
          <w:b w:val="0"/>
          <w:bCs/>
          <w:szCs w:val="28"/>
        </w:rPr>
      </w:pPr>
      <w:r w:rsidRPr="00F42D77">
        <w:rPr>
          <w:b w:val="0"/>
          <w:bCs/>
          <w:szCs w:val="28"/>
        </w:rPr>
        <w:t>For oral administration.</w:t>
      </w:r>
    </w:p>
    <w:p w14:paraId="23DCD57C" w14:textId="77777777" w:rsidR="00F42D77" w:rsidRPr="00F42D77" w:rsidRDefault="00F42D77" w:rsidP="00F42D77">
      <w:pPr>
        <w:pStyle w:val="ListParagraph"/>
        <w:tabs>
          <w:tab w:val="center" w:pos="2300"/>
        </w:tabs>
        <w:spacing w:after="299" w:line="360" w:lineRule="auto"/>
        <w:ind w:left="360"/>
        <w:rPr>
          <w:sz w:val="28"/>
          <w:szCs w:val="28"/>
        </w:rPr>
      </w:pPr>
    </w:p>
    <w:p w14:paraId="2786BCE0" w14:textId="77777777" w:rsidR="00F42D77" w:rsidRDefault="00000000" w:rsidP="00F42D77">
      <w:pPr>
        <w:pStyle w:val="Heading2"/>
        <w:numPr>
          <w:ilvl w:val="1"/>
          <w:numId w:val="3"/>
        </w:numPr>
        <w:tabs>
          <w:tab w:val="center" w:pos="2735"/>
        </w:tabs>
        <w:rPr>
          <w:sz w:val="28"/>
          <w:szCs w:val="28"/>
        </w:rPr>
      </w:pPr>
      <w:r w:rsidRPr="00F42D77">
        <w:rPr>
          <w:sz w:val="28"/>
          <w:szCs w:val="28"/>
        </w:rPr>
        <w:lastRenderedPageBreak/>
        <w:t>Posology and method of administration</w:t>
      </w:r>
    </w:p>
    <w:p w14:paraId="2B85310F" w14:textId="77777777" w:rsidR="00F42D77" w:rsidRDefault="00000000"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u w:val="single"/>
        </w:rPr>
        <w:t>Adults and children over 12 years</w:t>
      </w:r>
      <w:r w:rsidRPr="00F42D77">
        <w:rPr>
          <w:b w:val="0"/>
          <w:bCs/>
          <w:sz w:val="28"/>
          <w:szCs w:val="28"/>
        </w:rPr>
        <w:t>: A lozenge should be sucked whenever the cough is troublesome. Not more than 10 lozenges should be taken in one day</w:t>
      </w:r>
      <w:r w:rsidR="00F42D77">
        <w:rPr>
          <w:b w:val="0"/>
          <w:bCs/>
          <w:sz w:val="28"/>
          <w:szCs w:val="28"/>
        </w:rPr>
        <w:t>.</w:t>
      </w:r>
    </w:p>
    <w:p w14:paraId="2366F472" w14:textId="77777777" w:rsidR="00F42D77" w:rsidRDefault="00000000"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rPr>
        <w:t>The normal adult dose is still appropriate in the elderly.</w:t>
      </w:r>
    </w:p>
    <w:p w14:paraId="2EFAD971" w14:textId="77777777" w:rsidR="00F42D77" w:rsidRDefault="00000000"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u w:val="single"/>
        </w:rPr>
        <w:t>Children 6 to 12 years</w:t>
      </w:r>
      <w:r w:rsidRPr="00F42D77">
        <w:rPr>
          <w:b w:val="0"/>
          <w:bCs/>
          <w:sz w:val="28"/>
          <w:szCs w:val="28"/>
        </w:rPr>
        <w:t>: Not more than 2 lozenges within any 4 hours, and not more than 7 in any one day</w:t>
      </w:r>
      <w:r w:rsidR="00F42D77">
        <w:rPr>
          <w:b w:val="0"/>
          <w:bCs/>
          <w:sz w:val="28"/>
          <w:szCs w:val="28"/>
        </w:rPr>
        <w:t>.</w:t>
      </w:r>
    </w:p>
    <w:p w14:paraId="0970D547" w14:textId="77F23027" w:rsidR="00F42D77" w:rsidRPr="00F42D77" w:rsidRDefault="00F42D77"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rPr>
        <w:t>N</w:t>
      </w:r>
      <w:r w:rsidRPr="00F42D77">
        <w:rPr>
          <w:b w:val="0"/>
          <w:bCs/>
          <w:sz w:val="28"/>
          <w:szCs w:val="28"/>
        </w:rPr>
        <w:t>ot to be used for more than 5 days without the advice of a doctor. Parents or carers should seek medical attention if the child's condition deteriorates during treatment.</w:t>
      </w:r>
    </w:p>
    <w:p w14:paraId="5D07F780" w14:textId="77777777" w:rsidR="00F42D77" w:rsidRPr="00F42D77" w:rsidRDefault="00000000"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rPr>
        <w:t>This medicine is contraindicated in children under 6 years of age (see sectio</w:t>
      </w:r>
      <w:r w:rsidR="00F42D77" w:rsidRPr="00F42D77">
        <w:rPr>
          <w:b w:val="0"/>
          <w:bCs/>
          <w:sz w:val="28"/>
          <w:szCs w:val="28"/>
        </w:rPr>
        <w:t xml:space="preserve">n </w:t>
      </w:r>
      <w:r w:rsidRPr="00F42D77">
        <w:rPr>
          <w:b w:val="0"/>
          <w:bCs/>
          <w:sz w:val="28"/>
          <w:szCs w:val="28"/>
        </w:rPr>
        <w:t>4.3).</w:t>
      </w:r>
    </w:p>
    <w:p w14:paraId="4265886D" w14:textId="77777777" w:rsidR="00F42D77" w:rsidRPr="00F42D77" w:rsidRDefault="00000000"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rPr>
        <w:t>Warning: Do not exceed the stated dose</w:t>
      </w:r>
      <w:r w:rsidR="00F42D77" w:rsidRPr="00F42D77">
        <w:rPr>
          <w:b w:val="0"/>
          <w:bCs/>
          <w:sz w:val="28"/>
          <w:szCs w:val="28"/>
        </w:rPr>
        <w:t>.</w:t>
      </w:r>
    </w:p>
    <w:p w14:paraId="11CC897C" w14:textId="5886B1F2" w:rsidR="000718DE" w:rsidRPr="00F42D77" w:rsidRDefault="00000000" w:rsidP="00F42D77">
      <w:pPr>
        <w:pStyle w:val="Heading2"/>
        <w:tabs>
          <w:tab w:val="center" w:pos="2735"/>
        </w:tabs>
        <w:spacing w:after="240" w:line="360" w:lineRule="auto"/>
        <w:ind w:left="794" w:firstLine="0"/>
        <w:jc w:val="thaiDistribute"/>
        <w:rPr>
          <w:b w:val="0"/>
          <w:bCs/>
          <w:sz w:val="28"/>
          <w:szCs w:val="28"/>
        </w:rPr>
      </w:pPr>
      <w:r w:rsidRPr="00F42D77">
        <w:rPr>
          <w:b w:val="0"/>
          <w:bCs/>
          <w:sz w:val="28"/>
          <w:szCs w:val="28"/>
        </w:rPr>
        <w:t>Keep all medicines out of the sight and reach of children.</w:t>
      </w:r>
    </w:p>
    <w:p w14:paraId="2B11CE43" w14:textId="77777777" w:rsidR="00F42D77" w:rsidRDefault="00000000" w:rsidP="00F42D77">
      <w:pPr>
        <w:pStyle w:val="Heading2"/>
        <w:numPr>
          <w:ilvl w:val="1"/>
          <w:numId w:val="3"/>
        </w:numPr>
        <w:tabs>
          <w:tab w:val="center" w:pos="1655"/>
        </w:tabs>
        <w:spacing w:after="379"/>
        <w:rPr>
          <w:sz w:val="28"/>
          <w:szCs w:val="28"/>
        </w:rPr>
      </w:pPr>
      <w:r w:rsidRPr="00F42D77">
        <w:rPr>
          <w:sz w:val="28"/>
          <w:szCs w:val="28"/>
        </w:rPr>
        <w:t>Contraindications</w:t>
      </w:r>
    </w:p>
    <w:p w14:paraId="388C916D" w14:textId="77777777" w:rsidR="00F42D77" w:rsidRPr="00F42D77" w:rsidRDefault="00000000" w:rsidP="00F42D77">
      <w:pPr>
        <w:pStyle w:val="Heading2"/>
        <w:numPr>
          <w:ilvl w:val="0"/>
          <w:numId w:val="5"/>
        </w:numPr>
        <w:tabs>
          <w:tab w:val="center" w:pos="1655"/>
        </w:tabs>
        <w:spacing w:after="0" w:line="360" w:lineRule="auto"/>
        <w:jc w:val="thaiDistribute"/>
        <w:rPr>
          <w:b w:val="0"/>
          <w:bCs/>
          <w:sz w:val="28"/>
          <w:szCs w:val="28"/>
        </w:rPr>
      </w:pPr>
      <w:r w:rsidRPr="00F42D77">
        <w:rPr>
          <w:b w:val="0"/>
          <w:bCs/>
          <w:sz w:val="28"/>
          <w:szCs w:val="28"/>
        </w:rPr>
        <w:t>Hypersensitivity to the active substance or any of the excipients.</w:t>
      </w:r>
    </w:p>
    <w:p w14:paraId="08E87647" w14:textId="77777777" w:rsidR="00F42D77" w:rsidRPr="00F42D77" w:rsidRDefault="00000000" w:rsidP="00F42D77">
      <w:pPr>
        <w:pStyle w:val="Heading2"/>
        <w:numPr>
          <w:ilvl w:val="0"/>
          <w:numId w:val="5"/>
        </w:numPr>
        <w:tabs>
          <w:tab w:val="center" w:pos="1655"/>
        </w:tabs>
        <w:spacing w:after="0" w:line="360" w:lineRule="auto"/>
        <w:jc w:val="thaiDistribute"/>
        <w:rPr>
          <w:b w:val="0"/>
          <w:bCs/>
          <w:sz w:val="28"/>
          <w:szCs w:val="28"/>
        </w:rPr>
      </w:pPr>
      <w:r w:rsidRPr="00F42D77">
        <w:rPr>
          <w:b w:val="0"/>
          <w:bCs/>
          <w:color w:val="FF0000"/>
          <w:sz w:val="28"/>
          <w:szCs w:val="28"/>
        </w:rPr>
        <w:t xml:space="preserve">&lt;GENERIC NAME&gt; </w:t>
      </w:r>
      <w:r w:rsidRPr="00F42D77">
        <w:rPr>
          <w:b w:val="0"/>
          <w:bCs/>
          <w:sz w:val="28"/>
          <w:szCs w:val="28"/>
        </w:rPr>
        <w:t>should not be given to subjects in, or at risk of</w:t>
      </w:r>
      <w:r w:rsidR="00F42D77" w:rsidRPr="00F42D77">
        <w:rPr>
          <w:b w:val="0"/>
          <w:bCs/>
          <w:sz w:val="28"/>
          <w:szCs w:val="28"/>
        </w:rPr>
        <w:t xml:space="preserve"> </w:t>
      </w:r>
      <w:r w:rsidRPr="00F42D77">
        <w:rPr>
          <w:b w:val="0"/>
          <w:bCs/>
          <w:sz w:val="28"/>
          <w:szCs w:val="28"/>
        </w:rPr>
        <w:t>developing respiratory failure.</w:t>
      </w:r>
    </w:p>
    <w:p w14:paraId="19E8CBC1" w14:textId="77777777" w:rsidR="00F42D77" w:rsidRPr="00F42D77" w:rsidRDefault="00000000" w:rsidP="00F42D77">
      <w:pPr>
        <w:pStyle w:val="Heading2"/>
        <w:numPr>
          <w:ilvl w:val="0"/>
          <w:numId w:val="5"/>
        </w:numPr>
        <w:tabs>
          <w:tab w:val="center" w:pos="1655"/>
        </w:tabs>
        <w:spacing w:after="0" w:line="360" w:lineRule="auto"/>
        <w:jc w:val="thaiDistribute"/>
        <w:rPr>
          <w:b w:val="0"/>
          <w:bCs/>
          <w:sz w:val="28"/>
          <w:szCs w:val="28"/>
        </w:rPr>
      </w:pPr>
      <w:r w:rsidRPr="00F42D77">
        <w:rPr>
          <w:b w:val="0"/>
          <w:bCs/>
          <w:sz w:val="28"/>
          <w:szCs w:val="28"/>
        </w:rPr>
        <w:t>Should not be taken by patients with liver disease.</w:t>
      </w:r>
    </w:p>
    <w:p w14:paraId="2F9732C5" w14:textId="77777777" w:rsidR="00F42D77" w:rsidRPr="00F42D77" w:rsidRDefault="00000000" w:rsidP="00F42D77">
      <w:pPr>
        <w:pStyle w:val="Heading2"/>
        <w:numPr>
          <w:ilvl w:val="0"/>
          <w:numId w:val="5"/>
        </w:numPr>
        <w:tabs>
          <w:tab w:val="center" w:pos="1655"/>
        </w:tabs>
        <w:spacing w:after="0" w:line="360" w:lineRule="auto"/>
        <w:jc w:val="thaiDistribute"/>
        <w:rPr>
          <w:b w:val="0"/>
          <w:bCs/>
          <w:sz w:val="28"/>
          <w:szCs w:val="28"/>
        </w:rPr>
      </w:pPr>
      <w:r w:rsidRPr="00F42D77">
        <w:rPr>
          <w:b w:val="0"/>
          <w:bCs/>
          <w:sz w:val="28"/>
          <w:szCs w:val="28"/>
        </w:rPr>
        <w:t>Patients taking monoamine oxidase inhibitors (MAOIs) or within 14</w:t>
      </w:r>
      <w:r w:rsidR="00F42D77" w:rsidRPr="00F42D77">
        <w:rPr>
          <w:b w:val="0"/>
          <w:bCs/>
          <w:sz w:val="28"/>
          <w:szCs w:val="28"/>
        </w:rPr>
        <w:t xml:space="preserve"> </w:t>
      </w:r>
      <w:r w:rsidRPr="00F42D77">
        <w:rPr>
          <w:b w:val="0"/>
          <w:bCs/>
          <w:sz w:val="28"/>
          <w:szCs w:val="28"/>
        </w:rPr>
        <w:t>days of stopping such treatment (see also section 4.5).</w:t>
      </w:r>
    </w:p>
    <w:p w14:paraId="0A8B832D" w14:textId="77777777" w:rsidR="00F42D77" w:rsidRPr="00F42D77" w:rsidRDefault="00000000" w:rsidP="00F42D77">
      <w:pPr>
        <w:pStyle w:val="Heading2"/>
        <w:numPr>
          <w:ilvl w:val="0"/>
          <w:numId w:val="5"/>
        </w:numPr>
        <w:tabs>
          <w:tab w:val="center" w:pos="1655"/>
        </w:tabs>
        <w:spacing w:after="0" w:line="360" w:lineRule="auto"/>
        <w:jc w:val="thaiDistribute"/>
        <w:rPr>
          <w:b w:val="0"/>
          <w:bCs/>
          <w:sz w:val="28"/>
          <w:szCs w:val="28"/>
        </w:rPr>
      </w:pPr>
      <w:r w:rsidRPr="00F42D77">
        <w:rPr>
          <w:b w:val="0"/>
          <w:bCs/>
          <w:sz w:val="28"/>
          <w:szCs w:val="28"/>
        </w:rPr>
        <w:lastRenderedPageBreak/>
        <w:t>Patients taking selective serotonin reuptake inhibitors (SSRI's, see</w:t>
      </w:r>
      <w:r w:rsidR="00F42D77" w:rsidRPr="00F42D77">
        <w:rPr>
          <w:b w:val="0"/>
          <w:bCs/>
          <w:sz w:val="28"/>
          <w:szCs w:val="28"/>
        </w:rPr>
        <w:t xml:space="preserve"> </w:t>
      </w:r>
      <w:r w:rsidRPr="00F42D77">
        <w:rPr>
          <w:b w:val="0"/>
          <w:bCs/>
          <w:sz w:val="28"/>
          <w:szCs w:val="28"/>
        </w:rPr>
        <w:t>section 4.5)</w:t>
      </w:r>
      <w:r w:rsidR="00F42D77" w:rsidRPr="00F42D77">
        <w:rPr>
          <w:b w:val="0"/>
          <w:bCs/>
          <w:sz w:val="28"/>
          <w:szCs w:val="28"/>
        </w:rPr>
        <w:t>.</w:t>
      </w:r>
    </w:p>
    <w:p w14:paraId="7DA35203" w14:textId="122E053C" w:rsidR="000718DE" w:rsidRPr="00F42D77" w:rsidRDefault="00000000" w:rsidP="00F42D77">
      <w:pPr>
        <w:pStyle w:val="Heading2"/>
        <w:numPr>
          <w:ilvl w:val="0"/>
          <w:numId w:val="5"/>
        </w:numPr>
        <w:tabs>
          <w:tab w:val="center" w:pos="1655"/>
        </w:tabs>
        <w:spacing w:after="240" w:line="360" w:lineRule="auto"/>
        <w:ind w:left="1508" w:hanging="357"/>
        <w:jc w:val="thaiDistribute"/>
        <w:rPr>
          <w:b w:val="0"/>
          <w:bCs/>
          <w:sz w:val="28"/>
          <w:szCs w:val="28"/>
        </w:rPr>
      </w:pPr>
      <w:r w:rsidRPr="00F42D77">
        <w:rPr>
          <w:b w:val="0"/>
          <w:bCs/>
          <w:sz w:val="28"/>
          <w:szCs w:val="28"/>
        </w:rPr>
        <w:t>Not to be used in children under the age of 6 years</w:t>
      </w:r>
    </w:p>
    <w:p w14:paraId="6A98D409" w14:textId="77777777" w:rsidR="00F42D77" w:rsidRDefault="00000000" w:rsidP="00F42D77">
      <w:pPr>
        <w:pStyle w:val="Heading2"/>
        <w:numPr>
          <w:ilvl w:val="1"/>
          <w:numId w:val="3"/>
        </w:numPr>
        <w:tabs>
          <w:tab w:val="center" w:pos="3260"/>
        </w:tabs>
        <w:rPr>
          <w:sz w:val="28"/>
          <w:szCs w:val="28"/>
        </w:rPr>
      </w:pPr>
      <w:r w:rsidRPr="00F42D77">
        <w:rPr>
          <w:sz w:val="28"/>
          <w:szCs w:val="28"/>
        </w:rPr>
        <w:t>Special warnings and precautions for use</w:t>
      </w:r>
    </w:p>
    <w:p w14:paraId="32D3C7C5" w14:textId="77777777" w:rsidR="00F42D77" w:rsidRPr="00F42D77" w:rsidRDefault="00000000" w:rsidP="00F42D77">
      <w:pPr>
        <w:pStyle w:val="Heading2"/>
        <w:tabs>
          <w:tab w:val="center" w:pos="3260"/>
        </w:tabs>
        <w:spacing w:after="240" w:line="360" w:lineRule="auto"/>
        <w:ind w:left="794" w:firstLine="0"/>
        <w:jc w:val="thaiDistribute"/>
        <w:rPr>
          <w:b w:val="0"/>
          <w:bCs/>
          <w:sz w:val="28"/>
          <w:szCs w:val="28"/>
        </w:rPr>
      </w:pPr>
      <w:r w:rsidRPr="00F42D77">
        <w:rPr>
          <w:b w:val="0"/>
          <w:bCs/>
          <w:sz w:val="28"/>
          <w:szCs w:val="28"/>
        </w:rPr>
        <w:t>Should be used with caution in atopic children due to</w:t>
      </w:r>
      <w:r w:rsidR="00F42D77" w:rsidRPr="00F42D77">
        <w:rPr>
          <w:b w:val="0"/>
          <w:bCs/>
          <w:sz w:val="28"/>
          <w:szCs w:val="28"/>
        </w:rPr>
        <w:t xml:space="preserve"> </w:t>
      </w:r>
      <w:r w:rsidRPr="00F42D77">
        <w:rPr>
          <w:b w:val="0"/>
          <w:bCs/>
          <w:sz w:val="28"/>
          <w:szCs w:val="28"/>
        </w:rPr>
        <w:t>histamine release.</w:t>
      </w:r>
    </w:p>
    <w:p w14:paraId="0E6DAFCB" w14:textId="77777777" w:rsidR="00F42D77" w:rsidRPr="00F42D77" w:rsidRDefault="00000000" w:rsidP="00F42D77">
      <w:pPr>
        <w:pStyle w:val="Heading2"/>
        <w:tabs>
          <w:tab w:val="center" w:pos="3260"/>
        </w:tabs>
        <w:spacing w:after="240" w:line="360" w:lineRule="auto"/>
        <w:ind w:left="794" w:firstLine="0"/>
        <w:jc w:val="thaiDistribute"/>
        <w:rPr>
          <w:b w:val="0"/>
          <w:bCs/>
          <w:sz w:val="28"/>
          <w:szCs w:val="28"/>
        </w:rPr>
      </w:pPr>
      <w:r w:rsidRPr="00F42D77">
        <w:rPr>
          <w:b w:val="0"/>
          <w:bCs/>
          <w:sz w:val="28"/>
          <w:szCs w:val="28"/>
        </w:rPr>
        <w:t>Ask a doctor before use if you suffer from a chronic or</w:t>
      </w:r>
      <w:r w:rsidR="00F42D77" w:rsidRPr="00F42D77">
        <w:rPr>
          <w:b w:val="0"/>
          <w:bCs/>
          <w:sz w:val="28"/>
          <w:szCs w:val="28"/>
        </w:rPr>
        <w:t xml:space="preserve"> </w:t>
      </w:r>
      <w:r w:rsidRPr="00F42D77">
        <w:rPr>
          <w:b w:val="0"/>
          <w:bCs/>
          <w:sz w:val="28"/>
          <w:szCs w:val="28"/>
        </w:rPr>
        <w:t>persistent cough, if you have asthma or are suffering from an acute asthma attack or where cough is accompanied by excessive secretions.</w:t>
      </w:r>
    </w:p>
    <w:p w14:paraId="0B851656" w14:textId="77777777" w:rsidR="00F42D77" w:rsidRPr="00F42D77" w:rsidRDefault="00000000" w:rsidP="00F42D77">
      <w:pPr>
        <w:pStyle w:val="Heading2"/>
        <w:tabs>
          <w:tab w:val="center" w:pos="3260"/>
        </w:tabs>
        <w:spacing w:after="240" w:line="360" w:lineRule="auto"/>
        <w:ind w:left="794" w:firstLine="0"/>
        <w:jc w:val="thaiDistribute"/>
        <w:rPr>
          <w:b w:val="0"/>
          <w:bCs/>
          <w:sz w:val="28"/>
          <w:szCs w:val="28"/>
        </w:rPr>
      </w:pPr>
      <w:r w:rsidRPr="00F42D77">
        <w:rPr>
          <w:b w:val="0"/>
          <w:bCs/>
          <w:sz w:val="28"/>
          <w:szCs w:val="28"/>
        </w:rPr>
        <w:t>Do not take with any other cough and cold medicine.</w:t>
      </w:r>
    </w:p>
    <w:p w14:paraId="577EC4E3" w14:textId="77777777" w:rsidR="00F42D77" w:rsidRPr="00F42D77" w:rsidRDefault="00000000" w:rsidP="00F42D77">
      <w:pPr>
        <w:pStyle w:val="Heading2"/>
        <w:tabs>
          <w:tab w:val="center" w:pos="3260"/>
        </w:tabs>
        <w:spacing w:after="240" w:line="360" w:lineRule="auto"/>
        <w:ind w:left="794" w:firstLine="0"/>
        <w:jc w:val="thaiDistribute"/>
        <w:rPr>
          <w:b w:val="0"/>
          <w:bCs/>
          <w:sz w:val="28"/>
          <w:szCs w:val="28"/>
        </w:rPr>
      </w:pPr>
      <w:r w:rsidRPr="00F42D77">
        <w:rPr>
          <w:b w:val="0"/>
          <w:bCs/>
          <w:sz w:val="28"/>
          <w:szCs w:val="28"/>
        </w:rPr>
        <w:t xml:space="preserve">Use of </w:t>
      </w:r>
      <w:r w:rsidRPr="00F42D77">
        <w:rPr>
          <w:b w:val="0"/>
          <w:bCs/>
          <w:color w:val="FF0000"/>
          <w:sz w:val="28"/>
          <w:szCs w:val="28"/>
        </w:rPr>
        <w:t xml:space="preserve">&lt;GENERIC NAME&gt; </w:t>
      </w:r>
      <w:r w:rsidRPr="00F42D77">
        <w:rPr>
          <w:b w:val="0"/>
          <w:bCs/>
          <w:sz w:val="28"/>
          <w:szCs w:val="28"/>
        </w:rPr>
        <w:t>with alcohol or other CNS depressants ma</w:t>
      </w:r>
      <w:r w:rsidR="00F42D77" w:rsidRPr="00F42D77">
        <w:rPr>
          <w:b w:val="0"/>
          <w:bCs/>
          <w:sz w:val="28"/>
          <w:szCs w:val="28"/>
        </w:rPr>
        <w:t xml:space="preserve">y </w:t>
      </w:r>
      <w:r w:rsidRPr="00F42D77">
        <w:rPr>
          <w:b w:val="0"/>
          <w:bCs/>
          <w:sz w:val="28"/>
          <w:szCs w:val="28"/>
        </w:rPr>
        <w:t>increase the</w:t>
      </w:r>
      <w:r w:rsidRPr="00F42D77">
        <w:rPr>
          <w:b w:val="0"/>
          <w:bCs/>
          <w:sz w:val="28"/>
          <w:szCs w:val="28"/>
        </w:rPr>
        <w:tab/>
        <w:t>effects on the CNS and cause toxicity in relatively smaller doses.</w:t>
      </w:r>
    </w:p>
    <w:p w14:paraId="513ADC2C" w14:textId="77777777" w:rsidR="00F42D77" w:rsidRPr="00F42D77" w:rsidRDefault="00000000" w:rsidP="00F42D77">
      <w:pPr>
        <w:pStyle w:val="Heading2"/>
        <w:tabs>
          <w:tab w:val="center" w:pos="3260"/>
        </w:tabs>
        <w:spacing w:before="240" w:after="240" w:line="360" w:lineRule="auto"/>
        <w:ind w:left="794" w:firstLine="0"/>
        <w:jc w:val="thaiDistribute"/>
        <w:rPr>
          <w:b w:val="0"/>
          <w:bCs/>
          <w:sz w:val="28"/>
          <w:szCs w:val="28"/>
          <w:u w:val="single" w:color="000000"/>
        </w:rPr>
      </w:pPr>
      <w:r w:rsidRPr="00F42D77">
        <w:rPr>
          <w:b w:val="0"/>
          <w:bCs/>
          <w:sz w:val="28"/>
          <w:szCs w:val="28"/>
          <w:u w:val="single" w:color="000000"/>
        </w:rPr>
        <w:t>Drug dependence, tolerance and potential for abuse</w:t>
      </w:r>
    </w:p>
    <w:p w14:paraId="56AFF6F2" w14:textId="77777777" w:rsidR="00F42D77" w:rsidRPr="00F42D77" w:rsidRDefault="00000000" w:rsidP="00F42D77">
      <w:pPr>
        <w:pStyle w:val="Heading2"/>
        <w:tabs>
          <w:tab w:val="center" w:pos="3260"/>
        </w:tabs>
        <w:spacing w:line="360" w:lineRule="auto"/>
        <w:ind w:left="792" w:firstLine="0"/>
        <w:jc w:val="thaiDistribute"/>
        <w:rPr>
          <w:b w:val="0"/>
          <w:bCs/>
          <w:sz w:val="28"/>
          <w:szCs w:val="28"/>
        </w:rPr>
      </w:pPr>
      <w:r w:rsidRPr="00F42D77">
        <w:rPr>
          <w:b w:val="0"/>
          <w:bCs/>
          <w:sz w:val="28"/>
          <w:szCs w:val="28"/>
        </w:rPr>
        <w:t>For all patients, prolonged use of this product may lead to drug dependence (addiction), even at therapeutic doses. The risks are increased in individuals with current or past history of substance misuse disorder (including alcohol misuse) or mental health disorder (e.g., major depression)</w:t>
      </w:r>
    </w:p>
    <w:p w14:paraId="0375E598" w14:textId="77777777" w:rsidR="00F42D77" w:rsidRDefault="00F42D77">
      <w:pPr>
        <w:spacing w:line="278" w:lineRule="auto"/>
        <w:rPr>
          <w:rFonts w:ascii="Times New Roman" w:eastAsia="Times New Roman" w:hAnsi="Times New Roman" w:cs="Times New Roman"/>
          <w:b/>
          <w:sz w:val="28"/>
          <w:szCs w:val="28"/>
          <w:u w:val="single" w:color="000000"/>
        </w:rPr>
      </w:pPr>
      <w:r>
        <w:rPr>
          <w:sz w:val="28"/>
          <w:szCs w:val="28"/>
          <w:u w:val="single" w:color="000000"/>
        </w:rPr>
        <w:br w:type="page"/>
      </w:r>
    </w:p>
    <w:p w14:paraId="075A2E9D" w14:textId="29BAEF2A" w:rsidR="00F42D77" w:rsidRPr="00F42D77" w:rsidRDefault="00000000" w:rsidP="00F42D77">
      <w:pPr>
        <w:pStyle w:val="Heading2"/>
        <w:tabs>
          <w:tab w:val="center" w:pos="3260"/>
        </w:tabs>
        <w:spacing w:after="240" w:line="360" w:lineRule="auto"/>
        <w:ind w:left="794" w:firstLine="0"/>
        <w:jc w:val="thaiDistribute"/>
        <w:rPr>
          <w:b w:val="0"/>
          <w:bCs/>
          <w:sz w:val="28"/>
          <w:szCs w:val="28"/>
          <w:u w:val="single" w:color="000000"/>
        </w:rPr>
      </w:pPr>
      <w:r w:rsidRPr="00F42D77">
        <w:rPr>
          <w:b w:val="0"/>
          <w:bCs/>
          <w:sz w:val="28"/>
          <w:szCs w:val="28"/>
          <w:u w:val="single" w:color="000000"/>
        </w:rPr>
        <w:lastRenderedPageBreak/>
        <w:t>Drug withdrawal syndrome</w:t>
      </w:r>
    </w:p>
    <w:p w14:paraId="6E15D027" w14:textId="77777777" w:rsidR="00E31D35" w:rsidRDefault="00000000" w:rsidP="00E31D35">
      <w:pPr>
        <w:pStyle w:val="Heading2"/>
        <w:tabs>
          <w:tab w:val="center" w:pos="3260"/>
        </w:tabs>
        <w:spacing w:after="240" w:line="360" w:lineRule="auto"/>
        <w:ind w:left="794" w:firstLine="0"/>
        <w:jc w:val="thaiDistribute"/>
        <w:rPr>
          <w:b w:val="0"/>
          <w:bCs/>
          <w:sz w:val="28"/>
          <w:szCs w:val="28"/>
        </w:rPr>
      </w:pPr>
      <w:r w:rsidRPr="00F42D77">
        <w:rPr>
          <w:b w:val="0"/>
          <w:bCs/>
          <w:sz w:val="28"/>
          <w:szCs w:val="28"/>
        </w:rPr>
        <w:t>The drug withdrawal syndrome is characterised by some or all of the following: restlessness, lacrimation, rhinorrhoea, yawning, perspiration, chills, myalgia, mydriasis and palpitations. Other symptoms may also develop including irritability, agitation, anxiety, hyperkinesia, tremor, weakness, insomnia, anorexia, abdominal cramps, nausea, vomiting, diarrhoea, increased blood pressure, increased respiratory rate or heart rate.</w:t>
      </w:r>
    </w:p>
    <w:p w14:paraId="734D9FB8" w14:textId="77777777" w:rsidR="00E31D35" w:rsidRDefault="00000000" w:rsidP="00E31D35">
      <w:pPr>
        <w:pStyle w:val="Heading2"/>
        <w:tabs>
          <w:tab w:val="center" w:pos="3260"/>
        </w:tabs>
        <w:spacing w:after="240" w:line="360" w:lineRule="auto"/>
        <w:ind w:left="794" w:firstLine="0"/>
        <w:jc w:val="thaiDistribute"/>
        <w:rPr>
          <w:b w:val="0"/>
          <w:bCs/>
          <w:sz w:val="28"/>
          <w:szCs w:val="28"/>
        </w:rPr>
      </w:pPr>
      <w:r w:rsidRPr="00E31D35">
        <w:rPr>
          <w:b w:val="0"/>
          <w:bCs/>
          <w:color w:val="FF0000"/>
          <w:sz w:val="28"/>
          <w:szCs w:val="28"/>
        </w:rPr>
        <w:t xml:space="preserve">&lt;GENERIC NAME&gt; </w:t>
      </w:r>
      <w:r w:rsidRPr="00E31D35">
        <w:rPr>
          <w:b w:val="0"/>
          <w:bCs/>
          <w:sz w:val="28"/>
          <w:szCs w:val="28"/>
        </w:rPr>
        <w:t xml:space="preserve">is metabolised by hepatic cytochrome P450 2D6. The activity of this enzyme is genetically determined. About 10% of the general population are poor metabolisers of CYP2D6. Poor metabolisers and patients with concomitant use of CYP2D6 inhibitors may experience exaggerated and/or prolonged effects of </w:t>
      </w:r>
      <w:r w:rsidRPr="00E31D35">
        <w:rPr>
          <w:b w:val="0"/>
          <w:bCs/>
          <w:color w:val="FF0000"/>
          <w:sz w:val="28"/>
          <w:szCs w:val="28"/>
        </w:rPr>
        <w:t>&lt;GENERIC NAME&gt;</w:t>
      </w:r>
      <w:r w:rsidRPr="00E31D35">
        <w:rPr>
          <w:b w:val="0"/>
          <w:bCs/>
          <w:sz w:val="28"/>
          <w:szCs w:val="28"/>
        </w:rPr>
        <w:t>. Caution should therefore be exercised in patients who are slow metabolisers of CYP2D6 or use CYP2D6 inhibitors (see also section 4.5).</w:t>
      </w:r>
    </w:p>
    <w:p w14:paraId="5BA395B6" w14:textId="77777777" w:rsidR="00E31D35" w:rsidRDefault="00000000" w:rsidP="00E31D35">
      <w:pPr>
        <w:pStyle w:val="Heading2"/>
        <w:tabs>
          <w:tab w:val="center" w:pos="3260"/>
        </w:tabs>
        <w:spacing w:line="360" w:lineRule="auto"/>
        <w:ind w:left="792" w:firstLine="0"/>
        <w:jc w:val="thaiDistribute"/>
        <w:rPr>
          <w:b w:val="0"/>
          <w:bCs/>
          <w:sz w:val="28"/>
          <w:szCs w:val="28"/>
        </w:rPr>
      </w:pPr>
      <w:r w:rsidRPr="00E31D35">
        <w:rPr>
          <w:b w:val="0"/>
          <w:bCs/>
          <w:sz w:val="28"/>
          <w:szCs w:val="28"/>
        </w:rPr>
        <w:t>If symptoms do not go away talk to your doctor.</w:t>
      </w:r>
    </w:p>
    <w:p w14:paraId="0302BC24" w14:textId="77777777" w:rsidR="00E31D35" w:rsidRPr="00E31D35" w:rsidRDefault="00000000" w:rsidP="00E31D35">
      <w:pPr>
        <w:pStyle w:val="Heading2"/>
        <w:tabs>
          <w:tab w:val="center" w:pos="3260"/>
        </w:tabs>
        <w:spacing w:after="240" w:line="360" w:lineRule="auto"/>
        <w:ind w:left="794" w:firstLine="0"/>
        <w:jc w:val="thaiDistribute"/>
        <w:rPr>
          <w:b w:val="0"/>
          <w:bCs/>
          <w:sz w:val="28"/>
          <w:szCs w:val="28"/>
          <w:u w:val="single" w:color="000000"/>
        </w:rPr>
      </w:pPr>
      <w:r w:rsidRPr="00E31D35">
        <w:rPr>
          <w:b w:val="0"/>
          <w:bCs/>
          <w:sz w:val="28"/>
          <w:szCs w:val="28"/>
          <w:u w:val="single" w:color="000000"/>
        </w:rPr>
        <w:t>Serotonin Syndrome</w:t>
      </w:r>
    </w:p>
    <w:p w14:paraId="7C1246A8" w14:textId="77777777" w:rsidR="00785962" w:rsidRDefault="00000000" w:rsidP="00785962">
      <w:pPr>
        <w:pStyle w:val="Heading2"/>
        <w:tabs>
          <w:tab w:val="center" w:pos="3260"/>
        </w:tabs>
        <w:spacing w:after="240" w:line="360" w:lineRule="auto"/>
        <w:ind w:left="794" w:firstLine="0"/>
        <w:jc w:val="thaiDistribute"/>
        <w:rPr>
          <w:b w:val="0"/>
          <w:bCs/>
          <w:sz w:val="28"/>
          <w:szCs w:val="28"/>
        </w:rPr>
      </w:pPr>
      <w:r w:rsidRPr="00E31D35">
        <w:rPr>
          <w:b w:val="0"/>
          <w:bCs/>
          <w:sz w:val="28"/>
          <w:szCs w:val="28"/>
        </w:rPr>
        <w:t xml:space="preserve">Serotonergic effects, including the development of a potentially lifethreatening serotonin syndrome, have been reported for </w:t>
      </w:r>
      <w:r w:rsidRPr="00E31D35">
        <w:rPr>
          <w:b w:val="0"/>
          <w:bCs/>
          <w:color w:val="FF0000"/>
          <w:sz w:val="28"/>
          <w:szCs w:val="28"/>
        </w:rPr>
        <w:t xml:space="preserve">&lt;GENERIC NAME&gt; </w:t>
      </w:r>
      <w:r w:rsidRPr="00E31D35">
        <w:rPr>
          <w:b w:val="0"/>
          <w:bCs/>
          <w:sz w:val="28"/>
          <w:szCs w:val="28"/>
        </w:rPr>
        <w:t>with concomitant administration of serotonergic agents, such as selective serotonin re-uptake inhibitors (SSRIs), drugs which impair metabolism of serotonin (including monoamine oxidase inhibitors (MAOIs)) and CYP2D6 inhibitors.</w:t>
      </w:r>
    </w:p>
    <w:p w14:paraId="1495B215" w14:textId="77777777" w:rsidR="00785962" w:rsidRDefault="00000000" w:rsidP="00785962">
      <w:pPr>
        <w:pStyle w:val="Heading2"/>
        <w:tabs>
          <w:tab w:val="center" w:pos="3260"/>
        </w:tabs>
        <w:spacing w:after="240" w:line="360" w:lineRule="auto"/>
        <w:ind w:left="794" w:firstLine="0"/>
        <w:jc w:val="thaiDistribute"/>
        <w:rPr>
          <w:b w:val="0"/>
          <w:bCs/>
          <w:sz w:val="28"/>
          <w:szCs w:val="28"/>
        </w:rPr>
      </w:pPr>
      <w:r w:rsidRPr="00785962">
        <w:rPr>
          <w:b w:val="0"/>
          <w:bCs/>
          <w:sz w:val="28"/>
          <w:szCs w:val="28"/>
        </w:rPr>
        <w:lastRenderedPageBreak/>
        <w:t>Serotonin</w:t>
      </w:r>
      <w:r w:rsidR="00785962">
        <w:rPr>
          <w:b w:val="0"/>
          <w:bCs/>
          <w:sz w:val="28"/>
          <w:szCs w:val="28"/>
        </w:rPr>
        <w:t xml:space="preserve"> </w:t>
      </w:r>
      <w:r w:rsidRPr="00785962">
        <w:rPr>
          <w:b w:val="0"/>
          <w:bCs/>
          <w:sz w:val="28"/>
          <w:szCs w:val="28"/>
        </w:rPr>
        <w:t>syndrome</w:t>
      </w:r>
      <w:r w:rsidRPr="00785962">
        <w:rPr>
          <w:b w:val="0"/>
          <w:bCs/>
          <w:sz w:val="28"/>
          <w:szCs w:val="28"/>
        </w:rPr>
        <w:tab/>
        <w:t>may</w:t>
      </w:r>
      <w:r w:rsidRPr="00785962">
        <w:rPr>
          <w:b w:val="0"/>
          <w:bCs/>
          <w:sz w:val="28"/>
          <w:szCs w:val="28"/>
        </w:rPr>
        <w:tab/>
        <w:t>include mental-status changes, autonomic</w:t>
      </w:r>
      <w:r w:rsidR="00785962">
        <w:rPr>
          <w:b w:val="0"/>
          <w:bCs/>
          <w:sz w:val="28"/>
          <w:szCs w:val="28"/>
        </w:rPr>
        <w:t xml:space="preserve"> </w:t>
      </w:r>
      <w:r w:rsidRPr="00785962">
        <w:rPr>
          <w:b w:val="0"/>
          <w:bCs/>
          <w:sz w:val="28"/>
          <w:szCs w:val="28"/>
        </w:rPr>
        <w:t>instability,</w:t>
      </w:r>
      <w:r w:rsidR="00785962">
        <w:rPr>
          <w:b w:val="0"/>
          <w:bCs/>
          <w:sz w:val="28"/>
          <w:szCs w:val="28"/>
        </w:rPr>
        <w:t xml:space="preserve"> </w:t>
      </w:r>
      <w:r w:rsidRPr="00785962">
        <w:rPr>
          <w:b w:val="0"/>
          <w:bCs/>
          <w:sz w:val="28"/>
          <w:szCs w:val="28"/>
        </w:rPr>
        <w:t>neuromuscular</w:t>
      </w:r>
      <w:r w:rsidR="00785962">
        <w:rPr>
          <w:b w:val="0"/>
          <w:bCs/>
          <w:sz w:val="28"/>
          <w:szCs w:val="28"/>
        </w:rPr>
        <w:t xml:space="preserve"> </w:t>
      </w:r>
      <w:r w:rsidRPr="00785962">
        <w:rPr>
          <w:b w:val="0"/>
          <w:bCs/>
          <w:sz w:val="28"/>
          <w:szCs w:val="28"/>
        </w:rPr>
        <w:t>abnormalities,</w:t>
      </w:r>
      <w:r w:rsidR="00785962">
        <w:rPr>
          <w:b w:val="0"/>
          <w:bCs/>
          <w:sz w:val="28"/>
          <w:szCs w:val="28"/>
        </w:rPr>
        <w:t xml:space="preserve"> </w:t>
      </w:r>
      <w:r w:rsidRPr="00785962">
        <w:rPr>
          <w:b w:val="0"/>
          <w:bCs/>
          <w:sz w:val="28"/>
          <w:szCs w:val="28"/>
        </w:rPr>
        <w:t>and/or gastrointestinal symptoms.</w:t>
      </w:r>
    </w:p>
    <w:p w14:paraId="41C6653B" w14:textId="77777777" w:rsidR="00785962" w:rsidRDefault="00000000" w:rsidP="00785962">
      <w:pPr>
        <w:pStyle w:val="Heading2"/>
        <w:tabs>
          <w:tab w:val="center" w:pos="3260"/>
        </w:tabs>
        <w:spacing w:after="240" w:line="360" w:lineRule="auto"/>
        <w:ind w:left="794" w:firstLine="0"/>
        <w:jc w:val="thaiDistribute"/>
        <w:rPr>
          <w:b w:val="0"/>
          <w:bCs/>
          <w:sz w:val="28"/>
          <w:szCs w:val="28"/>
        </w:rPr>
      </w:pPr>
      <w:r w:rsidRPr="00785962">
        <w:rPr>
          <w:b w:val="0"/>
          <w:bCs/>
          <w:sz w:val="28"/>
          <w:szCs w:val="28"/>
        </w:rPr>
        <w:t xml:space="preserve">If serotonin syndrome is suspected, treatment with </w:t>
      </w:r>
      <w:r w:rsidR="00785962" w:rsidRPr="00785962">
        <w:rPr>
          <w:b w:val="0"/>
          <w:bCs/>
          <w:color w:val="FF0000"/>
          <w:sz w:val="28"/>
          <w:szCs w:val="28"/>
        </w:rPr>
        <w:t>&lt;TRADE NAME&gt;</w:t>
      </w:r>
      <w:r w:rsidR="00785962" w:rsidRPr="00785962">
        <w:rPr>
          <w:b w:val="0"/>
          <w:bCs/>
          <w:color w:val="FF0000"/>
          <w:sz w:val="28"/>
          <w:szCs w:val="28"/>
        </w:rPr>
        <w:t xml:space="preserve"> </w:t>
      </w:r>
      <w:r w:rsidRPr="00785962">
        <w:rPr>
          <w:b w:val="0"/>
          <w:bCs/>
          <w:sz w:val="28"/>
          <w:szCs w:val="28"/>
        </w:rPr>
        <w:t>Lozenges should be discontinued.</w:t>
      </w:r>
    </w:p>
    <w:p w14:paraId="364B98CA" w14:textId="77777777" w:rsidR="00785962" w:rsidRPr="00785962" w:rsidRDefault="00000000" w:rsidP="00785962">
      <w:pPr>
        <w:pStyle w:val="Heading2"/>
        <w:tabs>
          <w:tab w:val="center" w:pos="3260"/>
        </w:tabs>
        <w:spacing w:after="240" w:line="360" w:lineRule="auto"/>
        <w:ind w:left="794" w:firstLine="0"/>
        <w:jc w:val="thaiDistribute"/>
        <w:rPr>
          <w:b w:val="0"/>
          <w:bCs/>
          <w:sz w:val="28"/>
          <w:szCs w:val="28"/>
          <w:u w:val="single" w:color="000000"/>
        </w:rPr>
      </w:pPr>
      <w:r w:rsidRPr="00785962">
        <w:rPr>
          <w:b w:val="0"/>
          <w:bCs/>
          <w:sz w:val="28"/>
          <w:szCs w:val="28"/>
          <w:u w:val="single" w:color="000000"/>
        </w:rPr>
        <w:t>Paediatric population</w:t>
      </w:r>
    </w:p>
    <w:p w14:paraId="177543E5" w14:textId="4C5D672A" w:rsidR="000718DE" w:rsidRPr="00785962" w:rsidRDefault="00000000" w:rsidP="00785962">
      <w:pPr>
        <w:pStyle w:val="Heading2"/>
        <w:tabs>
          <w:tab w:val="center" w:pos="3260"/>
        </w:tabs>
        <w:spacing w:after="240" w:line="360" w:lineRule="auto"/>
        <w:ind w:left="794" w:firstLine="0"/>
        <w:jc w:val="thaiDistribute"/>
        <w:rPr>
          <w:b w:val="0"/>
          <w:bCs/>
          <w:sz w:val="28"/>
          <w:szCs w:val="28"/>
        </w:rPr>
      </w:pPr>
      <w:r w:rsidRPr="00785962">
        <w:rPr>
          <w:b w:val="0"/>
          <w:bCs/>
          <w:sz w:val="28"/>
          <w:szCs w:val="28"/>
        </w:rPr>
        <w:t>Serious adverse events may occur in children in case of overdose including neurological disorders. Caregivers should be advised not to exceed the recommended dose</w:t>
      </w:r>
      <w:r w:rsidRPr="00F42D77">
        <w:rPr>
          <w:sz w:val="28"/>
          <w:szCs w:val="28"/>
        </w:rPr>
        <w:t>.</w:t>
      </w:r>
    </w:p>
    <w:p w14:paraId="77E9F576" w14:textId="77777777" w:rsidR="00785962" w:rsidRPr="00785962" w:rsidRDefault="00000000" w:rsidP="00785962">
      <w:pPr>
        <w:pStyle w:val="Heading2"/>
        <w:numPr>
          <w:ilvl w:val="1"/>
          <w:numId w:val="3"/>
        </w:numPr>
        <w:tabs>
          <w:tab w:val="right" w:pos="8341"/>
        </w:tabs>
        <w:spacing w:after="240" w:line="360" w:lineRule="auto"/>
        <w:ind w:left="788" w:hanging="431"/>
        <w:rPr>
          <w:sz w:val="28"/>
          <w:szCs w:val="28"/>
        </w:rPr>
      </w:pPr>
      <w:r w:rsidRPr="00785962">
        <w:rPr>
          <w:sz w:val="28"/>
          <w:szCs w:val="28"/>
        </w:rPr>
        <w:t>Interaction with other medicinal products and other forms of interaction</w:t>
      </w:r>
    </w:p>
    <w:p w14:paraId="1EC9EDD8" w14:textId="06843BEB" w:rsidR="000718DE" w:rsidRPr="00785962" w:rsidRDefault="00000000" w:rsidP="00785962">
      <w:pPr>
        <w:pStyle w:val="Heading2"/>
        <w:tabs>
          <w:tab w:val="right" w:pos="8341"/>
        </w:tabs>
        <w:spacing w:after="240" w:line="360" w:lineRule="auto"/>
        <w:ind w:left="794" w:firstLine="0"/>
        <w:jc w:val="thaiDistribute"/>
        <w:rPr>
          <w:b w:val="0"/>
          <w:bCs/>
          <w:sz w:val="28"/>
          <w:szCs w:val="28"/>
        </w:rPr>
      </w:pPr>
      <w:r w:rsidRPr="00785962">
        <w:rPr>
          <w:b w:val="0"/>
          <w:bCs/>
          <w:sz w:val="28"/>
          <w:szCs w:val="28"/>
        </w:rPr>
        <w:t>Not to be used in patients taking monoamine oxidase inhibitors or within 14 days of stopping treatment as there is a risk of serotonin syndrome</w:t>
      </w:r>
      <w:r w:rsidR="00785962" w:rsidRPr="00785962">
        <w:rPr>
          <w:b w:val="0"/>
          <w:bCs/>
          <w:sz w:val="28"/>
          <w:szCs w:val="28"/>
        </w:rPr>
        <w:t xml:space="preserve"> </w:t>
      </w:r>
      <w:r w:rsidRPr="00785962">
        <w:rPr>
          <w:b w:val="0"/>
          <w:bCs/>
          <w:sz w:val="28"/>
          <w:szCs w:val="28"/>
        </w:rPr>
        <w:t xml:space="preserve">(pyrexia, hypertension, arrhythmias) when MAOIs are taken in combination with </w:t>
      </w:r>
      <w:r w:rsidRPr="00785962">
        <w:rPr>
          <w:b w:val="0"/>
          <w:bCs/>
          <w:color w:val="FF0000"/>
          <w:sz w:val="28"/>
          <w:szCs w:val="28"/>
        </w:rPr>
        <w:t>&lt;GENERIC NAME&gt;</w:t>
      </w:r>
      <w:r w:rsidRPr="00785962">
        <w:rPr>
          <w:b w:val="0"/>
          <w:bCs/>
          <w:sz w:val="28"/>
          <w:szCs w:val="28"/>
        </w:rPr>
        <w:t>.</w:t>
      </w:r>
    </w:p>
    <w:p w14:paraId="774B14F5" w14:textId="77777777" w:rsidR="00785962" w:rsidRDefault="00000000" w:rsidP="00785962">
      <w:pPr>
        <w:spacing w:after="309" w:line="360" w:lineRule="auto"/>
        <w:ind w:left="710" w:right="-5"/>
        <w:jc w:val="thaiDistribute"/>
        <w:rPr>
          <w:sz w:val="28"/>
          <w:szCs w:val="28"/>
        </w:rPr>
      </w:pPr>
      <w:r w:rsidRPr="00F42D77">
        <w:rPr>
          <w:rFonts w:ascii="Times New Roman" w:eastAsia="Times New Roman" w:hAnsi="Times New Roman" w:cs="Times New Roman"/>
          <w:sz w:val="28"/>
          <w:szCs w:val="28"/>
        </w:rPr>
        <w:t>Severe</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and</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sometimes</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fatal</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reactions</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have</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been</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 xml:space="preserve">reported following administration of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to patients receiving MAOIs (see also section 4.3</w:t>
      </w:r>
      <w:r w:rsidR="00785962">
        <w:rPr>
          <w:rFonts w:ascii="Times New Roman" w:eastAsia="Times New Roman" w:hAnsi="Times New Roman" w:cs="Times New Roman"/>
          <w:sz w:val="28"/>
          <w:szCs w:val="28"/>
        </w:rPr>
        <w:t>).</w:t>
      </w:r>
    </w:p>
    <w:p w14:paraId="6A9410E7" w14:textId="77777777" w:rsidR="00785962" w:rsidRDefault="00000000" w:rsidP="00785962">
      <w:pPr>
        <w:spacing w:after="309" w:line="360" w:lineRule="auto"/>
        <w:ind w:left="710" w:right="-5"/>
        <w:jc w:val="thaiDistribute"/>
        <w:rPr>
          <w:sz w:val="28"/>
          <w:szCs w:val="28"/>
        </w:rPr>
      </w:pP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might exhibit additive CNS depressant effects when coadministered with alcohol, antihistamines, psychotropics, and other CNS depressant drugs.</w:t>
      </w:r>
    </w:p>
    <w:p w14:paraId="7A91F08D" w14:textId="77777777" w:rsidR="00785962" w:rsidRDefault="00785962">
      <w:pPr>
        <w:spacing w:line="27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p w14:paraId="2178A4BD" w14:textId="77777777" w:rsidR="00785962" w:rsidRDefault="00000000" w:rsidP="00785962">
      <w:pPr>
        <w:spacing w:after="309" w:line="360" w:lineRule="auto"/>
        <w:ind w:left="710" w:right="-5"/>
        <w:jc w:val="thaiDistribute"/>
        <w:rPr>
          <w:sz w:val="28"/>
          <w:szCs w:val="28"/>
        </w:rPr>
      </w:pPr>
      <w:r w:rsidRPr="00F42D77">
        <w:rPr>
          <w:rFonts w:ascii="Times New Roman" w:eastAsia="Times New Roman" w:hAnsi="Times New Roman" w:cs="Times New Roman"/>
          <w:sz w:val="28"/>
          <w:szCs w:val="28"/>
          <w:u w:val="single" w:color="000000"/>
        </w:rPr>
        <w:lastRenderedPageBreak/>
        <w:t>CYP2D6 inhibitors</w:t>
      </w:r>
    </w:p>
    <w:p w14:paraId="323BB913" w14:textId="7EE49016" w:rsidR="000718DE" w:rsidRPr="00F42D77" w:rsidRDefault="00000000" w:rsidP="00785962">
      <w:pPr>
        <w:spacing w:after="309" w:line="360" w:lineRule="auto"/>
        <w:ind w:left="710" w:right="-5"/>
        <w:jc w:val="thaiDistribute"/>
        <w:rPr>
          <w:sz w:val="28"/>
          <w:szCs w:val="28"/>
        </w:rPr>
      </w:pP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 xml:space="preserve">is metabolized by CYP2D6 and has an extensive first-pass metabolism. Concomitant use of potent CYP2D6 enzyme inhibitors can increase the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 xml:space="preserve">concentrations in the body to levels multifold higher than normal. This increases the patient’s risk for toxic effects of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 xml:space="preserve">(agitation, confusion, tremor, insomnia, diarrhoea and respiratory depression) and development of serotonin syndrome. Potent CYP2D6 enzyme inhibitors include fluoxetine, paroxetine, quinidine and terbinafine. In concomitant use with quinidine, plasma concentrations of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 xml:space="preserve">have increased up to 20-fold, which has increased the CNS adverse effects of the agent. Amiodarone, flecaninde and propafenone, sertraline, bupropion, methadone, cinacalcet, haloperidol, perphenazine and thioridazine also have similar effects on the metabolism of </w:t>
      </w:r>
      <w:r w:rsidRPr="00F42D77">
        <w:rPr>
          <w:rFonts w:ascii="Times New Roman" w:eastAsia="Times New Roman" w:hAnsi="Times New Roman" w:cs="Times New Roman"/>
          <w:color w:val="FF0000"/>
          <w:sz w:val="28"/>
          <w:szCs w:val="28"/>
        </w:rPr>
        <w:t>&lt;GENERIC NAME&gt;</w:t>
      </w:r>
      <w:r w:rsidRPr="00F42D77">
        <w:rPr>
          <w:rFonts w:ascii="Times New Roman" w:eastAsia="Times New Roman" w:hAnsi="Times New Roman" w:cs="Times New Roman"/>
          <w:sz w:val="28"/>
          <w:szCs w:val="28"/>
        </w:rPr>
        <w:t xml:space="preserve">. If concomitant use of CYP2D6 inhibitors and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 xml:space="preserve">is necessary, the patient should be monitored and the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dose may need to be reduced.</w:t>
      </w:r>
    </w:p>
    <w:p w14:paraId="07BA73A6" w14:textId="77777777" w:rsidR="00785962" w:rsidRDefault="00000000" w:rsidP="00785962">
      <w:pPr>
        <w:pStyle w:val="Heading2"/>
        <w:numPr>
          <w:ilvl w:val="1"/>
          <w:numId w:val="3"/>
        </w:numPr>
        <w:tabs>
          <w:tab w:val="center" w:pos="2885"/>
        </w:tabs>
        <w:spacing w:after="240" w:line="264" w:lineRule="auto"/>
        <w:ind w:left="788" w:hanging="431"/>
        <w:rPr>
          <w:sz w:val="28"/>
          <w:szCs w:val="28"/>
        </w:rPr>
      </w:pPr>
      <w:r w:rsidRPr="00F42D77">
        <w:rPr>
          <w:sz w:val="28"/>
          <w:szCs w:val="28"/>
        </w:rPr>
        <w:lastRenderedPageBreak/>
        <w:t>Fertility, pregnancy and lactation</w:t>
      </w:r>
    </w:p>
    <w:p w14:paraId="52E1FFC8" w14:textId="1E644512" w:rsidR="000718DE" w:rsidRPr="00785962" w:rsidRDefault="00000000" w:rsidP="00785962">
      <w:pPr>
        <w:pStyle w:val="Heading2"/>
        <w:tabs>
          <w:tab w:val="center" w:pos="2885"/>
        </w:tabs>
        <w:spacing w:after="240" w:line="360" w:lineRule="auto"/>
        <w:ind w:left="794" w:firstLine="0"/>
        <w:jc w:val="thaiDistribute"/>
        <w:rPr>
          <w:b w:val="0"/>
          <w:bCs/>
          <w:sz w:val="28"/>
          <w:szCs w:val="28"/>
        </w:rPr>
      </w:pPr>
      <w:r w:rsidRPr="00785962">
        <w:rPr>
          <w:b w:val="0"/>
          <w:bCs/>
          <w:sz w:val="28"/>
          <w:szCs w:val="28"/>
        </w:rPr>
        <w:t xml:space="preserve">There is no or inadequate evidence of the safety of </w:t>
      </w:r>
      <w:r w:rsidRPr="00785962">
        <w:rPr>
          <w:b w:val="0"/>
          <w:bCs/>
          <w:color w:val="FF0000"/>
          <w:sz w:val="28"/>
          <w:szCs w:val="28"/>
        </w:rPr>
        <w:t xml:space="preserve">&lt;GENERIC NAME&gt; </w:t>
      </w:r>
      <w:r w:rsidRPr="00785962">
        <w:rPr>
          <w:b w:val="0"/>
          <w:bCs/>
          <w:sz w:val="28"/>
          <w:szCs w:val="28"/>
        </w:rPr>
        <w:t xml:space="preserve">in human pregnancy and therefore the lozenges should not be used during this period. No information is available on the secretion of </w:t>
      </w:r>
      <w:r w:rsidRPr="00785962">
        <w:rPr>
          <w:b w:val="0"/>
          <w:bCs/>
          <w:color w:val="FF0000"/>
          <w:sz w:val="28"/>
          <w:szCs w:val="28"/>
        </w:rPr>
        <w:t xml:space="preserve">&lt;GENERIC NAME&gt; </w:t>
      </w:r>
      <w:r w:rsidRPr="00785962">
        <w:rPr>
          <w:b w:val="0"/>
          <w:bCs/>
          <w:sz w:val="28"/>
          <w:szCs w:val="28"/>
        </w:rPr>
        <w:t>into breast milk and it is recommended that the product should not be used by breast feeding mothers.</w:t>
      </w:r>
    </w:p>
    <w:p w14:paraId="2E0F4C7D" w14:textId="77777777" w:rsidR="00785962" w:rsidRDefault="00000000" w:rsidP="00785962">
      <w:pPr>
        <w:pStyle w:val="Heading2"/>
        <w:numPr>
          <w:ilvl w:val="1"/>
          <w:numId w:val="3"/>
        </w:numPr>
        <w:tabs>
          <w:tab w:val="center" w:pos="2945"/>
        </w:tabs>
        <w:spacing w:after="240" w:line="264" w:lineRule="auto"/>
        <w:ind w:left="788" w:hanging="431"/>
        <w:rPr>
          <w:sz w:val="28"/>
          <w:szCs w:val="28"/>
        </w:rPr>
      </w:pPr>
      <w:r w:rsidRPr="00F42D77">
        <w:rPr>
          <w:sz w:val="28"/>
          <w:szCs w:val="28"/>
        </w:rPr>
        <w:t>Effects on ability to drive and use machines</w:t>
      </w:r>
    </w:p>
    <w:p w14:paraId="25F45409" w14:textId="0CF5DA9E" w:rsidR="000718DE" w:rsidRPr="00785962" w:rsidRDefault="00000000" w:rsidP="00785962">
      <w:pPr>
        <w:pStyle w:val="Heading2"/>
        <w:tabs>
          <w:tab w:val="center" w:pos="2945"/>
        </w:tabs>
        <w:spacing w:after="10" w:line="360" w:lineRule="auto"/>
        <w:ind w:left="792" w:firstLine="0"/>
        <w:jc w:val="thaiDistribute"/>
        <w:rPr>
          <w:b w:val="0"/>
          <w:bCs/>
          <w:sz w:val="28"/>
          <w:szCs w:val="28"/>
        </w:rPr>
      </w:pPr>
      <w:r w:rsidRPr="00785962">
        <w:rPr>
          <w:b w:val="0"/>
          <w:bCs/>
          <w:sz w:val="28"/>
          <w:szCs w:val="28"/>
        </w:rPr>
        <w:t>This medicine can impair cognitive function and can affect a patient’s</w:t>
      </w:r>
      <w:r w:rsidR="00785962" w:rsidRPr="00785962">
        <w:rPr>
          <w:b w:val="0"/>
          <w:bCs/>
          <w:sz w:val="28"/>
          <w:szCs w:val="28"/>
        </w:rPr>
        <w:t xml:space="preserve"> </w:t>
      </w:r>
      <w:r w:rsidRPr="00785962">
        <w:rPr>
          <w:b w:val="0"/>
          <w:bCs/>
          <w:sz w:val="28"/>
          <w:szCs w:val="28"/>
        </w:rPr>
        <w:t xml:space="preserve">ability to drive safely. This class of medicine is in the list of drugs included in regulations </w:t>
      </w:r>
      <w:r w:rsidR="00785962" w:rsidRPr="00785962">
        <w:rPr>
          <w:b w:val="0"/>
          <w:bCs/>
          <w:color w:val="FF0000"/>
          <w:sz w:val="28"/>
          <w:szCs w:val="28"/>
        </w:rPr>
        <w:t>&lt;REGARDING TE APPROVAL&gt;</w:t>
      </w:r>
      <w:r w:rsidRPr="00785962">
        <w:rPr>
          <w:b w:val="0"/>
          <w:bCs/>
          <w:color w:val="FF0000"/>
          <w:sz w:val="28"/>
          <w:szCs w:val="28"/>
        </w:rPr>
        <w:t xml:space="preserve">. </w:t>
      </w:r>
      <w:r w:rsidRPr="00785962">
        <w:rPr>
          <w:b w:val="0"/>
          <w:bCs/>
          <w:sz w:val="28"/>
          <w:szCs w:val="28"/>
        </w:rPr>
        <w:t>When prescribing this medicine, patients should be told:</w:t>
      </w:r>
    </w:p>
    <w:p w14:paraId="2948A534" w14:textId="77777777" w:rsidR="000718DE" w:rsidRPr="00785962" w:rsidRDefault="00000000" w:rsidP="00785962">
      <w:pPr>
        <w:pStyle w:val="ListParagraph"/>
        <w:numPr>
          <w:ilvl w:val="0"/>
          <w:numId w:val="6"/>
        </w:numPr>
        <w:spacing w:after="55" w:line="360" w:lineRule="auto"/>
        <w:jc w:val="thaiDistribute"/>
        <w:rPr>
          <w:bCs/>
          <w:sz w:val="28"/>
          <w:szCs w:val="28"/>
        </w:rPr>
      </w:pPr>
      <w:r w:rsidRPr="00785962">
        <w:rPr>
          <w:rFonts w:ascii="Times New Roman" w:eastAsia="Times New Roman" w:hAnsi="Times New Roman" w:cs="Times New Roman"/>
          <w:bCs/>
          <w:sz w:val="28"/>
          <w:szCs w:val="28"/>
        </w:rPr>
        <w:t>The medicine is likely to affect your ability to drive</w:t>
      </w:r>
    </w:p>
    <w:p w14:paraId="62F67DC0" w14:textId="77777777" w:rsidR="000718DE" w:rsidRPr="00785962" w:rsidRDefault="00000000" w:rsidP="00785962">
      <w:pPr>
        <w:pStyle w:val="ListParagraph"/>
        <w:numPr>
          <w:ilvl w:val="0"/>
          <w:numId w:val="6"/>
        </w:numPr>
        <w:spacing w:after="55" w:line="360" w:lineRule="auto"/>
        <w:jc w:val="thaiDistribute"/>
        <w:rPr>
          <w:bCs/>
          <w:sz w:val="28"/>
          <w:szCs w:val="28"/>
        </w:rPr>
      </w:pPr>
      <w:r w:rsidRPr="00785962">
        <w:rPr>
          <w:rFonts w:ascii="Times New Roman" w:eastAsia="Times New Roman" w:hAnsi="Times New Roman" w:cs="Times New Roman"/>
          <w:bCs/>
          <w:sz w:val="28"/>
          <w:szCs w:val="28"/>
        </w:rPr>
        <w:t>Do not drive until you know how the medicine affects you</w:t>
      </w:r>
    </w:p>
    <w:p w14:paraId="254321FE" w14:textId="77777777" w:rsidR="000718DE" w:rsidRPr="00785962" w:rsidRDefault="00000000" w:rsidP="00785962">
      <w:pPr>
        <w:pStyle w:val="ListParagraph"/>
        <w:numPr>
          <w:ilvl w:val="0"/>
          <w:numId w:val="6"/>
        </w:numPr>
        <w:spacing w:after="56" w:line="360" w:lineRule="auto"/>
        <w:jc w:val="thaiDistribute"/>
        <w:rPr>
          <w:bCs/>
          <w:sz w:val="28"/>
          <w:szCs w:val="28"/>
        </w:rPr>
      </w:pPr>
      <w:r w:rsidRPr="00785962">
        <w:rPr>
          <w:rFonts w:ascii="Times New Roman" w:eastAsia="Times New Roman" w:hAnsi="Times New Roman" w:cs="Times New Roman"/>
          <w:bCs/>
          <w:sz w:val="28"/>
          <w:szCs w:val="28"/>
        </w:rPr>
        <w:t>It is an offence to drive while under the influence of this medicine</w:t>
      </w:r>
    </w:p>
    <w:p w14:paraId="1B7BCEB0" w14:textId="77777777" w:rsidR="000718DE" w:rsidRPr="00785962" w:rsidRDefault="00000000" w:rsidP="00785962">
      <w:pPr>
        <w:pStyle w:val="ListParagraph"/>
        <w:numPr>
          <w:ilvl w:val="0"/>
          <w:numId w:val="6"/>
        </w:numPr>
        <w:spacing w:after="11" w:line="360" w:lineRule="auto"/>
        <w:jc w:val="thaiDistribute"/>
        <w:rPr>
          <w:bCs/>
          <w:sz w:val="28"/>
          <w:szCs w:val="28"/>
        </w:rPr>
      </w:pPr>
      <w:r w:rsidRPr="00785962">
        <w:rPr>
          <w:rFonts w:ascii="Times New Roman" w:eastAsia="Times New Roman" w:hAnsi="Times New Roman" w:cs="Times New Roman"/>
          <w:bCs/>
          <w:sz w:val="28"/>
          <w:szCs w:val="28"/>
        </w:rPr>
        <w:t>However, you would not be committing an offence (called a ‘statutory defence’) if:</w:t>
      </w:r>
    </w:p>
    <w:p w14:paraId="75B59349" w14:textId="17A456D0" w:rsidR="000718DE" w:rsidRPr="00785962" w:rsidRDefault="00000000" w:rsidP="00785962">
      <w:pPr>
        <w:pStyle w:val="ListParagraph"/>
        <w:numPr>
          <w:ilvl w:val="1"/>
          <w:numId w:val="6"/>
        </w:numPr>
        <w:spacing w:after="11" w:line="360" w:lineRule="auto"/>
        <w:jc w:val="thaiDistribute"/>
        <w:rPr>
          <w:bCs/>
          <w:sz w:val="28"/>
          <w:szCs w:val="28"/>
        </w:rPr>
      </w:pPr>
      <w:r w:rsidRPr="00785962">
        <w:rPr>
          <w:rFonts w:ascii="Times New Roman" w:eastAsia="Times New Roman" w:hAnsi="Times New Roman" w:cs="Times New Roman"/>
          <w:bCs/>
          <w:sz w:val="28"/>
          <w:szCs w:val="28"/>
        </w:rPr>
        <w:t>The medicine has been prescribed to treat a medical or</w:t>
      </w:r>
      <w:r w:rsidR="00785962">
        <w:rPr>
          <w:rFonts w:ascii="Times New Roman" w:eastAsia="Times New Roman" w:hAnsi="Times New Roman" w:cs="Times New Roman"/>
          <w:bCs/>
          <w:sz w:val="28"/>
          <w:szCs w:val="28"/>
        </w:rPr>
        <w:t xml:space="preserve"> </w:t>
      </w:r>
      <w:r w:rsidRPr="00785962">
        <w:rPr>
          <w:rFonts w:ascii="Times New Roman" w:eastAsia="Times New Roman" w:hAnsi="Times New Roman" w:cs="Times New Roman"/>
          <w:bCs/>
          <w:sz w:val="28"/>
          <w:szCs w:val="28"/>
        </w:rPr>
        <w:t>dental problem</w:t>
      </w:r>
      <w:r w:rsidR="00785962">
        <w:rPr>
          <w:rFonts w:ascii="Times New Roman" w:eastAsia="Times New Roman" w:hAnsi="Times New Roman" w:cs="Times New Roman"/>
          <w:bCs/>
          <w:sz w:val="28"/>
          <w:szCs w:val="28"/>
        </w:rPr>
        <w:t xml:space="preserve"> </w:t>
      </w:r>
      <w:r w:rsidRPr="00785962">
        <w:rPr>
          <w:rFonts w:ascii="Times New Roman" w:eastAsia="Times New Roman" w:hAnsi="Times New Roman" w:cs="Times New Roman"/>
          <w:bCs/>
          <w:sz w:val="28"/>
          <w:szCs w:val="28"/>
        </w:rPr>
        <w:t>and</w:t>
      </w:r>
    </w:p>
    <w:p w14:paraId="23C94607" w14:textId="5FA1D1DC" w:rsidR="000718DE" w:rsidRPr="00785962" w:rsidRDefault="00000000" w:rsidP="00785962">
      <w:pPr>
        <w:pStyle w:val="ListParagraph"/>
        <w:numPr>
          <w:ilvl w:val="1"/>
          <w:numId w:val="6"/>
        </w:numPr>
        <w:spacing w:after="11" w:line="360" w:lineRule="auto"/>
        <w:jc w:val="thaiDistribute"/>
        <w:rPr>
          <w:bCs/>
          <w:sz w:val="28"/>
          <w:szCs w:val="28"/>
        </w:rPr>
      </w:pPr>
      <w:r w:rsidRPr="00785962">
        <w:rPr>
          <w:rFonts w:ascii="Times New Roman" w:eastAsia="Times New Roman" w:hAnsi="Times New Roman" w:cs="Times New Roman"/>
          <w:bCs/>
          <w:sz w:val="28"/>
          <w:szCs w:val="28"/>
        </w:rPr>
        <w:t>You have taken it according to the instructions given by the prescriber</w:t>
      </w:r>
      <w:r w:rsidR="00785962">
        <w:rPr>
          <w:rFonts w:ascii="Times New Roman" w:eastAsia="Times New Roman" w:hAnsi="Times New Roman" w:cs="Times New Roman"/>
          <w:bCs/>
          <w:sz w:val="28"/>
          <w:szCs w:val="28"/>
        </w:rPr>
        <w:t xml:space="preserve"> </w:t>
      </w:r>
      <w:r w:rsidRPr="00785962">
        <w:rPr>
          <w:rFonts w:ascii="Times New Roman" w:eastAsia="Times New Roman" w:hAnsi="Times New Roman" w:cs="Times New Roman"/>
          <w:bCs/>
          <w:sz w:val="28"/>
          <w:szCs w:val="28"/>
        </w:rPr>
        <w:t>and in the information provided with the medicine and</w:t>
      </w:r>
    </w:p>
    <w:p w14:paraId="7B904D1C" w14:textId="5DFCD46A" w:rsidR="000718DE" w:rsidRPr="00785962" w:rsidRDefault="00000000" w:rsidP="00785962">
      <w:pPr>
        <w:pStyle w:val="ListParagraph"/>
        <w:numPr>
          <w:ilvl w:val="1"/>
          <w:numId w:val="6"/>
        </w:numPr>
        <w:spacing w:after="312" w:line="360" w:lineRule="auto"/>
        <w:jc w:val="thaiDistribute"/>
        <w:rPr>
          <w:bCs/>
          <w:sz w:val="28"/>
          <w:szCs w:val="28"/>
        </w:rPr>
      </w:pPr>
      <w:r w:rsidRPr="00785962">
        <w:rPr>
          <w:rFonts w:ascii="Times New Roman" w:eastAsia="Times New Roman" w:hAnsi="Times New Roman" w:cs="Times New Roman"/>
          <w:bCs/>
          <w:sz w:val="28"/>
          <w:szCs w:val="28"/>
        </w:rPr>
        <w:t>It was not affecting your ability to drive safely</w:t>
      </w:r>
    </w:p>
    <w:p w14:paraId="040274CA" w14:textId="77777777" w:rsidR="00785962" w:rsidRDefault="00000000" w:rsidP="00785962">
      <w:pPr>
        <w:pStyle w:val="Heading2"/>
        <w:numPr>
          <w:ilvl w:val="1"/>
          <w:numId w:val="3"/>
        </w:numPr>
        <w:tabs>
          <w:tab w:val="center" w:pos="1700"/>
        </w:tabs>
        <w:spacing w:after="240" w:line="264" w:lineRule="auto"/>
        <w:ind w:left="788" w:hanging="431"/>
        <w:rPr>
          <w:sz w:val="28"/>
          <w:szCs w:val="28"/>
        </w:rPr>
      </w:pPr>
      <w:r w:rsidRPr="00F42D77">
        <w:rPr>
          <w:sz w:val="28"/>
          <w:szCs w:val="28"/>
        </w:rPr>
        <w:lastRenderedPageBreak/>
        <w:t>Undesirable effects</w:t>
      </w:r>
    </w:p>
    <w:p w14:paraId="2390528A" w14:textId="77777777" w:rsidR="00785962" w:rsidRDefault="00000000" w:rsidP="00785962">
      <w:pPr>
        <w:pStyle w:val="Heading2"/>
        <w:tabs>
          <w:tab w:val="center" w:pos="1700"/>
        </w:tabs>
        <w:spacing w:after="240" w:line="360" w:lineRule="auto"/>
        <w:ind w:left="794" w:firstLine="0"/>
        <w:jc w:val="thaiDistribute"/>
        <w:rPr>
          <w:b w:val="0"/>
          <w:bCs/>
          <w:sz w:val="28"/>
          <w:szCs w:val="28"/>
        </w:rPr>
      </w:pPr>
      <w:r w:rsidRPr="00785962">
        <w:rPr>
          <w:b w:val="0"/>
          <w:bCs/>
          <w:sz w:val="28"/>
          <w:szCs w:val="28"/>
        </w:rPr>
        <w:t xml:space="preserve">The following side effects may be associated with the use of </w:t>
      </w:r>
      <w:r w:rsidRPr="00785962">
        <w:rPr>
          <w:b w:val="0"/>
          <w:bCs/>
          <w:color w:val="FF0000"/>
          <w:sz w:val="28"/>
          <w:szCs w:val="28"/>
        </w:rPr>
        <w:t>&lt;GENERIC NAME&gt;</w:t>
      </w:r>
      <w:r w:rsidRPr="00785962">
        <w:rPr>
          <w:b w:val="0"/>
          <w:bCs/>
          <w:sz w:val="28"/>
          <w:szCs w:val="28"/>
        </w:rPr>
        <w:t>; occasional drowsiness, dizziness, excitation, mental confusion, convulsions, respiratory depression, vomiting, gastrointestinal disturbances (nausea and diarrhoea) and skin reactions including rash.</w:t>
      </w:r>
    </w:p>
    <w:p w14:paraId="4DA519A3" w14:textId="77777777" w:rsidR="00785962" w:rsidRPr="00785962" w:rsidRDefault="00000000" w:rsidP="00785962">
      <w:pPr>
        <w:pStyle w:val="Heading2"/>
        <w:tabs>
          <w:tab w:val="center" w:pos="1700"/>
        </w:tabs>
        <w:spacing w:after="240" w:line="360" w:lineRule="auto"/>
        <w:ind w:left="794" w:firstLine="0"/>
        <w:jc w:val="thaiDistribute"/>
        <w:rPr>
          <w:b w:val="0"/>
          <w:bCs/>
          <w:sz w:val="28"/>
          <w:szCs w:val="28"/>
          <w:u w:val="single"/>
        </w:rPr>
      </w:pPr>
      <w:r w:rsidRPr="00785962">
        <w:rPr>
          <w:b w:val="0"/>
          <w:bCs/>
          <w:sz w:val="28"/>
          <w:szCs w:val="28"/>
          <w:u w:val="single"/>
        </w:rPr>
        <w:t>Psychiatric disorders:</w:t>
      </w:r>
    </w:p>
    <w:p w14:paraId="55E5240B" w14:textId="77777777" w:rsidR="00785962" w:rsidRDefault="00000000" w:rsidP="00785962">
      <w:pPr>
        <w:pStyle w:val="Heading2"/>
        <w:tabs>
          <w:tab w:val="center" w:pos="1700"/>
        </w:tabs>
        <w:spacing w:after="240" w:line="360" w:lineRule="auto"/>
        <w:ind w:left="794" w:firstLine="0"/>
        <w:jc w:val="thaiDistribute"/>
        <w:rPr>
          <w:b w:val="0"/>
          <w:bCs/>
          <w:sz w:val="28"/>
          <w:szCs w:val="28"/>
        </w:rPr>
      </w:pPr>
      <w:r w:rsidRPr="00785962">
        <w:rPr>
          <w:b w:val="0"/>
          <w:bCs/>
          <w:sz w:val="28"/>
          <w:szCs w:val="28"/>
        </w:rPr>
        <w:t>Frequency unknown: Drug dependence (see section 4.4)</w:t>
      </w:r>
    </w:p>
    <w:p w14:paraId="5F229C87" w14:textId="77777777" w:rsidR="00785962" w:rsidRDefault="00000000" w:rsidP="00785962">
      <w:pPr>
        <w:pStyle w:val="Heading2"/>
        <w:tabs>
          <w:tab w:val="center" w:pos="1700"/>
        </w:tabs>
        <w:spacing w:after="240" w:line="360" w:lineRule="auto"/>
        <w:ind w:left="794" w:firstLine="0"/>
        <w:jc w:val="thaiDistribute"/>
        <w:rPr>
          <w:b w:val="0"/>
          <w:bCs/>
          <w:sz w:val="28"/>
          <w:szCs w:val="28"/>
          <w:u w:val="single"/>
        </w:rPr>
      </w:pPr>
      <w:r w:rsidRPr="00785962">
        <w:rPr>
          <w:b w:val="0"/>
          <w:bCs/>
          <w:sz w:val="28"/>
          <w:szCs w:val="28"/>
          <w:u w:val="single"/>
        </w:rPr>
        <w:t>General disorders and administration site conditions:</w:t>
      </w:r>
    </w:p>
    <w:p w14:paraId="5428EE34" w14:textId="68E2C814" w:rsidR="000718DE" w:rsidRPr="00785962" w:rsidRDefault="00000000" w:rsidP="00785962">
      <w:pPr>
        <w:pStyle w:val="Heading2"/>
        <w:tabs>
          <w:tab w:val="center" w:pos="1700"/>
        </w:tabs>
        <w:spacing w:after="240" w:line="360" w:lineRule="auto"/>
        <w:ind w:left="794" w:firstLine="0"/>
        <w:jc w:val="thaiDistribute"/>
        <w:rPr>
          <w:b w:val="0"/>
          <w:bCs/>
          <w:sz w:val="28"/>
          <w:szCs w:val="28"/>
          <w:u w:val="single"/>
        </w:rPr>
      </w:pPr>
      <w:r w:rsidRPr="00785962">
        <w:rPr>
          <w:b w:val="0"/>
          <w:bCs/>
          <w:sz w:val="28"/>
          <w:szCs w:val="28"/>
        </w:rPr>
        <w:t>Frequency unknown: drug withdrawal syndrome</w:t>
      </w:r>
    </w:p>
    <w:p w14:paraId="060B46D2" w14:textId="77777777" w:rsidR="00785962" w:rsidRDefault="00000000" w:rsidP="00785962">
      <w:pPr>
        <w:pStyle w:val="Heading2"/>
        <w:numPr>
          <w:ilvl w:val="1"/>
          <w:numId w:val="3"/>
        </w:numPr>
        <w:tabs>
          <w:tab w:val="center" w:pos="1640"/>
        </w:tabs>
        <w:spacing w:after="240" w:line="264" w:lineRule="auto"/>
        <w:ind w:left="788" w:hanging="431"/>
        <w:rPr>
          <w:sz w:val="28"/>
          <w:szCs w:val="28"/>
        </w:rPr>
      </w:pPr>
      <w:r w:rsidRPr="00F42D77">
        <w:rPr>
          <w:sz w:val="28"/>
          <w:szCs w:val="28"/>
        </w:rPr>
        <w:t>Overdose</w:t>
      </w:r>
    </w:p>
    <w:p w14:paraId="640C249F" w14:textId="77777777" w:rsidR="00785962" w:rsidRDefault="00000000" w:rsidP="00785962">
      <w:pPr>
        <w:pStyle w:val="Heading2"/>
        <w:tabs>
          <w:tab w:val="center" w:pos="1640"/>
        </w:tabs>
        <w:spacing w:after="240" w:line="360" w:lineRule="auto"/>
        <w:ind w:left="794" w:firstLine="0"/>
        <w:jc w:val="thaiDistribute"/>
        <w:rPr>
          <w:b w:val="0"/>
          <w:bCs/>
          <w:sz w:val="28"/>
          <w:szCs w:val="28"/>
        </w:rPr>
      </w:pPr>
      <w:r w:rsidRPr="00785962">
        <w:rPr>
          <w:b w:val="0"/>
          <w:bCs/>
          <w:sz w:val="28"/>
          <w:szCs w:val="28"/>
        </w:rPr>
        <w:t>The effects in overdosage will be potentiated by simultaneous ingestion of alcohol and psychotropic drugs.</w:t>
      </w:r>
    </w:p>
    <w:p w14:paraId="7BC11731" w14:textId="77777777" w:rsidR="00785962" w:rsidRDefault="00000000" w:rsidP="00785962">
      <w:pPr>
        <w:pStyle w:val="Heading2"/>
        <w:tabs>
          <w:tab w:val="center" w:pos="1640"/>
        </w:tabs>
        <w:spacing w:after="240" w:line="360" w:lineRule="auto"/>
        <w:ind w:left="794" w:firstLine="0"/>
        <w:jc w:val="thaiDistribute"/>
        <w:rPr>
          <w:b w:val="0"/>
          <w:bCs/>
          <w:sz w:val="28"/>
          <w:szCs w:val="28"/>
          <w:u w:val="single"/>
        </w:rPr>
      </w:pPr>
      <w:r w:rsidRPr="00785962">
        <w:rPr>
          <w:b w:val="0"/>
          <w:bCs/>
          <w:sz w:val="28"/>
          <w:szCs w:val="28"/>
          <w:u w:val="single"/>
        </w:rPr>
        <w:t>Symptoms and signs:</w:t>
      </w:r>
    </w:p>
    <w:p w14:paraId="0D4F44B0" w14:textId="342E0358" w:rsidR="00785962" w:rsidRPr="00785962" w:rsidRDefault="00000000" w:rsidP="00785962">
      <w:pPr>
        <w:pStyle w:val="Heading2"/>
        <w:tabs>
          <w:tab w:val="center" w:pos="1640"/>
        </w:tabs>
        <w:spacing w:after="28" w:line="360" w:lineRule="auto"/>
        <w:ind w:left="792" w:firstLine="0"/>
        <w:jc w:val="thaiDistribute"/>
        <w:rPr>
          <w:b w:val="0"/>
          <w:bCs/>
          <w:sz w:val="28"/>
          <w:szCs w:val="28"/>
        </w:rPr>
      </w:pPr>
      <w:r w:rsidRPr="00785962">
        <w:rPr>
          <w:b w:val="0"/>
          <w:bCs/>
          <w:color w:val="FF0000"/>
          <w:sz w:val="28"/>
          <w:szCs w:val="28"/>
        </w:rPr>
        <w:t>&lt;GENERIC</w:t>
      </w:r>
      <w:r w:rsidR="00785962">
        <w:rPr>
          <w:b w:val="0"/>
          <w:bCs/>
          <w:color w:val="FF0000"/>
          <w:sz w:val="28"/>
          <w:szCs w:val="28"/>
        </w:rPr>
        <w:t xml:space="preserve"> </w:t>
      </w:r>
      <w:r w:rsidRPr="00785962">
        <w:rPr>
          <w:b w:val="0"/>
          <w:bCs/>
          <w:color w:val="FF0000"/>
          <w:sz w:val="28"/>
          <w:szCs w:val="28"/>
        </w:rPr>
        <w:t>NAME&gt;</w:t>
      </w:r>
      <w:r w:rsidR="00785962">
        <w:rPr>
          <w:b w:val="0"/>
          <w:bCs/>
          <w:color w:val="FF0000"/>
          <w:sz w:val="28"/>
          <w:szCs w:val="28"/>
        </w:rPr>
        <w:t xml:space="preserve"> </w:t>
      </w:r>
      <w:r w:rsidRPr="00785962">
        <w:rPr>
          <w:b w:val="0"/>
          <w:bCs/>
          <w:sz w:val="28"/>
          <w:szCs w:val="28"/>
        </w:rPr>
        <w:t>overdose may be associated with nausea,</w:t>
      </w:r>
      <w:r w:rsidR="00785962" w:rsidRPr="00785962">
        <w:rPr>
          <w:b w:val="0"/>
          <w:bCs/>
          <w:sz w:val="28"/>
          <w:szCs w:val="28"/>
        </w:rPr>
        <w:t xml:space="preserve"> v</w:t>
      </w:r>
      <w:r w:rsidRPr="00785962">
        <w:rPr>
          <w:b w:val="0"/>
          <w:bCs/>
          <w:sz w:val="28"/>
          <w:szCs w:val="28"/>
        </w:rPr>
        <w:t>omiting, dystonia, agitation, confusion, somnolence, stupor, nystagmus, cardiotoxicity (tachycardia, abnormal ECG including QTc prolongation), ataxia, toxic psychosis with visual hallucinations, hyperexcitability. Other observed symptoms include CNS depression. Dizziness, dysarthria (slurred speech), abdominal discomfort and hypotension.</w:t>
      </w:r>
    </w:p>
    <w:p w14:paraId="440542EF" w14:textId="77777777" w:rsidR="00785962" w:rsidRDefault="00000000" w:rsidP="00785962">
      <w:pPr>
        <w:pStyle w:val="Heading2"/>
        <w:tabs>
          <w:tab w:val="center" w:pos="1640"/>
        </w:tabs>
        <w:spacing w:after="240" w:line="360" w:lineRule="auto"/>
        <w:ind w:left="794" w:firstLine="0"/>
        <w:jc w:val="thaiDistribute"/>
        <w:rPr>
          <w:b w:val="0"/>
          <w:bCs/>
          <w:sz w:val="28"/>
          <w:szCs w:val="28"/>
        </w:rPr>
      </w:pPr>
      <w:r w:rsidRPr="00785962">
        <w:rPr>
          <w:b w:val="0"/>
          <w:bCs/>
          <w:sz w:val="28"/>
          <w:szCs w:val="28"/>
        </w:rPr>
        <w:lastRenderedPageBreak/>
        <w:t>In the event of massive overdose the following symptoms may be</w:t>
      </w:r>
      <w:r w:rsidR="00785962" w:rsidRPr="00785962">
        <w:rPr>
          <w:b w:val="0"/>
          <w:bCs/>
          <w:sz w:val="28"/>
          <w:szCs w:val="28"/>
        </w:rPr>
        <w:t xml:space="preserve"> </w:t>
      </w:r>
      <w:r w:rsidRPr="00785962">
        <w:rPr>
          <w:b w:val="0"/>
          <w:bCs/>
          <w:sz w:val="28"/>
          <w:szCs w:val="28"/>
        </w:rPr>
        <w:t>observed:</w:t>
      </w:r>
      <w:r w:rsidR="00785962">
        <w:rPr>
          <w:b w:val="0"/>
          <w:bCs/>
          <w:sz w:val="28"/>
          <w:szCs w:val="28"/>
        </w:rPr>
        <w:t xml:space="preserve"> </w:t>
      </w:r>
      <w:r w:rsidRPr="00785962">
        <w:rPr>
          <w:b w:val="0"/>
          <w:bCs/>
          <w:sz w:val="28"/>
          <w:szCs w:val="28"/>
        </w:rPr>
        <w:t>coma, respiratory depression, convulsions.</w:t>
      </w:r>
    </w:p>
    <w:p w14:paraId="65A87200" w14:textId="0C1CB2D5" w:rsidR="000718DE" w:rsidRPr="00785962" w:rsidRDefault="00000000" w:rsidP="00785962">
      <w:pPr>
        <w:pStyle w:val="Heading2"/>
        <w:tabs>
          <w:tab w:val="center" w:pos="1640"/>
        </w:tabs>
        <w:spacing w:after="240" w:line="360" w:lineRule="auto"/>
        <w:ind w:left="794" w:firstLine="0"/>
        <w:jc w:val="thaiDistribute"/>
        <w:rPr>
          <w:b w:val="0"/>
          <w:bCs/>
          <w:sz w:val="28"/>
          <w:szCs w:val="28"/>
          <w:u w:val="single"/>
        </w:rPr>
      </w:pPr>
      <w:r w:rsidRPr="00785962">
        <w:rPr>
          <w:b w:val="0"/>
          <w:bCs/>
          <w:sz w:val="28"/>
          <w:szCs w:val="28"/>
          <w:u w:val="single"/>
        </w:rPr>
        <w:t>Management:</w:t>
      </w:r>
    </w:p>
    <w:p w14:paraId="0A2A506E" w14:textId="3C46595A" w:rsidR="000718DE" w:rsidRPr="00785962" w:rsidRDefault="00000000" w:rsidP="00785962">
      <w:pPr>
        <w:pStyle w:val="ListParagraph"/>
        <w:numPr>
          <w:ilvl w:val="0"/>
          <w:numId w:val="7"/>
        </w:numPr>
        <w:spacing w:after="112" w:line="360" w:lineRule="auto"/>
        <w:rPr>
          <w:sz w:val="28"/>
          <w:szCs w:val="28"/>
        </w:rPr>
      </w:pPr>
      <w:r w:rsidRPr="00785962">
        <w:rPr>
          <w:rFonts w:ascii="Times New Roman" w:eastAsia="Times New Roman" w:hAnsi="Times New Roman" w:cs="Times New Roman"/>
          <w:sz w:val="28"/>
          <w:szCs w:val="28"/>
        </w:rPr>
        <w:t xml:space="preserve">Activated charcoal can be administered to asymptomatic patients who have ingested overdoses of </w:t>
      </w:r>
      <w:r w:rsidRPr="00785962">
        <w:rPr>
          <w:rFonts w:ascii="Times New Roman" w:eastAsia="Times New Roman" w:hAnsi="Times New Roman" w:cs="Times New Roman"/>
          <w:color w:val="FF0000"/>
          <w:sz w:val="28"/>
          <w:szCs w:val="28"/>
        </w:rPr>
        <w:t xml:space="preserve">&lt;GENERIC NAME&gt; </w:t>
      </w:r>
      <w:r w:rsidRPr="00785962">
        <w:rPr>
          <w:rFonts w:ascii="Times New Roman" w:eastAsia="Times New Roman" w:hAnsi="Times New Roman" w:cs="Times New Roman"/>
          <w:sz w:val="28"/>
          <w:szCs w:val="28"/>
        </w:rPr>
        <w:t>within the preceding hour.</w:t>
      </w:r>
    </w:p>
    <w:p w14:paraId="145C4B0E" w14:textId="71DEB8CB" w:rsidR="000718DE" w:rsidRPr="00785962" w:rsidRDefault="00000000" w:rsidP="00785962">
      <w:pPr>
        <w:pStyle w:val="ListParagraph"/>
        <w:numPr>
          <w:ilvl w:val="0"/>
          <w:numId w:val="7"/>
        </w:numPr>
        <w:spacing w:after="2" w:line="360" w:lineRule="auto"/>
        <w:ind w:right="-7"/>
        <w:jc w:val="both"/>
        <w:rPr>
          <w:sz w:val="28"/>
          <w:szCs w:val="28"/>
        </w:rPr>
      </w:pPr>
      <w:r w:rsidRPr="00785962">
        <w:rPr>
          <w:rFonts w:ascii="Times New Roman" w:eastAsia="Times New Roman" w:hAnsi="Times New Roman" w:cs="Times New Roman"/>
          <w:sz w:val="28"/>
          <w:szCs w:val="28"/>
        </w:rPr>
        <w:t xml:space="preserve">For patients who have ingested </w:t>
      </w:r>
      <w:r w:rsidRPr="00785962">
        <w:rPr>
          <w:rFonts w:ascii="Times New Roman" w:eastAsia="Times New Roman" w:hAnsi="Times New Roman" w:cs="Times New Roman"/>
          <w:color w:val="FF0000"/>
          <w:sz w:val="28"/>
          <w:szCs w:val="28"/>
        </w:rPr>
        <w:t xml:space="preserve">&lt;GENERIC NAME&gt; </w:t>
      </w:r>
      <w:r w:rsidRPr="00785962">
        <w:rPr>
          <w:rFonts w:ascii="Times New Roman" w:eastAsia="Times New Roman" w:hAnsi="Times New Roman" w:cs="Times New Roman"/>
          <w:sz w:val="28"/>
          <w:szCs w:val="28"/>
        </w:rPr>
        <w:t>and are sedated or comatose, naloxone, in the usual doses for treatment of opioid overdose, can be considered. -Benzodiazepines for seizures and benzodiazepines and external cooling measures for hyperthermia from serotonin syndrome can be used.</w:t>
      </w:r>
    </w:p>
    <w:p w14:paraId="79F0CD5F" w14:textId="77777777" w:rsidR="00785962" w:rsidRPr="00785962" w:rsidRDefault="00000000" w:rsidP="00785962">
      <w:pPr>
        <w:pStyle w:val="ListParagraph"/>
        <w:numPr>
          <w:ilvl w:val="0"/>
          <w:numId w:val="7"/>
        </w:numPr>
        <w:spacing w:after="240" w:line="360" w:lineRule="auto"/>
        <w:ind w:hanging="357"/>
        <w:contextualSpacing w:val="0"/>
        <w:rPr>
          <w:sz w:val="28"/>
          <w:szCs w:val="28"/>
        </w:rPr>
      </w:pPr>
      <w:r w:rsidRPr="00785962">
        <w:rPr>
          <w:rFonts w:ascii="Times New Roman" w:eastAsia="Times New Roman" w:hAnsi="Times New Roman" w:cs="Times New Roman"/>
          <w:sz w:val="28"/>
          <w:szCs w:val="28"/>
        </w:rPr>
        <w:t>Treatment of overdose should be symptomatic and supportive. Gastric lavage may be of use.</w:t>
      </w:r>
    </w:p>
    <w:p w14:paraId="18371A20" w14:textId="77777777" w:rsidR="00785962" w:rsidRDefault="00000000" w:rsidP="00785962">
      <w:pPr>
        <w:spacing w:after="240" w:line="360" w:lineRule="auto"/>
        <w:ind w:left="1157"/>
        <w:rPr>
          <w:rFonts w:ascii="Times New Roman" w:eastAsia="Times New Roman" w:hAnsi="Times New Roman" w:cs="Times New Roman"/>
          <w:sz w:val="28"/>
          <w:szCs w:val="28"/>
        </w:rPr>
      </w:pPr>
      <w:r w:rsidRPr="00785962">
        <w:rPr>
          <w:rFonts w:ascii="Times New Roman" w:eastAsia="Times New Roman" w:hAnsi="Times New Roman" w:cs="Times New Roman"/>
          <w:sz w:val="28"/>
          <w:szCs w:val="28"/>
          <w:u w:val="single" w:color="000000"/>
        </w:rPr>
        <w:t>Information regarding children aged 6-12 years</w:t>
      </w:r>
      <w:r w:rsidRPr="00785962">
        <w:rPr>
          <w:rFonts w:ascii="Times New Roman" w:eastAsia="Times New Roman" w:hAnsi="Times New Roman" w:cs="Times New Roman"/>
          <w:sz w:val="28"/>
          <w:szCs w:val="28"/>
        </w:rPr>
        <w:t>:</w:t>
      </w:r>
    </w:p>
    <w:p w14:paraId="068C8F55" w14:textId="65302452" w:rsidR="000718DE" w:rsidRPr="00785962" w:rsidRDefault="00000000" w:rsidP="00785962">
      <w:pPr>
        <w:spacing w:after="240" w:line="360" w:lineRule="auto"/>
        <w:ind w:left="1157"/>
        <w:jc w:val="thaiDistribute"/>
        <w:rPr>
          <w:rFonts w:ascii="Times New Roman" w:eastAsia="Times New Roman" w:hAnsi="Times New Roman" w:cs="Times New Roman"/>
          <w:sz w:val="28"/>
          <w:szCs w:val="28"/>
        </w:rPr>
      </w:pPr>
      <w:r w:rsidRPr="00785962">
        <w:rPr>
          <w:rFonts w:ascii="Times New Roman" w:eastAsia="Times New Roman" w:hAnsi="Times New Roman" w:cs="Times New Roman"/>
          <w:sz w:val="28"/>
          <w:szCs w:val="28"/>
        </w:rPr>
        <w:t>Naloxone has been used successfully to reverse central or peripheral</w:t>
      </w:r>
      <w:r w:rsidR="00785962">
        <w:rPr>
          <w:rFonts w:ascii="Times New Roman" w:eastAsia="Times New Roman" w:hAnsi="Times New Roman" w:cs="Times New Roman"/>
          <w:sz w:val="28"/>
          <w:szCs w:val="28"/>
        </w:rPr>
        <w:t xml:space="preserve"> </w:t>
      </w:r>
      <w:r w:rsidRPr="00F42D77">
        <w:rPr>
          <w:rFonts w:ascii="Times New Roman" w:eastAsia="Times New Roman" w:hAnsi="Times New Roman" w:cs="Times New Roman"/>
          <w:sz w:val="28"/>
          <w:szCs w:val="28"/>
        </w:rPr>
        <w:t xml:space="preserve">opioid effects of </w:t>
      </w:r>
      <w:r w:rsidRPr="00F42D77">
        <w:rPr>
          <w:rFonts w:ascii="Times New Roman" w:eastAsia="Times New Roman" w:hAnsi="Times New Roman" w:cs="Times New Roman"/>
          <w:color w:val="FF0000"/>
          <w:sz w:val="28"/>
          <w:szCs w:val="28"/>
        </w:rPr>
        <w:t xml:space="preserve">&lt;GENERIC NAME&gt; </w:t>
      </w:r>
      <w:r w:rsidRPr="00F42D77">
        <w:rPr>
          <w:rFonts w:ascii="Times New Roman" w:eastAsia="Times New Roman" w:hAnsi="Times New Roman" w:cs="Times New Roman"/>
          <w:sz w:val="28"/>
          <w:szCs w:val="28"/>
        </w:rPr>
        <w:t>in children (0.01mg/kg body weight).</w:t>
      </w:r>
    </w:p>
    <w:p w14:paraId="32780863" w14:textId="77777777" w:rsidR="00785962" w:rsidRDefault="00785962">
      <w:pPr>
        <w:spacing w:line="278" w:lineRule="auto"/>
        <w:rPr>
          <w:rFonts w:ascii="Times New Roman" w:eastAsia="Times New Roman" w:hAnsi="Times New Roman" w:cs="Times New Roman"/>
          <w:b/>
          <w:sz w:val="28"/>
          <w:szCs w:val="28"/>
        </w:rPr>
      </w:pPr>
      <w:r>
        <w:rPr>
          <w:sz w:val="28"/>
          <w:szCs w:val="28"/>
        </w:rPr>
        <w:br w:type="page"/>
      </w:r>
    </w:p>
    <w:p w14:paraId="537365D1" w14:textId="5E4259B3" w:rsidR="00785962" w:rsidRDefault="00000000" w:rsidP="00785962">
      <w:pPr>
        <w:pStyle w:val="Heading2"/>
        <w:numPr>
          <w:ilvl w:val="0"/>
          <w:numId w:val="3"/>
        </w:numPr>
        <w:tabs>
          <w:tab w:val="center" w:pos="2810"/>
        </w:tabs>
        <w:spacing w:after="240" w:line="264" w:lineRule="auto"/>
        <w:ind w:left="357" w:hanging="357"/>
        <w:rPr>
          <w:sz w:val="28"/>
          <w:szCs w:val="28"/>
        </w:rPr>
      </w:pPr>
      <w:r w:rsidRPr="00F42D77">
        <w:rPr>
          <w:sz w:val="28"/>
          <w:szCs w:val="28"/>
        </w:rPr>
        <w:lastRenderedPageBreak/>
        <w:t>PHARMACOLOGICAL PROPERTIES</w:t>
      </w:r>
    </w:p>
    <w:p w14:paraId="77A9974C" w14:textId="77777777" w:rsidR="00785962" w:rsidRDefault="00000000" w:rsidP="00785962">
      <w:pPr>
        <w:pStyle w:val="Heading2"/>
        <w:numPr>
          <w:ilvl w:val="1"/>
          <w:numId w:val="3"/>
        </w:numPr>
        <w:tabs>
          <w:tab w:val="center" w:pos="2810"/>
        </w:tabs>
        <w:rPr>
          <w:sz w:val="28"/>
          <w:szCs w:val="28"/>
        </w:rPr>
      </w:pPr>
      <w:r w:rsidRPr="00785962">
        <w:rPr>
          <w:sz w:val="28"/>
          <w:szCs w:val="28"/>
        </w:rPr>
        <w:t>Pharmacodynamic Properties</w:t>
      </w:r>
    </w:p>
    <w:p w14:paraId="1792A4AD" w14:textId="6406E5C5" w:rsidR="000718DE" w:rsidRPr="00785962" w:rsidRDefault="00000000" w:rsidP="00785962">
      <w:pPr>
        <w:pStyle w:val="Heading2"/>
        <w:tabs>
          <w:tab w:val="center" w:pos="2810"/>
        </w:tabs>
        <w:ind w:left="792" w:firstLine="0"/>
        <w:rPr>
          <w:b w:val="0"/>
          <w:bCs/>
          <w:sz w:val="28"/>
          <w:szCs w:val="28"/>
        </w:rPr>
      </w:pPr>
      <w:r w:rsidRPr="00785962">
        <w:rPr>
          <w:b w:val="0"/>
          <w:bCs/>
          <w:color w:val="FF0000"/>
          <w:sz w:val="28"/>
          <w:szCs w:val="28"/>
        </w:rPr>
        <w:t xml:space="preserve">&lt;GENERIC NAME&gt; </w:t>
      </w:r>
      <w:r w:rsidRPr="00785962">
        <w:rPr>
          <w:b w:val="0"/>
          <w:bCs/>
          <w:sz w:val="28"/>
          <w:szCs w:val="28"/>
        </w:rPr>
        <w:t>is a cough suppressant.</w:t>
      </w:r>
    </w:p>
    <w:p w14:paraId="6967B884" w14:textId="77777777" w:rsidR="00785962" w:rsidRDefault="00000000" w:rsidP="00785962">
      <w:pPr>
        <w:pStyle w:val="Heading3"/>
        <w:numPr>
          <w:ilvl w:val="1"/>
          <w:numId w:val="3"/>
        </w:numPr>
        <w:tabs>
          <w:tab w:val="center" w:pos="2150"/>
        </w:tabs>
        <w:spacing w:after="423"/>
        <w:rPr>
          <w:sz w:val="28"/>
          <w:szCs w:val="28"/>
        </w:rPr>
      </w:pPr>
      <w:r w:rsidRPr="00F42D77">
        <w:rPr>
          <w:sz w:val="28"/>
          <w:szCs w:val="28"/>
        </w:rPr>
        <w:t>Pharmacokinetic properties</w:t>
      </w:r>
    </w:p>
    <w:p w14:paraId="51A5834E" w14:textId="77777777" w:rsidR="00785962" w:rsidRDefault="00000000" w:rsidP="00785962">
      <w:pPr>
        <w:pStyle w:val="Heading3"/>
        <w:tabs>
          <w:tab w:val="center" w:pos="2150"/>
        </w:tabs>
        <w:spacing w:after="240" w:line="360" w:lineRule="auto"/>
        <w:ind w:left="794" w:firstLine="0"/>
        <w:jc w:val="thaiDistribute"/>
        <w:rPr>
          <w:b w:val="0"/>
          <w:bCs/>
          <w:sz w:val="28"/>
          <w:szCs w:val="28"/>
        </w:rPr>
      </w:pPr>
      <w:r w:rsidRPr="00785962">
        <w:rPr>
          <w:b w:val="0"/>
          <w:bCs/>
          <w:color w:val="FF0000"/>
          <w:sz w:val="28"/>
          <w:szCs w:val="28"/>
        </w:rPr>
        <w:t xml:space="preserve">&lt;GENERIC NAME&gt; </w:t>
      </w:r>
      <w:r w:rsidRPr="00785962">
        <w:rPr>
          <w:b w:val="0"/>
          <w:bCs/>
          <w:sz w:val="28"/>
          <w:szCs w:val="28"/>
        </w:rPr>
        <w:t>is well-absorbed from the gastrointestinal tract, metabolised in the liver and excreted as both unchanged drug and demethylated metabolites.</w:t>
      </w:r>
    </w:p>
    <w:p w14:paraId="67CAC85C" w14:textId="77777777" w:rsidR="00785962" w:rsidRDefault="00000000" w:rsidP="00785962">
      <w:pPr>
        <w:pStyle w:val="Heading3"/>
        <w:tabs>
          <w:tab w:val="center" w:pos="2150"/>
        </w:tabs>
        <w:spacing w:after="240" w:line="360" w:lineRule="auto"/>
        <w:ind w:left="794" w:firstLine="0"/>
        <w:jc w:val="thaiDistribute"/>
        <w:rPr>
          <w:b w:val="0"/>
          <w:bCs/>
          <w:sz w:val="28"/>
          <w:szCs w:val="28"/>
        </w:rPr>
      </w:pPr>
      <w:r w:rsidRPr="00785962">
        <w:rPr>
          <w:b w:val="0"/>
          <w:bCs/>
          <w:color w:val="FF0000"/>
          <w:sz w:val="28"/>
          <w:szCs w:val="28"/>
        </w:rPr>
        <w:t xml:space="preserve">&lt;GENERIC NAME&gt; </w:t>
      </w:r>
      <w:r w:rsidRPr="00785962">
        <w:rPr>
          <w:b w:val="0"/>
          <w:bCs/>
          <w:sz w:val="28"/>
          <w:szCs w:val="28"/>
        </w:rPr>
        <w:t xml:space="preserve">undergoes rapid and extensive first-pass metabolism in the liver after oral administration. Genetically controlled O-demethylation (CYD2D6) is the main determinant of </w:t>
      </w:r>
      <w:r w:rsidRPr="00785962">
        <w:rPr>
          <w:b w:val="0"/>
          <w:bCs/>
          <w:color w:val="FF0000"/>
          <w:sz w:val="28"/>
          <w:szCs w:val="28"/>
        </w:rPr>
        <w:t xml:space="preserve">&lt;GENERIC NAME&gt; </w:t>
      </w:r>
      <w:r w:rsidRPr="00785962">
        <w:rPr>
          <w:b w:val="0"/>
          <w:bCs/>
          <w:sz w:val="28"/>
          <w:szCs w:val="28"/>
        </w:rPr>
        <w:t>pharmacokinetics in human volunteers.</w:t>
      </w:r>
    </w:p>
    <w:p w14:paraId="73D590E8" w14:textId="77777777" w:rsidR="00785962" w:rsidRDefault="00000000" w:rsidP="00785962">
      <w:pPr>
        <w:pStyle w:val="Heading3"/>
        <w:tabs>
          <w:tab w:val="center" w:pos="2150"/>
        </w:tabs>
        <w:spacing w:after="240" w:line="360" w:lineRule="auto"/>
        <w:ind w:left="794" w:firstLine="0"/>
        <w:jc w:val="thaiDistribute"/>
        <w:rPr>
          <w:b w:val="0"/>
          <w:bCs/>
          <w:sz w:val="28"/>
          <w:szCs w:val="28"/>
        </w:rPr>
      </w:pPr>
      <w:r w:rsidRPr="00785962">
        <w:rPr>
          <w:b w:val="0"/>
          <w:bCs/>
          <w:sz w:val="28"/>
          <w:szCs w:val="28"/>
        </w:rPr>
        <w:t xml:space="preserve">It appears that there are distinct phenotypes for this oxidation process resulting in highly variable pharmacokinetics between subjects. Unmetabolised </w:t>
      </w:r>
      <w:r w:rsidRPr="00785962">
        <w:rPr>
          <w:b w:val="0"/>
          <w:bCs/>
          <w:color w:val="FF0000"/>
          <w:sz w:val="28"/>
          <w:szCs w:val="28"/>
        </w:rPr>
        <w:t>&lt;GENERIC NAME&gt;</w:t>
      </w:r>
      <w:r w:rsidRPr="00785962">
        <w:rPr>
          <w:b w:val="0"/>
          <w:bCs/>
          <w:sz w:val="28"/>
          <w:szCs w:val="28"/>
        </w:rPr>
        <w:t>, together with the three demethylated morphinan</w:t>
      </w:r>
      <w:r w:rsidRPr="00785962">
        <w:rPr>
          <w:b w:val="0"/>
          <w:bCs/>
          <w:sz w:val="28"/>
          <w:szCs w:val="28"/>
        </w:rPr>
        <w:tab/>
        <w:t>metabolites</w:t>
      </w:r>
      <w:r w:rsidRPr="00785962">
        <w:rPr>
          <w:b w:val="0"/>
          <w:bCs/>
          <w:sz w:val="28"/>
          <w:szCs w:val="28"/>
        </w:rPr>
        <w:tab/>
        <w:t>dextrorphan</w:t>
      </w:r>
      <w:r w:rsidRPr="00785962">
        <w:rPr>
          <w:b w:val="0"/>
          <w:bCs/>
          <w:sz w:val="28"/>
          <w:szCs w:val="28"/>
        </w:rPr>
        <w:tab/>
        <w:t>(also</w:t>
      </w:r>
      <w:r w:rsidRPr="00785962">
        <w:rPr>
          <w:b w:val="0"/>
          <w:bCs/>
          <w:sz w:val="28"/>
          <w:szCs w:val="28"/>
        </w:rPr>
        <w:tab/>
        <w:t>known</w:t>
      </w:r>
      <w:r w:rsidRPr="00785962">
        <w:rPr>
          <w:b w:val="0"/>
          <w:bCs/>
          <w:sz w:val="28"/>
          <w:szCs w:val="28"/>
        </w:rPr>
        <w:tab/>
        <w:t>as</w:t>
      </w:r>
      <w:r w:rsidR="00785962" w:rsidRPr="00785962">
        <w:rPr>
          <w:b w:val="0"/>
          <w:bCs/>
          <w:sz w:val="28"/>
          <w:szCs w:val="28"/>
        </w:rPr>
        <w:t xml:space="preserve"> </w:t>
      </w:r>
      <w:r w:rsidRPr="00785962">
        <w:rPr>
          <w:b w:val="0"/>
          <w:bCs/>
          <w:sz w:val="28"/>
          <w:szCs w:val="28"/>
        </w:rPr>
        <w:t>3-hydroxy-N-methylmorphinan),</w:t>
      </w:r>
      <w:r w:rsidRPr="00785962">
        <w:rPr>
          <w:b w:val="0"/>
          <w:bCs/>
          <w:sz w:val="28"/>
          <w:szCs w:val="28"/>
        </w:rPr>
        <w:tab/>
        <w:t>3hydroxymorphinan</w:t>
      </w:r>
      <w:r w:rsidR="00785962">
        <w:rPr>
          <w:b w:val="0"/>
          <w:bCs/>
          <w:sz w:val="28"/>
          <w:szCs w:val="28"/>
        </w:rPr>
        <w:t xml:space="preserve"> </w:t>
      </w:r>
      <w:r w:rsidRPr="00785962">
        <w:rPr>
          <w:b w:val="0"/>
          <w:bCs/>
          <w:sz w:val="28"/>
          <w:szCs w:val="28"/>
        </w:rPr>
        <w:t>and</w:t>
      </w:r>
      <w:r w:rsidR="00785962">
        <w:rPr>
          <w:b w:val="0"/>
          <w:bCs/>
          <w:sz w:val="28"/>
          <w:szCs w:val="28"/>
        </w:rPr>
        <w:t xml:space="preserve"> </w:t>
      </w:r>
      <w:r w:rsidRPr="00785962">
        <w:rPr>
          <w:b w:val="0"/>
          <w:bCs/>
          <w:sz w:val="28"/>
          <w:szCs w:val="28"/>
        </w:rPr>
        <w:t>3-methoxymorphinan have been identified as conjugated products in the urine.</w:t>
      </w:r>
    </w:p>
    <w:p w14:paraId="2570BD7B" w14:textId="2826CEBA" w:rsidR="000718DE" w:rsidRPr="00785962" w:rsidRDefault="00000000" w:rsidP="00785962">
      <w:pPr>
        <w:pStyle w:val="Heading3"/>
        <w:tabs>
          <w:tab w:val="center" w:pos="2150"/>
        </w:tabs>
        <w:spacing w:after="423" w:line="360" w:lineRule="auto"/>
        <w:ind w:left="792" w:firstLine="0"/>
        <w:jc w:val="thaiDistribute"/>
        <w:rPr>
          <w:b w:val="0"/>
          <w:bCs/>
          <w:sz w:val="28"/>
          <w:szCs w:val="28"/>
        </w:rPr>
      </w:pPr>
      <w:r w:rsidRPr="00785962">
        <w:rPr>
          <w:b w:val="0"/>
          <w:bCs/>
          <w:sz w:val="28"/>
          <w:szCs w:val="28"/>
        </w:rPr>
        <w:t xml:space="preserve">Dextrorphan, which also has antitussive action, is the main metabolite. In some individuals metabolism proceeds more slowly and unchanged </w:t>
      </w:r>
      <w:r w:rsidRPr="00785962">
        <w:rPr>
          <w:b w:val="0"/>
          <w:bCs/>
          <w:color w:val="FF0000"/>
          <w:sz w:val="28"/>
          <w:szCs w:val="28"/>
        </w:rPr>
        <w:t xml:space="preserve">&lt;GENERIC NAME&gt; </w:t>
      </w:r>
      <w:r w:rsidRPr="00785962">
        <w:rPr>
          <w:b w:val="0"/>
          <w:bCs/>
          <w:sz w:val="28"/>
          <w:szCs w:val="28"/>
        </w:rPr>
        <w:t>predominated in the blood and urine.</w:t>
      </w:r>
    </w:p>
    <w:p w14:paraId="0DABD943" w14:textId="77777777" w:rsidR="00785962" w:rsidRDefault="00785962">
      <w:pPr>
        <w:spacing w:line="278" w:lineRule="auto"/>
        <w:rPr>
          <w:rFonts w:ascii="Times New Roman" w:eastAsia="Times New Roman" w:hAnsi="Times New Roman" w:cs="Times New Roman"/>
          <w:b/>
          <w:sz w:val="28"/>
          <w:szCs w:val="28"/>
        </w:rPr>
      </w:pPr>
      <w:r>
        <w:rPr>
          <w:sz w:val="28"/>
          <w:szCs w:val="28"/>
        </w:rPr>
        <w:br w:type="page"/>
      </w:r>
    </w:p>
    <w:p w14:paraId="3C5F124E" w14:textId="77777777" w:rsidR="00785962" w:rsidRDefault="00000000" w:rsidP="00785962">
      <w:pPr>
        <w:pStyle w:val="Heading3"/>
        <w:numPr>
          <w:ilvl w:val="1"/>
          <w:numId w:val="3"/>
        </w:numPr>
        <w:tabs>
          <w:tab w:val="center" w:pos="1940"/>
        </w:tabs>
        <w:spacing w:after="240" w:line="264" w:lineRule="auto"/>
        <w:ind w:left="788" w:hanging="431"/>
        <w:rPr>
          <w:sz w:val="28"/>
          <w:szCs w:val="28"/>
        </w:rPr>
      </w:pPr>
      <w:r w:rsidRPr="00F42D77">
        <w:rPr>
          <w:sz w:val="28"/>
          <w:szCs w:val="28"/>
        </w:rPr>
        <w:lastRenderedPageBreak/>
        <w:t>Pre-clinical Safety Data</w:t>
      </w:r>
    </w:p>
    <w:p w14:paraId="48D1AB0D" w14:textId="655930CA" w:rsidR="000718DE" w:rsidRPr="00785962" w:rsidRDefault="00000000" w:rsidP="00785962">
      <w:pPr>
        <w:pStyle w:val="Heading3"/>
        <w:tabs>
          <w:tab w:val="center" w:pos="1940"/>
        </w:tabs>
        <w:spacing w:after="240" w:line="360" w:lineRule="auto"/>
        <w:ind w:left="794" w:firstLine="0"/>
        <w:rPr>
          <w:b w:val="0"/>
          <w:bCs/>
          <w:sz w:val="28"/>
          <w:szCs w:val="28"/>
        </w:rPr>
      </w:pPr>
      <w:r w:rsidRPr="00785962">
        <w:rPr>
          <w:b w:val="0"/>
          <w:bCs/>
          <w:sz w:val="28"/>
          <w:szCs w:val="28"/>
        </w:rPr>
        <w:t>There are no preclinical data of relevance to the prescriber which</w:t>
      </w:r>
      <w:r w:rsidR="00785962" w:rsidRPr="00785962">
        <w:rPr>
          <w:b w:val="0"/>
          <w:bCs/>
          <w:sz w:val="28"/>
          <w:szCs w:val="28"/>
        </w:rPr>
        <w:t xml:space="preserve"> </w:t>
      </w:r>
      <w:r w:rsidRPr="00785962">
        <w:rPr>
          <w:b w:val="0"/>
          <w:bCs/>
          <w:sz w:val="28"/>
          <w:szCs w:val="28"/>
        </w:rPr>
        <w:t>are additional to that already included.</w:t>
      </w:r>
    </w:p>
    <w:p w14:paraId="2EACA613" w14:textId="77777777" w:rsidR="00785962" w:rsidRDefault="00000000" w:rsidP="00785962">
      <w:pPr>
        <w:pStyle w:val="Heading2"/>
        <w:numPr>
          <w:ilvl w:val="0"/>
          <w:numId w:val="3"/>
        </w:numPr>
        <w:tabs>
          <w:tab w:val="center" w:pos="2795"/>
        </w:tabs>
        <w:spacing w:after="240" w:line="264" w:lineRule="auto"/>
        <w:ind w:left="357" w:hanging="357"/>
        <w:rPr>
          <w:sz w:val="28"/>
          <w:szCs w:val="28"/>
        </w:rPr>
      </w:pPr>
      <w:r w:rsidRPr="00F42D77">
        <w:rPr>
          <w:sz w:val="28"/>
          <w:szCs w:val="28"/>
        </w:rPr>
        <w:t>PHARMACEUTICAL PARTICULARS</w:t>
      </w:r>
    </w:p>
    <w:p w14:paraId="1AF699A2" w14:textId="77777777" w:rsidR="00785962" w:rsidRDefault="00000000" w:rsidP="00785962">
      <w:pPr>
        <w:pStyle w:val="Heading2"/>
        <w:numPr>
          <w:ilvl w:val="1"/>
          <w:numId w:val="3"/>
        </w:numPr>
        <w:tabs>
          <w:tab w:val="center" w:pos="2795"/>
        </w:tabs>
        <w:rPr>
          <w:sz w:val="28"/>
          <w:szCs w:val="28"/>
        </w:rPr>
      </w:pPr>
      <w:r w:rsidRPr="00785962">
        <w:rPr>
          <w:sz w:val="28"/>
          <w:szCs w:val="28"/>
        </w:rPr>
        <w:t>List of Excipients</w:t>
      </w:r>
    </w:p>
    <w:p w14:paraId="1F0A41BF" w14:textId="7E799FDB" w:rsidR="000718DE" w:rsidRPr="00785962" w:rsidRDefault="00000000" w:rsidP="00785962">
      <w:pPr>
        <w:pStyle w:val="Heading2"/>
        <w:tabs>
          <w:tab w:val="center" w:pos="2795"/>
        </w:tabs>
        <w:ind w:left="792" w:firstLine="0"/>
        <w:rPr>
          <w:sz w:val="28"/>
          <w:szCs w:val="28"/>
        </w:rPr>
      </w:pPr>
      <w:r w:rsidRPr="00785962">
        <w:rPr>
          <w:b w:val="0"/>
          <w:color w:val="FF0000"/>
          <w:sz w:val="28"/>
          <w:szCs w:val="28"/>
        </w:rPr>
        <w:t>&lt;REGARDING THE APPROVAL&gt;</w:t>
      </w:r>
    </w:p>
    <w:p w14:paraId="78C84ECD" w14:textId="77777777" w:rsidR="00785962" w:rsidRPr="00785962" w:rsidRDefault="00000000" w:rsidP="00785962">
      <w:pPr>
        <w:pStyle w:val="ListParagraph"/>
        <w:numPr>
          <w:ilvl w:val="1"/>
          <w:numId w:val="3"/>
        </w:numPr>
        <w:tabs>
          <w:tab w:val="center" w:pos="1595"/>
        </w:tabs>
        <w:spacing w:after="240" w:line="264" w:lineRule="auto"/>
        <w:ind w:left="788" w:hanging="431"/>
        <w:contextualSpacing w:val="0"/>
        <w:rPr>
          <w:sz w:val="28"/>
          <w:szCs w:val="28"/>
        </w:rPr>
      </w:pPr>
      <w:r w:rsidRPr="00785962">
        <w:rPr>
          <w:rFonts w:ascii="Times New Roman" w:eastAsia="Times New Roman" w:hAnsi="Times New Roman" w:cs="Times New Roman"/>
          <w:b/>
          <w:sz w:val="28"/>
          <w:szCs w:val="28"/>
        </w:rPr>
        <w:t>Incompatibilities</w:t>
      </w:r>
    </w:p>
    <w:p w14:paraId="0D272EC9" w14:textId="23F4936C" w:rsidR="000718DE" w:rsidRPr="00785962" w:rsidRDefault="00000000" w:rsidP="00785962">
      <w:pPr>
        <w:pStyle w:val="ListParagraph"/>
        <w:tabs>
          <w:tab w:val="center" w:pos="1595"/>
        </w:tabs>
        <w:spacing w:after="240" w:line="264" w:lineRule="auto"/>
        <w:ind w:left="794"/>
        <w:contextualSpacing w:val="0"/>
        <w:rPr>
          <w:rFonts w:ascii="Times New Roman" w:hAnsi="Times New Roman" w:cs="Times New Roman"/>
          <w:sz w:val="28"/>
          <w:szCs w:val="28"/>
        </w:rPr>
      </w:pPr>
      <w:r w:rsidRPr="00785962">
        <w:rPr>
          <w:rFonts w:ascii="Times New Roman" w:hAnsi="Times New Roman" w:cs="Times New Roman"/>
          <w:color w:val="FF0000"/>
          <w:sz w:val="28"/>
          <w:szCs w:val="28"/>
        </w:rPr>
        <w:t>&lt;REGARDING THE APPROVAL&gt;</w:t>
      </w:r>
    </w:p>
    <w:p w14:paraId="229517AE" w14:textId="77777777" w:rsidR="00785962" w:rsidRPr="00785962" w:rsidRDefault="00000000" w:rsidP="00785962">
      <w:pPr>
        <w:pStyle w:val="ListParagraph"/>
        <w:numPr>
          <w:ilvl w:val="1"/>
          <w:numId w:val="3"/>
        </w:numPr>
        <w:tabs>
          <w:tab w:val="center" w:pos="1175"/>
        </w:tabs>
        <w:spacing w:after="240" w:line="264" w:lineRule="auto"/>
        <w:ind w:left="788" w:hanging="431"/>
        <w:contextualSpacing w:val="0"/>
        <w:rPr>
          <w:sz w:val="28"/>
          <w:szCs w:val="28"/>
        </w:rPr>
      </w:pPr>
      <w:r w:rsidRPr="00785962">
        <w:rPr>
          <w:rFonts w:ascii="Times New Roman" w:eastAsia="Times New Roman" w:hAnsi="Times New Roman" w:cs="Times New Roman"/>
          <w:b/>
          <w:sz w:val="28"/>
          <w:szCs w:val="28"/>
        </w:rPr>
        <w:t>Shelf life</w:t>
      </w:r>
    </w:p>
    <w:p w14:paraId="68E6728C" w14:textId="486D424B" w:rsidR="000718DE" w:rsidRPr="00785962" w:rsidRDefault="00000000" w:rsidP="00785962">
      <w:pPr>
        <w:pStyle w:val="ListParagraph"/>
        <w:tabs>
          <w:tab w:val="center" w:pos="1175"/>
        </w:tabs>
        <w:spacing w:after="240" w:line="264" w:lineRule="auto"/>
        <w:ind w:left="794"/>
        <w:contextualSpacing w:val="0"/>
        <w:rPr>
          <w:rFonts w:ascii="Times New Roman" w:hAnsi="Times New Roman" w:cs="Times New Roman"/>
          <w:sz w:val="28"/>
          <w:szCs w:val="28"/>
        </w:rPr>
      </w:pPr>
      <w:r w:rsidRPr="00785962">
        <w:rPr>
          <w:rFonts w:ascii="Times New Roman" w:hAnsi="Times New Roman" w:cs="Times New Roman"/>
          <w:color w:val="FF0000"/>
          <w:sz w:val="28"/>
          <w:szCs w:val="28"/>
        </w:rPr>
        <w:t>&lt;REGARDING THE APPROVAL&gt;</w:t>
      </w:r>
    </w:p>
    <w:p w14:paraId="0DB668FA" w14:textId="77777777" w:rsidR="00785962" w:rsidRPr="00785962" w:rsidRDefault="00000000" w:rsidP="00785962">
      <w:pPr>
        <w:pStyle w:val="ListParagraph"/>
        <w:numPr>
          <w:ilvl w:val="1"/>
          <w:numId w:val="3"/>
        </w:numPr>
        <w:tabs>
          <w:tab w:val="center" w:pos="2315"/>
        </w:tabs>
        <w:spacing w:after="240" w:line="264" w:lineRule="auto"/>
        <w:ind w:left="788" w:hanging="431"/>
        <w:contextualSpacing w:val="0"/>
        <w:rPr>
          <w:sz w:val="28"/>
          <w:szCs w:val="28"/>
        </w:rPr>
      </w:pPr>
      <w:r w:rsidRPr="00785962">
        <w:rPr>
          <w:rFonts w:ascii="Times New Roman" w:eastAsia="Times New Roman" w:hAnsi="Times New Roman" w:cs="Times New Roman"/>
          <w:b/>
          <w:sz w:val="28"/>
          <w:szCs w:val="28"/>
        </w:rPr>
        <w:t>Special precautions for storage</w:t>
      </w:r>
    </w:p>
    <w:p w14:paraId="7A9F3C2A" w14:textId="77777777" w:rsidR="00785962" w:rsidRDefault="00000000" w:rsidP="00785962">
      <w:pPr>
        <w:pStyle w:val="ListParagraph"/>
        <w:tabs>
          <w:tab w:val="center" w:pos="2315"/>
        </w:tabs>
        <w:spacing w:after="240" w:line="264" w:lineRule="auto"/>
        <w:ind w:left="794"/>
        <w:contextualSpacing w:val="0"/>
        <w:rPr>
          <w:rFonts w:ascii="Times New Roman" w:hAnsi="Times New Roman" w:cs="Times New Roman"/>
          <w:color w:val="FF0000"/>
          <w:sz w:val="28"/>
          <w:szCs w:val="28"/>
        </w:rPr>
      </w:pPr>
      <w:r w:rsidRPr="00785962">
        <w:rPr>
          <w:rFonts w:ascii="Times New Roman" w:hAnsi="Times New Roman" w:cs="Times New Roman"/>
          <w:color w:val="FF0000"/>
          <w:sz w:val="28"/>
          <w:szCs w:val="28"/>
        </w:rPr>
        <w:t>&lt;REGARDING THE APPROVAL&gt;</w:t>
      </w:r>
    </w:p>
    <w:p w14:paraId="458C1CEC" w14:textId="24F2331A" w:rsidR="000718DE" w:rsidRPr="00785962" w:rsidRDefault="00000000" w:rsidP="00785962">
      <w:pPr>
        <w:pStyle w:val="ListParagraph"/>
        <w:numPr>
          <w:ilvl w:val="1"/>
          <w:numId w:val="3"/>
        </w:numPr>
        <w:tabs>
          <w:tab w:val="center" w:pos="2315"/>
        </w:tabs>
        <w:spacing w:after="400" w:line="265" w:lineRule="auto"/>
        <w:rPr>
          <w:rFonts w:ascii="Times New Roman" w:hAnsi="Times New Roman" w:cs="Times New Roman"/>
          <w:sz w:val="28"/>
          <w:szCs w:val="28"/>
        </w:rPr>
      </w:pPr>
      <w:r w:rsidRPr="00785962">
        <w:rPr>
          <w:rFonts w:ascii="Times New Roman" w:eastAsia="Times New Roman" w:hAnsi="Times New Roman" w:cs="Times New Roman"/>
          <w:b/>
          <w:sz w:val="28"/>
          <w:szCs w:val="28"/>
        </w:rPr>
        <w:t>Nature and contents of container</w:t>
      </w:r>
    </w:p>
    <w:p w14:paraId="2B3E6D8A" w14:textId="77777777" w:rsidR="000718DE" w:rsidRPr="00F42D77" w:rsidRDefault="00000000" w:rsidP="00785962">
      <w:pPr>
        <w:pStyle w:val="Heading2"/>
        <w:spacing w:after="240" w:line="264" w:lineRule="auto"/>
        <w:ind w:left="0" w:firstLine="720"/>
        <w:rPr>
          <w:sz w:val="28"/>
          <w:szCs w:val="28"/>
        </w:rPr>
      </w:pPr>
      <w:r w:rsidRPr="00F42D77">
        <w:rPr>
          <w:b w:val="0"/>
          <w:color w:val="FF0000"/>
          <w:sz w:val="28"/>
          <w:szCs w:val="28"/>
        </w:rPr>
        <w:t>&lt;REGARDING THE APPROVAL&gt;</w:t>
      </w:r>
    </w:p>
    <w:p w14:paraId="14FD1EE0" w14:textId="60DD917F" w:rsidR="000718DE" w:rsidRPr="00785962" w:rsidRDefault="00000000" w:rsidP="00785962">
      <w:pPr>
        <w:pStyle w:val="ListParagraph"/>
        <w:numPr>
          <w:ilvl w:val="1"/>
          <w:numId w:val="3"/>
        </w:numPr>
        <w:tabs>
          <w:tab w:val="center" w:pos="2780"/>
        </w:tabs>
        <w:spacing w:after="240" w:line="264" w:lineRule="auto"/>
        <w:ind w:left="788" w:hanging="431"/>
        <w:contextualSpacing w:val="0"/>
        <w:rPr>
          <w:sz w:val="28"/>
          <w:szCs w:val="28"/>
        </w:rPr>
      </w:pPr>
      <w:r w:rsidRPr="00785962">
        <w:rPr>
          <w:rFonts w:ascii="Times New Roman" w:eastAsia="Times New Roman" w:hAnsi="Times New Roman" w:cs="Times New Roman"/>
          <w:b/>
          <w:sz w:val="28"/>
          <w:szCs w:val="28"/>
        </w:rPr>
        <w:t>Special precautions for disposal</w:t>
      </w:r>
    </w:p>
    <w:p w14:paraId="4D9645C0" w14:textId="77777777" w:rsidR="000718DE" w:rsidRPr="00F42D77" w:rsidRDefault="00000000" w:rsidP="00785962">
      <w:pPr>
        <w:spacing w:after="240" w:line="264" w:lineRule="auto"/>
        <w:ind w:firstLine="720"/>
        <w:rPr>
          <w:sz w:val="28"/>
          <w:szCs w:val="28"/>
        </w:rPr>
      </w:pPr>
      <w:r w:rsidRPr="00F42D77">
        <w:rPr>
          <w:rFonts w:ascii="Times New Roman" w:eastAsia="Times New Roman" w:hAnsi="Times New Roman" w:cs="Times New Roman"/>
          <w:color w:val="FF0000"/>
          <w:sz w:val="28"/>
          <w:szCs w:val="28"/>
        </w:rPr>
        <w:t>&lt;REGARDING THE APPROVAL&gt;</w:t>
      </w:r>
    </w:p>
    <w:p w14:paraId="2AC588E7" w14:textId="7721C395" w:rsidR="00785962" w:rsidRPr="00785962" w:rsidRDefault="00000000" w:rsidP="00785962">
      <w:pPr>
        <w:pStyle w:val="ListParagraph"/>
        <w:numPr>
          <w:ilvl w:val="0"/>
          <w:numId w:val="3"/>
        </w:numPr>
        <w:tabs>
          <w:tab w:val="center" w:pos="3110"/>
        </w:tabs>
        <w:spacing w:after="240" w:line="264" w:lineRule="auto"/>
        <w:ind w:left="357" w:hanging="357"/>
        <w:contextualSpacing w:val="0"/>
        <w:rPr>
          <w:sz w:val="28"/>
          <w:szCs w:val="28"/>
        </w:rPr>
      </w:pPr>
      <w:r w:rsidRPr="00785962">
        <w:rPr>
          <w:rFonts w:ascii="Times New Roman" w:eastAsia="Times New Roman" w:hAnsi="Times New Roman" w:cs="Times New Roman"/>
          <w:b/>
          <w:sz w:val="28"/>
          <w:szCs w:val="28"/>
        </w:rPr>
        <w:t>MARKETING AUTHORISATION HOLDER</w:t>
      </w:r>
    </w:p>
    <w:p w14:paraId="7DC3A2C8" w14:textId="5B321110" w:rsidR="000718DE" w:rsidRPr="00785962" w:rsidRDefault="00000000" w:rsidP="00785962">
      <w:pPr>
        <w:pStyle w:val="ListParagraph"/>
        <w:tabs>
          <w:tab w:val="center" w:pos="3110"/>
        </w:tabs>
        <w:spacing w:before="240" w:after="240" w:line="264" w:lineRule="auto"/>
        <w:ind w:left="357"/>
        <w:contextualSpacing w:val="0"/>
        <w:rPr>
          <w:sz w:val="28"/>
          <w:szCs w:val="28"/>
        </w:rPr>
      </w:pPr>
      <w:r w:rsidRPr="00785962">
        <w:rPr>
          <w:rFonts w:ascii="Times New Roman" w:eastAsia="Times New Roman" w:hAnsi="Times New Roman" w:cs="Times New Roman"/>
          <w:color w:val="FF0000"/>
          <w:sz w:val="28"/>
          <w:szCs w:val="28"/>
        </w:rPr>
        <w:t>&lt;REGARDING THE APPROVAL&gt;</w:t>
      </w:r>
    </w:p>
    <w:p w14:paraId="5000DF65" w14:textId="4C86F62A" w:rsidR="00785962" w:rsidRDefault="00000000" w:rsidP="00785962">
      <w:pPr>
        <w:pStyle w:val="Heading3"/>
        <w:numPr>
          <w:ilvl w:val="0"/>
          <w:numId w:val="3"/>
        </w:numPr>
        <w:tabs>
          <w:tab w:val="center" w:pos="3125"/>
        </w:tabs>
        <w:rPr>
          <w:sz w:val="28"/>
          <w:szCs w:val="28"/>
        </w:rPr>
      </w:pPr>
      <w:r w:rsidRPr="00F42D77">
        <w:rPr>
          <w:sz w:val="28"/>
          <w:szCs w:val="28"/>
        </w:rPr>
        <w:t>MARKETING AUTHORISATION NUMBER</w:t>
      </w:r>
    </w:p>
    <w:p w14:paraId="66F90637" w14:textId="0F83D7F7" w:rsidR="000718DE" w:rsidRPr="00785962" w:rsidRDefault="00000000" w:rsidP="00785962">
      <w:pPr>
        <w:pStyle w:val="Heading3"/>
        <w:tabs>
          <w:tab w:val="center" w:pos="3125"/>
        </w:tabs>
        <w:ind w:left="360" w:firstLine="0"/>
        <w:rPr>
          <w:b w:val="0"/>
          <w:bCs/>
          <w:sz w:val="28"/>
          <w:szCs w:val="28"/>
        </w:rPr>
      </w:pPr>
      <w:r w:rsidRPr="00785962">
        <w:rPr>
          <w:b w:val="0"/>
          <w:bCs/>
          <w:color w:val="FF0000"/>
          <w:sz w:val="28"/>
          <w:szCs w:val="28"/>
        </w:rPr>
        <w:t>&lt;REGARDING THE APPROVAL&gt;</w:t>
      </w:r>
    </w:p>
    <w:p w14:paraId="4FF90F49" w14:textId="77777777" w:rsidR="00785962" w:rsidRDefault="00785962">
      <w:pPr>
        <w:spacing w:line="27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A706C1B" w14:textId="4DC31492" w:rsidR="000718DE" w:rsidRPr="00785962" w:rsidRDefault="00000000" w:rsidP="00785962">
      <w:pPr>
        <w:pStyle w:val="ListParagraph"/>
        <w:numPr>
          <w:ilvl w:val="0"/>
          <w:numId w:val="3"/>
        </w:numPr>
        <w:tabs>
          <w:tab w:val="center" w:pos="545"/>
          <w:tab w:val="center" w:pos="4134"/>
        </w:tabs>
        <w:spacing w:after="4" w:line="360" w:lineRule="auto"/>
        <w:rPr>
          <w:sz w:val="28"/>
          <w:szCs w:val="28"/>
        </w:rPr>
      </w:pPr>
      <w:r w:rsidRPr="00785962">
        <w:rPr>
          <w:rFonts w:ascii="Times New Roman" w:eastAsia="Times New Roman" w:hAnsi="Times New Roman" w:cs="Times New Roman"/>
          <w:b/>
          <w:sz w:val="28"/>
          <w:szCs w:val="28"/>
        </w:rPr>
        <w:lastRenderedPageBreak/>
        <w:t>DATE OF FIRST AUTHORISATION / RENEWAL OF THE</w:t>
      </w:r>
    </w:p>
    <w:p w14:paraId="3600032F" w14:textId="77777777" w:rsidR="00E10B85" w:rsidRDefault="00000000" w:rsidP="00E10B85">
      <w:pPr>
        <w:spacing w:after="240" w:line="360" w:lineRule="auto"/>
        <w:ind w:hanging="11"/>
        <w:rPr>
          <w:rFonts w:ascii="Times New Roman" w:eastAsia="Times New Roman" w:hAnsi="Times New Roman" w:cs="Times New Roman"/>
          <w:b/>
          <w:sz w:val="28"/>
          <w:szCs w:val="28"/>
        </w:rPr>
      </w:pPr>
      <w:r w:rsidRPr="00F42D77">
        <w:rPr>
          <w:rFonts w:ascii="Times New Roman" w:eastAsia="Times New Roman" w:hAnsi="Times New Roman" w:cs="Times New Roman"/>
          <w:b/>
          <w:sz w:val="28"/>
          <w:szCs w:val="28"/>
        </w:rPr>
        <w:t>AUTHORISATION</w:t>
      </w:r>
    </w:p>
    <w:p w14:paraId="2BC2C6F6" w14:textId="34E57421" w:rsidR="000718DE" w:rsidRPr="00E10B85" w:rsidRDefault="00E10B85" w:rsidP="00E10B85">
      <w:pPr>
        <w:spacing w:after="240" w:line="360" w:lineRule="auto"/>
        <w:ind w:hanging="1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00000" w:rsidRPr="00F42D77">
        <w:rPr>
          <w:rFonts w:ascii="Times New Roman" w:eastAsia="Times New Roman" w:hAnsi="Times New Roman" w:cs="Times New Roman"/>
          <w:color w:val="FF0000"/>
          <w:sz w:val="28"/>
          <w:szCs w:val="28"/>
        </w:rPr>
        <w:t>&lt;REGARDING THE APPROVAL&gt;</w:t>
      </w:r>
    </w:p>
    <w:p w14:paraId="2DCC7963" w14:textId="77777777" w:rsidR="00E10B85" w:rsidRDefault="00000000" w:rsidP="00E10B85">
      <w:pPr>
        <w:pStyle w:val="Heading1"/>
        <w:numPr>
          <w:ilvl w:val="0"/>
          <w:numId w:val="3"/>
        </w:numPr>
        <w:tabs>
          <w:tab w:val="center" w:pos="3050"/>
        </w:tabs>
        <w:spacing w:after="240" w:line="264" w:lineRule="auto"/>
        <w:ind w:left="357" w:hanging="357"/>
        <w:rPr>
          <w:szCs w:val="28"/>
        </w:rPr>
      </w:pPr>
      <w:r w:rsidRPr="00F42D77">
        <w:rPr>
          <w:szCs w:val="28"/>
        </w:rPr>
        <w:t>DATEOFREVISIONOFTHETEXT</w:t>
      </w:r>
      <w:r w:rsidRPr="00F42D77">
        <w:rPr>
          <w:szCs w:val="28"/>
          <w:vertAlign w:val="superscript"/>
        </w:rPr>
        <w:footnoteReference w:id="1"/>
      </w:r>
    </w:p>
    <w:p w14:paraId="3EA91C97" w14:textId="2975F889" w:rsidR="000718DE" w:rsidRPr="00E10B85" w:rsidRDefault="00000000" w:rsidP="00E10B85">
      <w:pPr>
        <w:pStyle w:val="Heading1"/>
        <w:tabs>
          <w:tab w:val="center" w:pos="3050"/>
        </w:tabs>
        <w:spacing w:after="649"/>
        <w:ind w:left="360" w:firstLine="0"/>
        <w:rPr>
          <w:b w:val="0"/>
          <w:bCs/>
          <w:szCs w:val="28"/>
        </w:rPr>
      </w:pPr>
      <w:r w:rsidRPr="00E10B85">
        <w:rPr>
          <w:b w:val="0"/>
          <w:bCs/>
          <w:color w:val="FF0000"/>
          <w:szCs w:val="28"/>
        </w:rPr>
        <w:t>&lt;REGARDING THE APPROVAL&gt;</w:t>
      </w:r>
    </w:p>
    <w:sectPr w:rsidR="000718DE" w:rsidRPr="00E10B85" w:rsidSect="00F42D77">
      <w:footnotePr>
        <w:numRestart w:val="eachPage"/>
      </w:footnotePr>
      <w:pgSz w:w="11920" w:h="16840"/>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0E4B" w14:textId="77777777" w:rsidR="00337059" w:rsidRDefault="00337059">
      <w:pPr>
        <w:spacing w:after="0" w:line="240" w:lineRule="auto"/>
      </w:pPr>
      <w:r>
        <w:separator/>
      </w:r>
    </w:p>
  </w:endnote>
  <w:endnote w:type="continuationSeparator" w:id="0">
    <w:p w14:paraId="096BA53A" w14:textId="77777777" w:rsidR="00337059" w:rsidRDefault="0033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121D7" w14:textId="77777777" w:rsidR="00337059" w:rsidRDefault="00337059">
      <w:pPr>
        <w:spacing w:after="0"/>
        <w:ind w:left="1895"/>
      </w:pPr>
      <w:r>
        <w:separator/>
      </w:r>
    </w:p>
  </w:footnote>
  <w:footnote w:type="continuationSeparator" w:id="0">
    <w:p w14:paraId="32EF87E5" w14:textId="77777777" w:rsidR="00337059" w:rsidRDefault="00337059">
      <w:pPr>
        <w:spacing w:after="0"/>
        <w:ind w:left="1895"/>
      </w:pPr>
      <w:r>
        <w:continuationSeparator/>
      </w:r>
    </w:p>
  </w:footnote>
  <w:footnote w:id="1">
    <w:p w14:paraId="31EDD022" w14:textId="77777777" w:rsidR="000718DE" w:rsidRDefault="00000000" w:rsidP="00E10B85">
      <w:pPr>
        <w:pStyle w:val="footnotedescription"/>
        <w:ind w:left="0"/>
      </w:pPr>
      <w:r>
        <w:rPr>
          <w:rStyle w:val="footnotemark"/>
        </w:rPr>
        <w:footnoteRef/>
      </w:r>
      <w:r>
        <w:t xml:space="preserve"> </w:t>
      </w:r>
      <w:r>
        <w:rPr>
          <w:sz w:val="24"/>
        </w:rPr>
        <w:t xml:space="preserve">Ref: </w:t>
      </w:r>
      <w:r>
        <w:t xml:space="preserve">Dextromethorphan </w:t>
      </w:r>
      <w:r>
        <w:rPr>
          <w:sz w:val="24"/>
        </w:rPr>
        <w:t>, MHRA, 21/04/2020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10B"/>
    <w:multiLevelType w:val="hybridMultilevel"/>
    <w:tmpl w:val="7B2EF8AC"/>
    <w:lvl w:ilvl="0" w:tplc="A5A05752">
      <w:start w:val="1"/>
      <w:numFmt w:val="bullet"/>
      <w:lvlText w:val="•"/>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8E868">
      <w:start w:val="1"/>
      <w:numFmt w:val="bullet"/>
      <w:lvlText w:val="o"/>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E83C0">
      <w:start w:val="1"/>
      <w:numFmt w:val="bullet"/>
      <w:lvlText w:val="▪"/>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C32FC">
      <w:start w:val="1"/>
      <w:numFmt w:val="bullet"/>
      <w:lvlText w:val="•"/>
      <w:lvlJc w:val="left"/>
      <w:pPr>
        <w:ind w:left="3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EC17C">
      <w:start w:val="1"/>
      <w:numFmt w:val="bullet"/>
      <w:lvlText w:val="o"/>
      <w:lvlJc w:val="left"/>
      <w:pPr>
        <w:ind w:left="3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06E10">
      <w:start w:val="1"/>
      <w:numFmt w:val="bullet"/>
      <w:lvlText w:val="▪"/>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A26A0">
      <w:start w:val="1"/>
      <w:numFmt w:val="bullet"/>
      <w:lvlText w:val="•"/>
      <w:lvlJc w:val="left"/>
      <w:pPr>
        <w:ind w:left="5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C3CF2">
      <w:start w:val="1"/>
      <w:numFmt w:val="bullet"/>
      <w:lvlText w:val="o"/>
      <w:lvlJc w:val="left"/>
      <w:pPr>
        <w:ind w:left="6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84523E">
      <w:start w:val="1"/>
      <w:numFmt w:val="bullet"/>
      <w:lvlText w:val="▪"/>
      <w:lvlJc w:val="left"/>
      <w:pPr>
        <w:ind w:left="6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AB380A"/>
    <w:multiLevelType w:val="multilevel"/>
    <w:tmpl w:val="9F9CA988"/>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F7E1B"/>
    <w:multiLevelType w:val="hybridMultilevel"/>
    <w:tmpl w:val="34E8297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206463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8D4EA4"/>
    <w:multiLevelType w:val="hybridMultilevel"/>
    <w:tmpl w:val="ECE2472E"/>
    <w:lvl w:ilvl="0" w:tplc="0409000F">
      <w:start w:val="1"/>
      <w:numFmt w:val="decimal"/>
      <w:lvlText w:val="%1."/>
      <w:lvlJc w:val="left"/>
      <w:pPr>
        <w:ind w:left="321" w:hanging="360"/>
      </w:p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5" w15:restartNumberingAfterBreak="0">
    <w:nsid w:val="335C1B74"/>
    <w:multiLevelType w:val="hybridMultilevel"/>
    <w:tmpl w:val="E9C83812"/>
    <w:lvl w:ilvl="0" w:tplc="04090001">
      <w:start w:val="1"/>
      <w:numFmt w:val="bullet"/>
      <w:lvlText w:val=""/>
      <w:lvlJc w:val="left"/>
      <w:pPr>
        <w:ind w:left="1430" w:hanging="360"/>
      </w:pPr>
      <w:rPr>
        <w:rFonts w:ascii="Symbol" w:hAnsi="Symbol" w:hint="default"/>
      </w:rPr>
    </w:lvl>
    <w:lvl w:ilvl="1" w:tplc="04090003">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15:restartNumberingAfterBreak="0">
    <w:nsid w:val="3C1528AC"/>
    <w:multiLevelType w:val="hybridMultilevel"/>
    <w:tmpl w:val="182818D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1784423520">
    <w:abstractNumId w:val="0"/>
  </w:num>
  <w:num w:numId="2" w16cid:durableId="615019695">
    <w:abstractNumId w:val="4"/>
  </w:num>
  <w:num w:numId="3" w16cid:durableId="1722485643">
    <w:abstractNumId w:val="1"/>
  </w:num>
  <w:num w:numId="4" w16cid:durableId="1404254121">
    <w:abstractNumId w:val="3"/>
  </w:num>
  <w:num w:numId="5" w16cid:durableId="74859372">
    <w:abstractNumId w:val="6"/>
  </w:num>
  <w:num w:numId="6" w16cid:durableId="1483885670">
    <w:abstractNumId w:val="5"/>
  </w:num>
  <w:num w:numId="7" w16cid:durableId="1315405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DE"/>
    <w:rsid w:val="000718DE"/>
    <w:rsid w:val="00337059"/>
    <w:rsid w:val="00785962"/>
    <w:rsid w:val="00C64B0D"/>
    <w:rsid w:val="00E10B85"/>
    <w:rsid w:val="00E31D35"/>
    <w:rsid w:val="00F42D77"/>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B79690F"/>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77" w:line="265" w:lineRule="auto"/>
      <w:ind w:left="20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33" w:line="265" w:lineRule="auto"/>
      <w:ind w:left="1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33" w:line="265" w:lineRule="auto"/>
      <w:ind w:left="15"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59" w:lineRule="auto"/>
      <w:ind w:left="1961"/>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ListParagraph">
    <w:name w:val="List Paragraph"/>
    <w:basedOn w:val="Normal"/>
    <w:uiPriority w:val="34"/>
    <w:qFormat/>
    <w:rsid w:val="00F42D77"/>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18</TotalTime>
  <Pages>12</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7442_1_dextromethorphan hydrobromide_lozenge_smpc_MHRA.docx</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7442_1_dextromethorphan hydrobromide_lozenge_smpc_MHRA.docx</dc:title>
  <dc:subject/>
  <dc:creator>PIYATIDA PANITSUPAKAMOL</dc:creator>
  <cp:keywords/>
  <cp:lastModifiedBy>PIYATIDA PANITSUPAKAMOL</cp:lastModifiedBy>
  <cp:revision>3</cp:revision>
  <dcterms:created xsi:type="dcterms:W3CDTF">2024-09-06T17:26:00Z</dcterms:created>
  <dcterms:modified xsi:type="dcterms:W3CDTF">2024-09-06T17:43:00Z</dcterms:modified>
</cp:coreProperties>
</file>