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D906" w14:textId="25829C7E" w:rsidR="00227FD4" w:rsidRPr="008F5678" w:rsidRDefault="00000000" w:rsidP="00AF212D">
      <w:pPr>
        <w:pStyle w:val="TitleSMPC"/>
      </w:pPr>
      <w:r w:rsidRPr="008F5678">
        <w:t>SUMMARY OF PRODUCT CHARACTERISTICS</w:t>
      </w:r>
    </w:p>
    <w:p w14:paraId="740778C1" w14:textId="77777777" w:rsidR="00233A79" w:rsidRPr="008F5678" w:rsidRDefault="00000000" w:rsidP="00834A79">
      <w:pPr>
        <w:pStyle w:val="HEADING1SMPC"/>
      </w:pPr>
      <w:r w:rsidRPr="008F5678">
        <w:t xml:space="preserve">NAME OF THE MEDICINAL PRODUCT </w:t>
      </w:r>
    </w:p>
    <w:p w14:paraId="29438B81" w14:textId="143E5F8D" w:rsidR="00227FD4" w:rsidRPr="008F5678" w:rsidRDefault="00000000" w:rsidP="00AF212D">
      <w:pPr>
        <w:pStyle w:val="BodyTextSMPC"/>
      </w:pPr>
      <w:r w:rsidRPr="008F5678">
        <w:t xml:space="preserve">&lt;TRADE NAME&gt; &lt;STRENGTH&gt; </w:t>
      </w:r>
      <w:r w:rsidR="00E369CC">
        <w:t>V</w:t>
      </w:r>
      <w:r w:rsidR="0003545A">
        <w:t xml:space="preserve">aginal </w:t>
      </w:r>
      <w:r w:rsidR="00E369CC">
        <w:t>T</w:t>
      </w:r>
      <w:r w:rsidR="0003545A">
        <w:t>ablets</w:t>
      </w:r>
      <w:r w:rsidRPr="008F5678">
        <w:t xml:space="preserve"> </w:t>
      </w:r>
    </w:p>
    <w:p w14:paraId="51114D0F" w14:textId="77777777" w:rsidR="00A144D2" w:rsidRPr="008F5678" w:rsidRDefault="00000000" w:rsidP="00AF212D">
      <w:pPr>
        <w:pStyle w:val="BodyTextSMPC"/>
        <w:rPr>
          <w:color w:val="FF0000"/>
        </w:rPr>
      </w:pPr>
      <w:r w:rsidRPr="008F5678">
        <w:rPr>
          <w:color w:val="FF0000"/>
        </w:rPr>
        <w:t>&lt;REGARDING THE APPROVAL&gt;</w:t>
      </w:r>
    </w:p>
    <w:p w14:paraId="3EC4138F" w14:textId="77777777" w:rsidR="00A144D2" w:rsidRPr="008F5678" w:rsidRDefault="00000000" w:rsidP="00834A79">
      <w:pPr>
        <w:pStyle w:val="HEADING1SMPC"/>
      </w:pPr>
      <w:r w:rsidRPr="008F5678">
        <w:t>QUALITATIVE AND QUANTITATIVE COMPOSITION</w:t>
      </w:r>
    </w:p>
    <w:p w14:paraId="18185B43" w14:textId="381DBB50" w:rsidR="00AF212D" w:rsidRDefault="0003545A" w:rsidP="00AF212D">
      <w:pPr>
        <w:pStyle w:val="BodyTextSMPC"/>
      </w:pPr>
      <w:r>
        <w:t>Each vaginal tablet contains</w:t>
      </w:r>
      <w:r w:rsidRPr="008F5678">
        <w:t xml:space="preserve"> &lt;STRENGTH&gt; </w:t>
      </w:r>
      <w:r>
        <w:t>of nystatin</w:t>
      </w:r>
      <w:r w:rsidR="00E369CC">
        <w:t>.</w:t>
      </w:r>
    </w:p>
    <w:p w14:paraId="58737572" w14:textId="78D4B175" w:rsidR="0003545A" w:rsidRDefault="0003545A" w:rsidP="00AF212D">
      <w:pPr>
        <w:pStyle w:val="BodyTextSMPC"/>
      </w:pPr>
      <w:r>
        <w:t>Excipient with known effect:</w:t>
      </w:r>
    </w:p>
    <w:p w14:paraId="76F21D04" w14:textId="77777777" w:rsidR="0003545A" w:rsidRPr="008F5678" w:rsidRDefault="0003545A" w:rsidP="0003545A">
      <w:pPr>
        <w:pStyle w:val="BodyTextSMPC"/>
        <w:rPr>
          <w:color w:val="FF0000"/>
        </w:rPr>
      </w:pPr>
      <w:r w:rsidRPr="008F5678">
        <w:rPr>
          <w:color w:val="FF0000"/>
        </w:rPr>
        <w:t>&lt;REGARDING THE APPROVAL&gt;</w:t>
      </w:r>
    </w:p>
    <w:p w14:paraId="5C373BE4" w14:textId="42A391AC" w:rsidR="00A144D2" w:rsidRPr="008F5678" w:rsidRDefault="00000000" w:rsidP="00AF212D">
      <w:pPr>
        <w:pStyle w:val="BodyTextSMPC"/>
      </w:pPr>
      <w:r w:rsidRPr="008F5678">
        <w:t xml:space="preserve">For the full list of excipients, see section 6.1. </w:t>
      </w:r>
    </w:p>
    <w:p w14:paraId="7E05B8A9" w14:textId="77777777" w:rsidR="00A144D2" w:rsidRPr="008F5678" w:rsidRDefault="00000000" w:rsidP="00834A79">
      <w:pPr>
        <w:pStyle w:val="HEADING1SMPC"/>
      </w:pPr>
      <w:r w:rsidRPr="008F5678">
        <w:t xml:space="preserve">PHARMACEUTICAL FORM </w:t>
      </w:r>
    </w:p>
    <w:p w14:paraId="2936CA5C" w14:textId="37E44FE8" w:rsidR="00191B35" w:rsidRPr="00191B35" w:rsidRDefault="00191B35" w:rsidP="00AF212D">
      <w:pPr>
        <w:pStyle w:val="BodyTextSMPC"/>
        <w:rPr>
          <w:color w:val="000000" w:themeColor="text1"/>
        </w:rPr>
      </w:pPr>
      <w:r w:rsidRPr="00191B35">
        <w:rPr>
          <w:color w:val="000000" w:themeColor="text1"/>
        </w:rPr>
        <w:t xml:space="preserve">Vaginal </w:t>
      </w:r>
      <w:r>
        <w:rPr>
          <w:color w:val="000000" w:themeColor="text1"/>
        </w:rPr>
        <w:t>T</w:t>
      </w:r>
      <w:r w:rsidRPr="00191B35">
        <w:rPr>
          <w:color w:val="000000" w:themeColor="text1"/>
        </w:rPr>
        <w:t>ablet</w:t>
      </w:r>
    </w:p>
    <w:p w14:paraId="74CE521D" w14:textId="7F2AD4E8" w:rsidR="00227FD4" w:rsidRPr="008F5678" w:rsidRDefault="00000000" w:rsidP="00AF212D">
      <w:pPr>
        <w:pStyle w:val="BodyTextSMPC"/>
        <w:rPr>
          <w:color w:val="FF0000"/>
        </w:rPr>
      </w:pPr>
      <w:r w:rsidRPr="008F5678">
        <w:rPr>
          <w:color w:val="FF0000"/>
        </w:rPr>
        <w:t>&lt;REGARDING THE APPROVAL&gt;</w:t>
      </w:r>
    </w:p>
    <w:p w14:paraId="5A03DC4E" w14:textId="77777777" w:rsidR="00177864" w:rsidRPr="008F5678" w:rsidRDefault="00000000" w:rsidP="00834A79">
      <w:pPr>
        <w:pStyle w:val="HEADING1SMPC"/>
        <w:rPr>
          <w:szCs w:val="28"/>
        </w:rPr>
      </w:pPr>
      <w:r w:rsidRPr="008F5678">
        <w:t>CLINICAL PARTICULARS</w:t>
      </w:r>
    </w:p>
    <w:p w14:paraId="4E91EDC2" w14:textId="77777777" w:rsidR="00233A79" w:rsidRPr="008F5678" w:rsidRDefault="00000000" w:rsidP="00834A79">
      <w:pPr>
        <w:pStyle w:val="SubHeafingSMPC"/>
      </w:pPr>
      <w:r w:rsidRPr="008F5678">
        <w:t xml:space="preserve">Therapeutic indications </w:t>
      </w:r>
    </w:p>
    <w:p w14:paraId="13EF1B36" w14:textId="4E8AC383" w:rsidR="00177864" w:rsidRPr="008F5678" w:rsidRDefault="00342C9F" w:rsidP="00AF212D">
      <w:pPr>
        <w:pStyle w:val="BodyTextSMPC"/>
      </w:pPr>
      <w:r w:rsidRPr="00342C9F">
        <w:t>For the treatment of candidal vaginitis.</w:t>
      </w:r>
      <w:r w:rsidRPr="008F5678">
        <w:t>.</w:t>
      </w:r>
    </w:p>
    <w:p w14:paraId="1953512A" w14:textId="77777777" w:rsidR="00233A79" w:rsidRPr="008F5678" w:rsidRDefault="00000000" w:rsidP="00C21A1C">
      <w:pPr>
        <w:pStyle w:val="SubHeafingSMPC"/>
      </w:pPr>
      <w:r w:rsidRPr="008F5678">
        <w:t>Posology and method of administration</w:t>
      </w:r>
    </w:p>
    <w:p w14:paraId="2513495E" w14:textId="70EE49EE" w:rsidR="00342C9F" w:rsidRDefault="00342C9F" w:rsidP="00342C9F">
      <w:pPr>
        <w:pStyle w:val="BodyTextSMPC"/>
      </w:pPr>
      <w:r>
        <w:t>Vaginal tablet:</w:t>
      </w:r>
    </w:p>
    <w:p w14:paraId="6FF260E7" w14:textId="77777777" w:rsidR="00342C9F" w:rsidRPr="00342C9F" w:rsidRDefault="00342C9F" w:rsidP="00342C9F">
      <w:pPr>
        <w:pStyle w:val="BodyTextSMPC"/>
        <w:rPr>
          <w:i/>
          <w:iCs/>
        </w:rPr>
      </w:pPr>
      <w:r w:rsidRPr="00342C9F">
        <w:rPr>
          <w:i/>
          <w:iCs/>
        </w:rPr>
        <w:t>Adults including the elderly:</w:t>
      </w:r>
    </w:p>
    <w:p w14:paraId="407C823E" w14:textId="77777777" w:rsidR="00342C9F" w:rsidRDefault="00342C9F" w:rsidP="00342C9F">
      <w:pPr>
        <w:pStyle w:val="BodyTextSMPC"/>
      </w:pPr>
      <w:r>
        <w:t>1 or 2 pessaries should be inserted high into the vagina for 14 consecutive nights or longer, regardless of any intervening menstrual period.</w:t>
      </w:r>
    </w:p>
    <w:p w14:paraId="039D55D3" w14:textId="77777777" w:rsidR="00342C9F" w:rsidRPr="00342C9F" w:rsidRDefault="00342C9F" w:rsidP="00342C9F">
      <w:pPr>
        <w:pStyle w:val="BodyTextSMPC"/>
        <w:rPr>
          <w:i/>
          <w:iCs/>
        </w:rPr>
      </w:pPr>
      <w:r w:rsidRPr="00342C9F">
        <w:rPr>
          <w:i/>
          <w:iCs/>
        </w:rPr>
        <w:t>Children:</w:t>
      </w:r>
    </w:p>
    <w:p w14:paraId="45F23633" w14:textId="77777777" w:rsidR="00342C9F" w:rsidRDefault="00342C9F" w:rsidP="00342C9F">
      <w:pPr>
        <w:pStyle w:val="BodyTextSMPC"/>
      </w:pPr>
      <w:r>
        <w:t>Not recommended.</w:t>
      </w:r>
    </w:p>
    <w:p w14:paraId="148B4C95" w14:textId="77777777" w:rsidR="00342C9F" w:rsidRDefault="00342C9F" w:rsidP="00342C9F">
      <w:pPr>
        <w:pStyle w:val="BodyTextSMPC"/>
      </w:pPr>
      <w:r>
        <w:lastRenderedPageBreak/>
        <w:t xml:space="preserve">Route of administration: </w:t>
      </w:r>
    </w:p>
    <w:p w14:paraId="62F7DF5F" w14:textId="35518C97" w:rsidR="00227FD4" w:rsidRPr="008F5678" w:rsidRDefault="00342C9F" w:rsidP="00342C9F">
      <w:pPr>
        <w:pStyle w:val="BodyTextSMPC"/>
      </w:pPr>
      <w:r>
        <w:t>Vagina</w:t>
      </w:r>
      <w:r w:rsidRPr="008F5678">
        <w:t xml:space="preserve">. </w:t>
      </w:r>
    </w:p>
    <w:p w14:paraId="5B05A77F" w14:textId="77777777" w:rsidR="00671E86" w:rsidRPr="008F5678" w:rsidRDefault="00000000" w:rsidP="00233A79">
      <w:pPr>
        <w:pStyle w:val="SubHeafingSMPC"/>
      </w:pPr>
      <w:r w:rsidRPr="008F5678">
        <w:t>Contraindications</w:t>
      </w:r>
    </w:p>
    <w:p w14:paraId="66CD8858" w14:textId="5A87D53B" w:rsidR="00A144D2" w:rsidRPr="008F5678" w:rsidRDefault="00A262B1" w:rsidP="00671E86">
      <w:pPr>
        <w:pStyle w:val="BodyTextSMPC"/>
        <w:jc w:val="thaiDistribute"/>
        <w:rPr>
          <w:cs/>
        </w:rPr>
      </w:pPr>
      <w:r w:rsidRPr="00A262B1">
        <w:t xml:space="preserve">There are no known contraindications to use of </w:t>
      </w:r>
      <w:r>
        <w:t>nystatin vaginal tablet</w:t>
      </w:r>
      <w:r w:rsidRPr="00A262B1">
        <w:t>, except hypersensitivity to any of the ingredients.</w:t>
      </w:r>
      <w:r w:rsidRPr="008F5678">
        <w:t xml:space="preserve">. </w:t>
      </w:r>
    </w:p>
    <w:p w14:paraId="6955ACE4" w14:textId="77777777" w:rsidR="00A144D2" w:rsidRPr="008F5678" w:rsidRDefault="00000000" w:rsidP="00671E86">
      <w:pPr>
        <w:pStyle w:val="SubHeafingSMPC"/>
      </w:pPr>
      <w:r w:rsidRPr="008F5678">
        <w:t xml:space="preserve">Special warnings and precautions for use </w:t>
      </w:r>
    </w:p>
    <w:p w14:paraId="14F2DC79" w14:textId="0598123E" w:rsidR="00A144D2" w:rsidRPr="008F5678" w:rsidRDefault="007D5A15" w:rsidP="007D5A15">
      <w:pPr>
        <w:pStyle w:val="BodyTextSMPC"/>
        <w:jc w:val="thaiDistribute"/>
      </w:pPr>
      <w:r w:rsidRPr="007D5A15">
        <w:t>In pregnancy, care should be taken when using an applicator to prevent the possibility of mechanical trauma.</w:t>
      </w:r>
      <w:r w:rsidRPr="008F5678">
        <w:t xml:space="preserve">. </w:t>
      </w:r>
    </w:p>
    <w:p w14:paraId="30317F66" w14:textId="26794257" w:rsidR="00227FD4" w:rsidRPr="008F5678" w:rsidRDefault="00000000" w:rsidP="00671E86">
      <w:pPr>
        <w:pStyle w:val="SubHeafingSMPC"/>
      </w:pPr>
      <w:r w:rsidRPr="008F5678">
        <w:t xml:space="preserve">Interaction with other medicinal products and other forms of interaction </w:t>
      </w:r>
    </w:p>
    <w:p w14:paraId="75F12885" w14:textId="70981CED" w:rsidR="00227FD4" w:rsidRPr="008F5678" w:rsidRDefault="007D012F" w:rsidP="00671E86">
      <w:pPr>
        <w:pStyle w:val="BodyTextSMPC"/>
      </w:pPr>
      <w:r w:rsidRPr="007D012F">
        <w:t>Not known.</w:t>
      </w:r>
      <w:r w:rsidRPr="008F5678">
        <w:t xml:space="preserve">. </w:t>
      </w:r>
    </w:p>
    <w:p w14:paraId="3FAC668F" w14:textId="51F80623" w:rsidR="00227FD4" w:rsidRPr="008F5678" w:rsidRDefault="00000000" w:rsidP="00671E86">
      <w:pPr>
        <w:pStyle w:val="SubHeafingSMPC"/>
      </w:pPr>
      <w:r w:rsidRPr="008F5678">
        <w:t xml:space="preserve">Fertility, pregnancy and lactation </w:t>
      </w:r>
    </w:p>
    <w:p w14:paraId="53E75989" w14:textId="342BB2F6" w:rsidR="00227FD4" w:rsidRPr="008F5678" w:rsidRDefault="00DB70D7" w:rsidP="00DB70D7">
      <w:pPr>
        <w:pStyle w:val="BodyTextSMPC"/>
      </w:pPr>
      <w:r>
        <w:t>In pregnancy, care should be taken when using the applicator provided to prevent the possibility of mechanical trauma.</w:t>
      </w:r>
      <w:r w:rsidRPr="008F5678">
        <w:t xml:space="preserve">. </w:t>
      </w:r>
    </w:p>
    <w:p w14:paraId="6D62B196" w14:textId="223FFB6A" w:rsidR="00227FD4" w:rsidRPr="008F5678" w:rsidRDefault="00000000" w:rsidP="00671E86">
      <w:pPr>
        <w:pStyle w:val="SubHeafingSMPC"/>
      </w:pPr>
      <w:r w:rsidRPr="008F5678">
        <w:t xml:space="preserve">Effects on ability to drive and use machines </w:t>
      </w:r>
    </w:p>
    <w:p w14:paraId="7E43B901" w14:textId="30EDB050" w:rsidR="00227FD4" w:rsidRPr="008F5678" w:rsidRDefault="00D317E1" w:rsidP="00671E86">
      <w:pPr>
        <w:pStyle w:val="BodyTextSMPC"/>
      </w:pPr>
      <w:r>
        <w:t>None.</w:t>
      </w:r>
    </w:p>
    <w:p w14:paraId="071D62C3" w14:textId="1176E362" w:rsidR="00227FD4" w:rsidRPr="008F5678" w:rsidRDefault="00000000" w:rsidP="00671E86">
      <w:pPr>
        <w:pStyle w:val="SubHeafingSMPC"/>
      </w:pPr>
      <w:r w:rsidRPr="008F5678">
        <w:t xml:space="preserve">Undesirable effects </w:t>
      </w:r>
    </w:p>
    <w:p w14:paraId="0D628F03" w14:textId="7EAF9A28" w:rsidR="00227FD4" w:rsidRPr="008F5678" w:rsidRDefault="00D317E1" w:rsidP="00671E86">
      <w:pPr>
        <w:pStyle w:val="BodyTextSMPC"/>
      </w:pPr>
      <w:r>
        <w:t>None stated</w:t>
      </w:r>
      <w:r w:rsidRPr="008F5678">
        <w:t>.</w:t>
      </w:r>
    </w:p>
    <w:p w14:paraId="620FF5D6" w14:textId="77777777" w:rsidR="00227FD4" w:rsidRPr="008F5678" w:rsidRDefault="00227FD4" w:rsidP="00A560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6D003B03" w14:textId="77777777" w:rsidR="00227FD4" w:rsidRPr="008F5678" w:rsidRDefault="00000000" w:rsidP="00671E86">
      <w:pPr>
        <w:pStyle w:val="BodyTextSMPC"/>
        <w:rPr>
          <w:u w:val="single"/>
        </w:rPr>
      </w:pPr>
      <w:r w:rsidRPr="008F5678">
        <w:rPr>
          <w:u w:val="single"/>
        </w:rPr>
        <w:t xml:space="preserve">Reporting of suspected adverse reactions </w:t>
      </w:r>
    </w:p>
    <w:p w14:paraId="3CE4C9DE" w14:textId="77777777" w:rsidR="00227FD4" w:rsidRPr="008F5678" w:rsidRDefault="00000000" w:rsidP="00671E86">
      <w:pPr>
        <w:pStyle w:val="BodyTextSMPC"/>
        <w:rPr>
          <w:rFonts w:eastAsia="Times"/>
        </w:rPr>
      </w:pPr>
      <w:r w:rsidRPr="008F5678">
        <w:t xml:space="preserve">Reporting suspected adverse reactions after authorisation of the medicinal product is important. It allows continued monitoring of the benefit/risk balance of the medicinal product. Healthcare professionals are asked to report any suspected </w:t>
      </w:r>
      <w:r w:rsidRPr="008F5678">
        <w:rPr>
          <w:rFonts w:eastAsia="Times"/>
        </w:rPr>
        <w:t xml:space="preserve">adverse reactions via Health Product Vigilance Center; HPVC </w:t>
      </w:r>
    </w:p>
    <w:p w14:paraId="30211328" w14:textId="69F1473A" w:rsidR="00227FD4" w:rsidRPr="008F5678" w:rsidRDefault="00000000" w:rsidP="00671E86">
      <w:pPr>
        <w:pStyle w:val="SubHeafingSMPC"/>
      </w:pPr>
      <w:r w:rsidRPr="008F5678">
        <w:t xml:space="preserve">Overdose </w:t>
      </w:r>
    </w:p>
    <w:p w14:paraId="779748E9" w14:textId="6F5F2D3B" w:rsidR="00227FD4" w:rsidRPr="008F5678" w:rsidRDefault="00D317E1" w:rsidP="00671E86">
      <w:pPr>
        <w:pStyle w:val="BodyTextSMPC"/>
      </w:pPr>
      <w:r>
        <w:t>None</w:t>
      </w:r>
      <w:r w:rsidRPr="008F5678">
        <w:t xml:space="preserve">. </w:t>
      </w:r>
    </w:p>
    <w:p w14:paraId="01D50C2F" w14:textId="727E5579" w:rsidR="00227FD4" w:rsidRPr="008F5678" w:rsidRDefault="00000000" w:rsidP="00671E86">
      <w:pPr>
        <w:pStyle w:val="HEADING1SMPC"/>
      </w:pPr>
      <w:r w:rsidRPr="008F5678">
        <w:lastRenderedPageBreak/>
        <w:t xml:space="preserve">PHARMACOLOGICAL PROPERTIES </w:t>
      </w:r>
    </w:p>
    <w:p w14:paraId="65410C03" w14:textId="784FDABA" w:rsidR="00227FD4" w:rsidRPr="008F5678" w:rsidRDefault="00000000" w:rsidP="00671E86">
      <w:pPr>
        <w:pStyle w:val="SubHeafingSMPC"/>
      </w:pPr>
      <w:r w:rsidRPr="008F5678">
        <w:t xml:space="preserve">Pharmacodynamic properties </w:t>
      </w:r>
    </w:p>
    <w:p w14:paraId="2F059951" w14:textId="19237CCF" w:rsidR="00227FD4" w:rsidRPr="00200241" w:rsidRDefault="00200241" w:rsidP="00671E86">
      <w:pPr>
        <w:pStyle w:val="BodyTextSMPC"/>
        <w:rPr>
          <w:color w:val="000000" w:themeColor="text1"/>
        </w:rPr>
      </w:pPr>
      <w:r w:rsidRPr="00200241">
        <w:rPr>
          <w:color w:val="000000" w:themeColor="text1"/>
        </w:rPr>
        <w:t xml:space="preserve">Nystatin exerts its effect by interaction with cell walls and cell membranes. Sterols present in the cell membrane are necessary for this effect. Nystatin has both fungistatic and fungicidal effects. </w:t>
      </w:r>
    </w:p>
    <w:p w14:paraId="04D77DAA" w14:textId="7BED606D" w:rsidR="00227FD4" w:rsidRPr="008F5678" w:rsidRDefault="00000000" w:rsidP="00671E86">
      <w:pPr>
        <w:pStyle w:val="SubHeafingSMPC"/>
      </w:pPr>
      <w:r w:rsidRPr="008F5678">
        <w:t xml:space="preserve">Pharmacokinetic properties </w:t>
      </w:r>
    </w:p>
    <w:p w14:paraId="492AD855" w14:textId="055B3827" w:rsidR="00227FD4" w:rsidRPr="008F5678" w:rsidRDefault="00792AA9" w:rsidP="00671E86">
      <w:pPr>
        <w:pStyle w:val="BodyTextSMPC"/>
      </w:pPr>
      <w:r w:rsidRPr="00792AA9">
        <w:t>Nystatin is an antifungal antibiotic active against Candida albicans and a wide range of yeast-like fungi.</w:t>
      </w:r>
      <w:r w:rsidRPr="008F5678">
        <w:rPr>
          <w:sz w:val="24"/>
          <w:szCs w:val="24"/>
        </w:rPr>
        <w:t xml:space="preserve">. </w:t>
      </w:r>
    </w:p>
    <w:p w14:paraId="0BBA0F2C" w14:textId="58A139F5" w:rsidR="00227FD4" w:rsidRPr="008F5678" w:rsidRDefault="00000000" w:rsidP="00671E86">
      <w:pPr>
        <w:pStyle w:val="SubHeafingSMPC"/>
      </w:pPr>
      <w:r w:rsidRPr="008F5678">
        <w:t xml:space="preserve">Preclinical safety data </w:t>
      </w:r>
    </w:p>
    <w:p w14:paraId="7BE4B9BC" w14:textId="1FF39EB8" w:rsidR="00227FD4" w:rsidRPr="008F5678" w:rsidRDefault="00000000" w:rsidP="00671E86">
      <w:pPr>
        <w:pStyle w:val="BodyTextSMPC"/>
      </w:pPr>
      <w:r w:rsidRPr="008F5678">
        <w:t xml:space="preserve">Not </w:t>
      </w:r>
      <w:r w:rsidR="00784E6A">
        <w:t>applicable</w:t>
      </w:r>
      <w:r w:rsidRPr="008F5678">
        <w:t xml:space="preserve">. </w:t>
      </w:r>
    </w:p>
    <w:p w14:paraId="1C50E84B" w14:textId="77777777" w:rsidR="00671E86" w:rsidRPr="008F5678" w:rsidRDefault="00000000" w:rsidP="00671E86">
      <w:pPr>
        <w:pStyle w:val="HEADING1SMPC"/>
      </w:pPr>
      <w:r w:rsidRPr="008F5678">
        <w:t xml:space="preserve">PHARMACEUTICAL PARTICULARS </w:t>
      </w:r>
    </w:p>
    <w:p w14:paraId="1DA9BFB1" w14:textId="77777777" w:rsidR="00671E86" w:rsidRPr="008F5678" w:rsidRDefault="00000000" w:rsidP="00671E86">
      <w:pPr>
        <w:pStyle w:val="SubHeafingSMPC"/>
        <w:rPr>
          <w:szCs w:val="48"/>
        </w:rPr>
      </w:pPr>
      <w:r w:rsidRPr="008F5678">
        <w:t>List of excipients</w:t>
      </w:r>
    </w:p>
    <w:p w14:paraId="29EE4701" w14:textId="1D0D2DFB" w:rsidR="00227FD4" w:rsidRPr="008F5678" w:rsidRDefault="00000000" w:rsidP="00671E86">
      <w:pPr>
        <w:pStyle w:val="BodyTextSMPC"/>
        <w:rPr>
          <w:color w:val="FF0000"/>
          <w:szCs w:val="48"/>
        </w:rPr>
      </w:pPr>
      <w:r w:rsidRPr="008F5678">
        <w:rPr>
          <w:color w:val="FF0000"/>
        </w:rPr>
        <w:t xml:space="preserve">&lt;REGARDING THE APPROVAL&gt; </w:t>
      </w:r>
    </w:p>
    <w:p w14:paraId="3526B0AE" w14:textId="5B576E12" w:rsidR="00227FD4" w:rsidRPr="008F5678" w:rsidRDefault="00000000" w:rsidP="00671E86">
      <w:pPr>
        <w:pStyle w:val="SubHeafingSMPC"/>
      </w:pPr>
      <w:r w:rsidRPr="008F5678">
        <w:t xml:space="preserve">Incompatibilities </w:t>
      </w:r>
    </w:p>
    <w:p w14:paraId="2854C958" w14:textId="77777777" w:rsidR="00227FD4" w:rsidRPr="008F5678" w:rsidRDefault="00000000" w:rsidP="00671E86">
      <w:pPr>
        <w:pStyle w:val="BodyTextSMPC"/>
      </w:pPr>
      <w:r w:rsidRPr="008F5678">
        <w:t xml:space="preserve">None known. </w:t>
      </w:r>
    </w:p>
    <w:p w14:paraId="6ED2FEF3" w14:textId="77777777" w:rsidR="00671E86" w:rsidRPr="008F5678" w:rsidRDefault="00000000" w:rsidP="00671E86">
      <w:pPr>
        <w:pStyle w:val="SubHeafingSMPC"/>
      </w:pPr>
      <w:r w:rsidRPr="008F5678">
        <w:t xml:space="preserve">Shelf life </w:t>
      </w:r>
    </w:p>
    <w:p w14:paraId="0B04EBD7" w14:textId="1C972E2C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56D84F87" w14:textId="2DC2F430" w:rsidR="00227FD4" w:rsidRPr="008F5678" w:rsidRDefault="00000000" w:rsidP="00671E86">
      <w:pPr>
        <w:pStyle w:val="SubHeafingSMPC"/>
      </w:pPr>
      <w:r w:rsidRPr="008F5678">
        <w:t xml:space="preserve">Special precautions for storage </w:t>
      </w:r>
    </w:p>
    <w:p w14:paraId="436FBF44" w14:textId="77777777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310969A6" w14:textId="4DBA24FB" w:rsidR="00227FD4" w:rsidRPr="008F5678" w:rsidRDefault="00000000" w:rsidP="00671E86">
      <w:pPr>
        <w:pStyle w:val="SubHeafingSMPC"/>
      </w:pPr>
      <w:r w:rsidRPr="008F5678">
        <w:t xml:space="preserve">Nature and contents of container </w:t>
      </w:r>
    </w:p>
    <w:p w14:paraId="5126C5E4" w14:textId="77777777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405BE33B" w14:textId="77777777" w:rsidR="00671E86" w:rsidRPr="008F5678" w:rsidRDefault="00000000" w:rsidP="00671E86">
      <w:pPr>
        <w:pStyle w:val="SubHeafingSMPC"/>
      </w:pPr>
      <w:r w:rsidRPr="008F5678">
        <w:t xml:space="preserve">Special precautions for disposal </w:t>
      </w:r>
    </w:p>
    <w:p w14:paraId="4B01ACC5" w14:textId="33A4479B" w:rsidR="00227FD4" w:rsidRPr="008F5678" w:rsidRDefault="00000000" w:rsidP="00671E86">
      <w:pPr>
        <w:pStyle w:val="BodyTextSMPC"/>
      </w:pPr>
      <w:r w:rsidRPr="008F5678">
        <w:rPr>
          <w:color w:val="FF0000"/>
        </w:rPr>
        <w:t xml:space="preserve">&lt;REGARDING THE APPROVAL&gt; </w:t>
      </w:r>
    </w:p>
    <w:p w14:paraId="568261AC" w14:textId="77777777" w:rsidR="00671E86" w:rsidRPr="008F5678" w:rsidRDefault="00000000" w:rsidP="00671E86">
      <w:pPr>
        <w:pStyle w:val="HEADING1SMPC"/>
      </w:pPr>
      <w:r w:rsidRPr="008F5678">
        <w:t xml:space="preserve">MARKETING AUTHORISATION HOLDER </w:t>
      </w:r>
    </w:p>
    <w:p w14:paraId="1A4DEAFE" w14:textId="479FBF80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7861388E" w14:textId="77777777" w:rsidR="00671E86" w:rsidRPr="008F5678" w:rsidRDefault="00000000" w:rsidP="00671E86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MARKETING AUTHORISATION NUMBER(S) </w:t>
      </w:r>
    </w:p>
    <w:p w14:paraId="3A3CDB8E" w14:textId="354A2459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4BBFA2CA" w14:textId="43A70425" w:rsidR="00227FD4" w:rsidRPr="008F5678" w:rsidRDefault="00000000" w:rsidP="00671E86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11D4EECF" w14:textId="77777777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>&lt;REGARDING THE APPROVAL&gt;</w:t>
      </w:r>
    </w:p>
    <w:p w14:paraId="61740F71" w14:textId="77777777" w:rsidR="00671E86" w:rsidRPr="008F5678" w:rsidRDefault="00000000" w:rsidP="00671E86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4056D0D3" w14:textId="3F301987" w:rsidR="00227FD4" w:rsidRPr="008F5678" w:rsidRDefault="00000000" w:rsidP="008F5678">
      <w:pPr>
        <w:pStyle w:val="BodyTextSMPC"/>
        <w:rPr>
          <w:color w:val="FF0000"/>
          <w:cs/>
        </w:rPr>
      </w:pPr>
      <w:r w:rsidRPr="008F5678">
        <w:rPr>
          <w:color w:val="FF0000"/>
        </w:rPr>
        <w:t xml:space="preserve">&lt;REGARDING THE APPROVAL&gt; </w:t>
      </w:r>
    </w:p>
    <w:sectPr w:rsidR="00227FD4" w:rsidRPr="008F5678" w:rsidSect="00C21A1C">
      <w:footerReference w:type="even" r:id="rId7"/>
      <w:footerReference w:type="default" r:id="rId8"/>
      <w:pgSz w:w="11920" w:h="16840"/>
      <w:pgMar w:top="1985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DC311" w14:textId="77777777" w:rsidR="00AE7E5F" w:rsidRDefault="00AE7E5F" w:rsidP="008F5678">
      <w:pPr>
        <w:spacing w:line="240" w:lineRule="auto"/>
      </w:pPr>
      <w:r>
        <w:separator/>
      </w:r>
    </w:p>
  </w:endnote>
  <w:endnote w:type="continuationSeparator" w:id="0">
    <w:p w14:paraId="28E85802" w14:textId="77777777" w:rsidR="00AE7E5F" w:rsidRDefault="00AE7E5F" w:rsidP="008F5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-645354915"/>
      <w:docPartObj>
        <w:docPartGallery w:val="Page Numbers (Bottom of Page)"/>
        <w:docPartUnique/>
      </w:docPartObj>
    </w:sdtPr>
    <w:sdtContent>
      <w:p w14:paraId="3BF6A5A5" w14:textId="5097DB4C" w:rsidR="008F5678" w:rsidRDefault="008F5678" w:rsidP="00050BE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72E7A6CB" w14:textId="77777777" w:rsidR="008F5678" w:rsidRDefault="008F5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0565A27F" w14:textId="287C68BB" w:rsidR="008F5678" w:rsidRPr="008F5678" w:rsidRDefault="008F5678" w:rsidP="00050BE3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32"/>
          </w:rPr>
        </w:pPr>
        <w:r w:rsidRPr="008F5678">
          <w:rPr>
            <w:rStyle w:val="PageNumber"/>
            <w:rFonts w:ascii="Times New Roman" w:hAnsi="Times New Roman" w:cs="Times New Roman"/>
            <w:sz w:val="24"/>
            <w:szCs w:val="32"/>
            <w:cs/>
          </w:rPr>
          <w:fldChar w:fldCharType="begin"/>
        </w:r>
        <w:r w:rsidRPr="008F5678">
          <w:rPr>
            <w:rStyle w:val="PageNumber"/>
            <w:rFonts w:ascii="Times New Roman" w:hAnsi="Times New Roman" w:cs="Times New Roman"/>
            <w:sz w:val="24"/>
            <w:szCs w:val="32"/>
          </w:rPr>
          <w:instrText xml:space="preserve"> PAGE </w:instrText>
        </w:r>
        <w:r w:rsidRPr="008F5678">
          <w:rPr>
            <w:rStyle w:val="PageNumber"/>
            <w:rFonts w:ascii="Times New Roman" w:hAnsi="Times New Roman" w:cs="Times New Roman"/>
            <w:sz w:val="24"/>
            <w:szCs w:val="32"/>
            <w:cs/>
          </w:rPr>
          <w:fldChar w:fldCharType="separate"/>
        </w:r>
        <w:r w:rsidRPr="008F5678">
          <w:rPr>
            <w:rStyle w:val="PageNumber"/>
            <w:rFonts w:ascii="Times New Roman" w:hAnsi="Times New Roman" w:cs="Times New Roman"/>
            <w:noProof/>
            <w:sz w:val="24"/>
            <w:szCs w:val="32"/>
          </w:rPr>
          <w:t>6</w:t>
        </w:r>
        <w:r w:rsidRPr="008F5678">
          <w:rPr>
            <w:rStyle w:val="PageNumber"/>
            <w:rFonts w:ascii="Times New Roman" w:hAnsi="Times New Roman" w:cs="Times New Roman"/>
            <w:sz w:val="24"/>
            <w:szCs w:val="32"/>
            <w:cs/>
          </w:rPr>
          <w:fldChar w:fldCharType="end"/>
        </w:r>
      </w:p>
    </w:sdtContent>
  </w:sdt>
  <w:p w14:paraId="04555908" w14:textId="162AA307" w:rsidR="008F5678" w:rsidRPr="00E369CC" w:rsidRDefault="008F5678" w:rsidP="008F5678">
    <w:pPr>
      <w:rPr>
        <w:rFonts w:ascii="Times New Roman" w:hAnsi="Times New Roman" w:cs="Times New Roman"/>
        <w:color w:val="FF0000"/>
        <w:szCs w:val="20"/>
        <w:cs/>
      </w:rPr>
    </w:pPr>
    <w:r w:rsidRPr="00E369CC">
      <w:rPr>
        <w:rFonts w:ascii="Times New Roman" w:eastAsia="Times New Roman" w:hAnsi="Times New Roman" w:cs="Times New Roman"/>
        <w:sz w:val="20"/>
        <w:szCs w:val="20"/>
        <w:vertAlign w:val="superscript"/>
      </w:rPr>
      <w:t xml:space="preserve">1 </w:t>
    </w:r>
    <w:r w:rsidRPr="00E369CC">
      <w:rPr>
        <w:rFonts w:ascii="Times New Roman" w:hAnsi="Times New Roman" w:cs="Times New Roman"/>
        <w:sz w:val="20"/>
        <w:szCs w:val="20"/>
      </w:rPr>
      <w:t>Ref:</w:t>
    </w:r>
    <w:r w:rsidR="00A210A6" w:rsidRPr="00E369CC">
      <w:rPr>
        <w:rFonts w:ascii="Times New Roman" w:hAnsi="Times New Roman" w:cs="Times New Roman"/>
        <w:sz w:val="20"/>
        <w:szCs w:val="20"/>
      </w:rPr>
      <w:t>Nyspes</w:t>
    </w:r>
    <w:r w:rsidRPr="00E369CC">
      <w:rPr>
        <w:rFonts w:ascii="Times New Roman" w:hAnsi="Times New Roman" w:cs="Times New Roman"/>
        <w:sz w:val="20"/>
        <w:szCs w:val="20"/>
      </w:rPr>
      <w:t xml:space="preserve">, MHRA, </w:t>
    </w:r>
    <w:r w:rsidR="00A210A6" w:rsidRPr="00E369CC">
      <w:rPr>
        <w:rFonts w:ascii="Times New Roman" w:eastAsia="Times New Roman" w:hAnsi="Times New Roman" w:cs="Times New Roman"/>
        <w:sz w:val="20"/>
        <w:szCs w:val="20"/>
      </w:rPr>
      <w:t>21</w:t>
    </w:r>
    <w:r w:rsidRPr="00E369CC">
      <w:rPr>
        <w:rFonts w:ascii="Times New Roman" w:eastAsia="Times New Roman" w:hAnsi="Times New Roman" w:cs="Times New Roman"/>
        <w:sz w:val="20"/>
        <w:szCs w:val="20"/>
      </w:rPr>
      <w:t>/</w:t>
    </w:r>
    <w:r w:rsidR="00A210A6" w:rsidRPr="00E369CC">
      <w:rPr>
        <w:rFonts w:ascii="Times New Roman" w:eastAsia="Times New Roman" w:hAnsi="Times New Roman" w:cs="Times New Roman"/>
        <w:sz w:val="20"/>
        <w:szCs w:val="20"/>
      </w:rPr>
      <w:t>11</w:t>
    </w:r>
    <w:r w:rsidRPr="00E369CC">
      <w:rPr>
        <w:rFonts w:ascii="Times New Roman" w:eastAsia="Times New Roman" w:hAnsi="Times New Roman" w:cs="Times New Roman"/>
        <w:sz w:val="20"/>
        <w:szCs w:val="20"/>
      </w:rPr>
      <w:t>/20</w:t>
    </w:r>
    <w:r w:rsidR="00A210A6" w:rsidRPr="00E369CC">
      <w:rPr>
        <w:rFonts w:ascii="Times New Roman" w:eastAsia="Times New Roman" w:hAnsi="Times New Roman" w:cs="Times New Roman"/>
        <w:sz w:val="20"/>
        <w:szCs w:val="20"/>
      </w:rPr>
      <w:t>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98512" w14:textId="77777777" w:rsidR="00AE7E5F" w:rsidRDefault="00AE7E5F" w:rsidP="008F5678">
      <w:pPr>
        <w:spacing w:line="240" w:lineRule="auto"/>
      </w:pPr>
      <w:r>
        <w:separator/>
      </w:r>
    </w:p>
  </w:footnote>
  <w:footnote w:type="continuationSeparator" w:id="0">
    <w:p w14:paraId="1445DBE5" w14:textId="77777777" w:rsidR="00AE7E5F" w:rsidRDefault="00AE7E5F" w:rsidP="008F5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911A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1532202">
    <w:abstractNumId w:val="1"/>
  </w:num>
  <w:num w:numId="2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D4"/>
    <w:rsid w:val="0003545A"/>
    <w:rsid w:val="00177864"/>
    <w:rsid w:val="00191B35"/>
    <w:rsid w:val="00200241"/>
    <w:rsid w:val="00227FD4"/>
    <w:rsid w:val="00233A79"/>
    <w:rsid w:val="00342C9F"/>
    <w:rsid w:val="004E42FF"/>
    <w:rsid w:val="00671E86"/>
    <w:rsid w:val="007258BA"/>
    <w:rsid w:val="00784E6A"/>
    <w:rsid w:val="00792AA9"/>
    <w:rsid w:val="007D012F"/>
    <w:rsid w:val="007D5A15"/>
    <w:rsid w:val="00834A79"/>
    <w:rsid w:val="008F5678"/>
    <w:rsid w:val="00944976"/>
    <w:rsid w:val="00A144D2"/>
    <w:rsid w:val="00A210A6"/>
    <w:rsid w:val="00A262B1"/>
    <w:rsid w:val="00A560E6"/>
    <w:rsid w:val="00A85894"/>
    <w:rsid w:val="00AE7E5F"/>
    <w:rsid w:val="00AF212D"/>
    <w:rsid w:val="00B24321"/>
    <w:rsid w:val="00B36B0E"/>
    <w:rsid w:val="00BA28C0"/>
    <w:rsid w:val="00BE7516"/>
    <w:rsid w:val="00C21A1C"/>
    <w:rsid w:val="00C5591F"/>
    <w:rsid w:val="00D317E1"/>
    <w:rsid w:val="00DB70D7"/>
    <w:rsid w:val="00E3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36C7"/>
  <w15:docId w15:val="{3B06F97C-2B5F-0845-A289-5ECF2F46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258BA"/>
    <w:pPr>
      <w:ind w:left="720"/>
      <w:contextualSpacing/>
    </w:pPr>
    <w:rPr>
      <w:rFonts w:cs="Cordia New"/>
      <w:szCs w:val="28"/>
    </w:rPr>
  </w:style>
  <w:style w:type="paragraph" w:customStyle="1" w:styleId="HEADING1SMPC">
    <w:name w:val="HEADING1_SMPC"/>
    <w:basedOn w:val="Heading1"/>
    <w:next w:val="BodyText"/>
    <w:qFormat/>
    <w:rsid w:val="00AF212D"/>
    <w:pPr>
      <w:numPr>
        <w:numId w:val="2"/>
      </w:numPr>
      <w:spacing w:before="240" w:line="360" w:lineRule="auto"/>
      <w:ind w:left="357" w:hanging="357"/>
    </w:pPr>
    <w:rPr>
      <w:rFonts w:ascii="Times New Roman" w:hAnsi="Times New Roman" w:cs="Times New Roman"/>
      <w:bCs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34A79"/>
    <w:pPr>
      <w:spacing w:after="120"/>
    </w:pPr>
    <w:rPr>
      <w:rFonts w:cs="Cordia New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4A79"/>
    <w:rPr>
      <w:rFonts w:cs="Cordia New"/>
      <w:szCs w:val="28"/>
    </w:rPr>
  </w:style>
  <w:style w:type="paragraph" w:customStyle="1" w:styleId="SubHeafingSMPC">
    <w:name w:val="SubHeafing_SMPC"/>
    <w:basedOn w:val="ListParagraph"/>
    <w:qFormat/>
    <w:rsid w:val="00C21A1C"/>
    <w:pPr>
      <w:numPr>
        <w:ilvl w:val="1"/>
        <w:numId w:val="2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</w:rPr>
  </w:style>
  <w:style w:type="paragraph" w:customStyle="1" w:styleId="BodyTextSMPC">
    <w:name w:val="BodyText_SMPC"/>
    <w:basedOn w:val="BodyText"/>
    <w:qFormat/>
    <w:rsid w:val="00671E86"/>
    <w:pPr>
      <w:spacing w:after="240" w:line="240" w:lineRule="auto"/>
      <w:ind w:left="794"/>
      <w:jc w:val="both"/>
    </w:pPr>
    <w:rPr>
      <w:rFonts w:ascii="Times New Roman" w:hAnsi="Times New Roman" w:cs="Times New Roman"/>
      <w:sz w:val="28"/>
    </w:rPr>
  </w:style>
  <w:style w:type="paragraph" w:customStyle="1" w:styleId="TitleSMPC">
    <w:name w:val="Title_SMPC"/>
    <w:basedOn w:val="Normal"/>
    <w:qFormat/>
    <w:rsid w:val="00AF212D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8F567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F5678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F567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F5678"/>
    <w:rPr>
      <w:rFonts w:cs="Cordia New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8F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Patawee Detchit</cp:lastModifiedBy>
  <cp:revision>16</cp:revision>
  <dcterms:created xsi:type="dcterms:W3CDTF">2024-07-22T05:56:00Z</dcterms:created>
  <dcterms:modified xsi:type="dcterms:W3CDTF">2024-08-28T05:35:00Z</dcterms:modified>
</cp:coreProperties>
</file>