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8809" w14:textId="77777777" w:rsidR="004476FF" w:rsidRPr="000A1286" w:rsidRDefault="004476FF" w:rsidP="004476FF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F48A3B9" w14:textId="77777777" w:rsidR="004476FF" w:rsidRDefault="004476FF" w:rsidP="004476FF">
      <w:pPr>
        <w:pStyle w:val="HEADING1SMPC"/>
      </w:pPr>
      <w:r w:rsidRPr="008F5678">
        <w:t>NAME OF THE MEDICINAL PRODUCT</w:t>
      </w:r>
    </w:p>
    <w:p w14:paraId="20BDE3F9" w14:textId="6791100C" w:rsidR="004476FF" w:rsidRPr="00A4294B" w:rsidRDefault="004476FF" w:rsidP="004476FF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4476FF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 w:rsidR="00C83CB8">
        <w:rPr>
          <w:rFonts w:ascii="Times New Roman" w:hAnsi="Times New Roman" w:cs="Times New Roman"/>
          <w:sz w:val="28"/>
        </w:rPr>
        <w:t>c</w:t>
      </w:r>
      <w:r w:rsidRPr="004476FF">
        <w:rPr>
          <w:rFonts w:ascii="Times New Roman" w:hAnsi="Times New Roman" w:cs="Times New Roman"/>
          <w:sz w:val="28"/>
        </w:rPr>
        <w:t xml:space="preserve">hewable </w:t>
      </w:r>
      <w:r w:rsidR="00C83CB8">
        <w:rPr>
          <w:rFonts w:ascii="Times New Roman" w:hAnsi="Times New Roman" w:cs="Times New Roman"/>
          <w:sz w:val="28"/>
        </w:rPr>
        <w:t>t</w:t>
      </w:r>
      <w:r w:rsidRPr="004476FF">
        <w:rPr>
          <w:rFonts w:ascii="Times New Roman" w:hAnsi="Times New Roman" w:cs="Times New Roman"/>
          <w:sz w:val="28"/>
        </w:rPr>
        <w:t>ablets</w:t>
      </w:r>
    </w:p>
    <w:p w14:paraId="2FDF935C" w14:textId="77777777" w:rsidR="004476FF" w:rsidRDefault="004476FF" w:rsidP="004476FF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290144A" w14:textId="77777777" w:rsidR="004E56FF" w:rsidRDefault="004476FF" w:rsidP="004476FF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4476FF">
        <w:rPr>
          <w:rFonts w:ascii="Times New Roman" w:hAnsi="Times New Roman" w:cs="Times New Roman"/>
          <w:sz w:val="28"/>
        </w:rPr>
        <w:t>Per tablet:</w:t>
      </w:r>
    </w:p>
    <w:p w14:paraId="312D79D5" w14:textId="3EF61BAA" w:rsidR="004476FF" w:rsidRDefault="004476FF" w:rsidP="004476FF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4476FF">
        <w:rPr>
          <w:rFonts w:ascii="Times New Roman" w:hAnsi="Times New Roman" w:cs="Times New Roman"/>
          <w:sz w:val="28"/>
        </w:rPr>
        <w:t>Calcium carbonate: 1500</w:t>
      </w:r>
      <w:r w:rsidR="004E56FF">
        <w:rPr>
          <w:rFonts w:ascii="Times New Roman" w:hAnsi="Times New Roman" w:cs="Times New Roman"/>
          <w:sz w:val="28"/>
        </w:rPr>
        <w:t xml:space="preserve"> </w:t>
      </w:r>
      <w:r w:rsidRPr="004476FF">
        <w:rPr>
          <w:rFonts w:ascii="Times New Roman" w:hAnsi="Times New Roman" w:cs="Times New Roman"/>
          <w:sz w:val="28"/>
        </w:rPr>
        <w:t>mg equivalent to 600</w:t>
      </w:r>
      <w:r w:rsidR="004E56FF">
        <w:rPr>
          <w:rFonts w:ascii="Times New Roman" w:hAnsi="Times New Roman" w:cs="Times New Roman"/>
          <w:sz w:val="28"/>
        </w:rPr>
        <w:t xml:space="preserve"> </w:t>
      </w:r>
      <w:r w:rsidRPr="004476FF">
        <w:rPr>
          <w:rFonts w:ascii="Times New Roman" w:hAnsi="Times New Roman" w:cs="Times New Roman"/>
          <w:sz w:val="28"/>
        </w:rPr>
        <w:t>mg of elemental</w:t>
      </w:r>
      <w:r>
        <w:rPr>
          <w:rFonts w:ascii="Times New Roman" w:hAnsi="Times New Roman" w:cs="Times New Roman"/>
          <w:sz w:val="28"/>
        </w:rPr>
        <w:t xml:space="preserve"> </w:t>
      </w:r>
      <w:r w:rsidRPr="004476FF">
        <w:rPr>
          <w:rFonts w:ascii="Times New Roman" w:hAnsi="Times New Roman" w:cs="Times New Roman"/>
          <w:sz w:val="28"/>
        </w:rPr>
        <w:t>calcium</w:t>
      </w:r>
    </w:p>
    <w:p w14:paraId="3B0A5DE2" w14:textId="4E23096D" w:rsidR="004476FF" w:rsidRPr="004E56FF" w:rsidRDefault="004476FF" w:rsidP="004476FF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4E56FF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7C07C5F" w14:textId="77777777" w:rsidR="004476FF" w:rsidRPr="0085460F" w:rsidRDefault="004476FF" w:rsidP="004476FF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E70171C" w14:textId="77777777" w:rsidR="004476FF" w:rsidRPr="000A1286" w:rsidRDefault="004476FF" w:rsidP="004476FF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D337BC4" w14:textId="77777777" w:rsidR="004476FF" w:rsidRDefault="004476FF" w:rsidP="004476FF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7B1FEBEF" w14:textId="27571EA8" w:rsidR="004476FF" w:rsidRDefault="004476FF" w:rsidP="004476FF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476FF">
        <w:rPr>
          <w:rFonts w:ascii="Times New Roman" w:hAnsi="Times New Roman" w:cs="Times New Roman"/>
          <w:sz w:val="28"/>
        </w:rPr>
        <w:t>Chewable</w:t>
      </w:r>
      <w:r>
        <w:rPr>
          <w:rFonts w:ascii="Times New Roman" w:hAnsi="Times New Roman" w:cs="Times New Roman"/>
          <w:sz w:val="28"/>
        </w:rPr>
        <w:t xml:space="preserve"> </w:t>
      </w:r>
      <w:r w:rsidRPr="004E6B0A">
        <w:rPr>
          <w:rFonts w:ascii="Times New Roman" w:hAnsi="Times New Roman" w:cs="Times New Roman"/>
          <w:sz w:val="28"/>
        </w:rPr>
        <w:t>Tablets</w:t>
      </w:r>
    </w:p>
    <w:p w14:paraId="12AB38F2" w14:textId="77777777" w:rsidR="004476FF" w:rsidRPr="0085460F" w:rsidRDefault="004476FF" w:rsidP="004476FF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DB45EF9" w14:textId="77777777" w:rsidR="004476FF" w:rsidRPr="008F5678" w:rsidRDefault="004476FF" w:rsidP="004476FF">
      <w:pPr>
        <w:pStyle w:val="HEADING1SMPC"/>
        <w:rPr>
          <w:szCs w:val="28"/>
        </w:rPr>
      </w:pPr>
      <w:r w:rsidRPr="008F5678">
        <w:t>CLINICAL PARTICULARS</w:t>
      </w:r>
    </w:p>
    <w:p w14:paraId="1BAC661A" w14:textId="77777777" w:rsidR="004476FF" w:rsidRDefault="004476FF" w:rsidP="004476FF">
      <w:pPr>
        <w:pStyle w:val="SubHeafingSMPC"/>
        <w:spacing w:before="0"/>
        <w:ind w:left="0" w:firstLine="0"/>
      </w:pPr>
      <w:r w:rsidRPr="007F158B">
        <w:t>Therapeutic indications</w:t>
      </w:r>
    </w:p>
    <w:p w14:paraId="3FD5BFA6" w14:textId="05346C12" w:rsidR="004476FF" w:rsidRPr="00A27C5D" w:rsidRDefault="004476FF" w:rsidP="004476FF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="004E56FF" w:rsidRPr="004E56FF">
        <w:rPr>
          <w:b w:val="0"/>
          <w:bCs w:val="0"/>
        </w:rPr>
        <w:t>Calcium carbonate</w:t>
      </w:r>
      <w:r w:rsidRPr="004476FF">
        <w:rPr>
          <w:rFonts w:cstheme="minorBidi"/>
          <w:b w:val="0"/>
          <w:bCs w:val="0"/>
          <w:color w:val="FF0000"/>
        </w:rPr>
        <w:t xml:space="preserve"> </w:t>
      </w:r>
      <w:r w:rsidRPr="004476FF">
        <w:rPr>
          <w:rFonts w:cstheme="minorBidi"/>
          <w:b w:val="0"/>
          <w:bCs w:val="0"/>
        </w:rPr>
        <w:t xml:space="preserve">is a chewable tablet recommended as a </w:t>
      </w:r>
      <w:r w:rsidR="004E56FF"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>supplementary source of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 xml:space="preserve">calcium when normal requirements are high </w:t>
      </w:r>
      <w:r w:rsidR="004E56FF"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 xml:space="preserve">and in the correction of calcium deficiency in the diet. They can be used </w:t>
      </w:r>
      <w:r w:rsidR="004E56FF"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>in osteoporosis therapy</w:t>
      </w:r>
      <w:r w:rsidR="004E56FF">
        <w:rPr>
          <w:rFonts w:cstheme="minorBidi"/>
          <w:b w:val="0"/>
          <w:bCs w:val="0"/>
        </w:rPr>
        <w:t xml:space="preserve"> </w:t>
      </w:r>
      <w:r w:rsidRPr="004476FF">
        <w:rPr>
          <w:rFonts w:cstheme="minorBidi"/>
          <w:b w:val="0"/>
          <w:bCs w:val="0"/>
        </w:rPr>
        <w:t xml:space="preserve">as an adjunct to more specific conventional </w:t>
      </w:r>
      <w:r w:rsidR="004E56FF"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 xml:space="preserve">treatments. </w:t>
      </w:r>
      <w:r w:rsidR="004E56FF">
        <w:rPr>
          <w:rFonts w:cstheme="minorBidi"/>
          <w:b w:val="0"/>
          <w:bCs w:val="0"/>
        </w:rPr>
        <w:t>c</w:t>
      </w:r>
      <w:r w:rsidR="004E56FF" w:rsidRPr="004E56FF">
        <w:rPr>
          <w:rFonts w:cstheme="minorBidi"/>
          <w:b w:val="0"/>
          <w:bCs w:val="0"/>
        </w:rPr>
        <w:t xml:space="preserve">alcium carbonate </w:t>
      </w:r>
      <w:r w:rsidRPr="004476FF">
        <w:rPr>
          <w:rFonts w:cstheme="minorBidi"/>
          <w:b w:val="0"/>
          <w:bCs w:val="0"/>
        </w:rPr>
        <w:t>chewable</w:t>
      </w:r>
      <w:r w:rsidR="004E56FF">
        <w:rPr>
          <w:rFonts w:cstheme="minorBidi"/>
          <w:b w:val="0"/>
          <w:bCs w:val="0"/>
        </w:rPr>
        <w:t xml:space="preserve"> </w:t>
      </w:r>
      <w:r w:rsidRPr="004476FF">
        <w:rPr>
          <w:rFonts w:cstheme="minorBidi"/>
          <w:b w:val="0"/>
          <w:bCs w:val="0"/>
        </w:rPr>
        <w:t xml:space="preserve">tablets can be used as a </w:t>
      </w:r>
      <w:r w:rsidR="004E56FF">
        <w:rPr>
          <w:rFonts w:cstheme="minorBidi"/>
          <w:b w:val="0"/>
          <w:bCs w:val="0"/>
        </w:rPr>
        <w:tab/>
      </w:r>
      <w:r w:rsidRPr="004476FF">
        <w:rPr>
          <w:rFonts w:cstheme="minorBidi"/>
          <w:b w:val="0"/>
          <w:bCs w:val="0"/>
        </w:rPr>
        <w:t>phosphate binding agent in the management of renal failure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62612BC" w14:textId="77777777" w:rsidR="004476FF" w:rsidRPr="00E26561" w:rsidRDefault="004476FF" w:rsidP="004476FF">
      <w:pPr>
        <w:pStyle w:val="SubHeafingSMPC"/>
        <w:spacing w:before="0"/>
        <w:ind w:left="57"/>
      </w:pPr>
      <w:r w:rsidRPr="008F5678">
        <w:t>Posology and method of administration</w:t>
      </w:r>
    </w:p>
    <w:p w14:paraId="2D6E100A" w14:textId="77777777" w:rsidR="00A97F5D" w:rsidRPr="004E56FF" w:rsidRDefault="004476FF" w:rsidP="00A97F5D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="00A97F5D" w:rsidRPr="004E56FF">
        <w:rPr>
          <w:b w:val="0"/>
          <w:bCs w:val="0"/>
          <w:i/>
          <w:iCs/>
        </w:rPr>
        <w:t>Adults, elderly and children</w:t>
      </w:r>
    </w:p>
    <w:p w14:paraId="570B358B" w14:textId="77777777" w:rsidR="00A97F5D" w:rsidRDefault="00A97F5D" w:rsidP="00A97F5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</w:rPr>
        <w:t>Dietary deficiency and as an adjunct in osteoporosis therapy; 2</w:t>
      </w:r>
      <w:r>
        <w:rPr>
          <w:b w:val="0"/>
          <w:bCs w:val="0"/>
        </w:rPr>
        <w:t xml:space="preserve"> </w:t>
      </w:r>
      <w:r w:rsidRPr="00A97F5D">
        <w:rPr>
          <w:b w:val="0"/>
          <w:bCs w:val="0"/>
        </w:rPr>
        <w:t xml:space="preserve">chewable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tablets per day, preferably one tablet each morning and evening.</w:t>
      </w:r>
    </w:p>
    <w:p w14:paraId="3757C39D" w14:textId="77777777" w:rsidR="00A97F5D" w:rsidRDefault="00A97F5D" w:rsidP="00A97F5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97F5D">
        <w:rPr>
          <w:rFonts w:cstheme="minorBidi"/>
          <w:b w:val="0"/>
          <w:bCs w:val="0"/>
        </w:rPr>
        <w:t xml:space="preserve">For use in binding phosphate in the management of renal failure in 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patients on renal</w:t>
      </w:r>
      <w:r>
        <w:rPr>
          <w:b w:val="0"/>
          <w:bCs w:val="0"/>
        </w:rPr>
        <w:t xml:space="preserve"> </w:t>
      </w:r>
      <w:r w:rsidRPr="00A97F5D">
        <w:rPr>
          <w:b w:val="0"/>
          <w:bCs w:val="0"/>
        </w:rPr>
        <w:t xml:space="preserve">dialysis, the dose should be adjusted for the individual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patient and is dependent on the serum phosphate level.</w:t>
      </w:r>
    </w:p>
    <w:p w14:paraId="426F59EB" w14:textId="77777777" w:rsidR="004E56FF" w:rsidRPr="004E56FF" w:rsidRDefault="004E56FF" w:rsidP="00A97F5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B09B4D1" w14:textId="1ABAD015" w:rsidR="00A97F5D" w:rsidRDefault="00A97F5D" w:rsidP="00A97F5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The tablets should be chewed, not swallowed whole and taken just prior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to, during or immediately following a meal.</w:t>
      </w:r>
    </w:p>
    <w:p w14:paraId="16078CA1" w14:textId="77777777" w:rsidR="004E56FF" w:rsidRPr="004E56FF" w:rsidRDefault="004E56FF" w:rsidP="00A97F5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4D389C0B" w14:textId="77777777" w:rsidR="004476FF" w:rsidRDefault="004476FF" w:rsidP="004476FF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0FC73BCC" w14:textId="77777777" w:rsidR="004476FF" w:rsidRPr="004E6B0A" w:rsidRDefault="004476FF" w:rsidP="004476FF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694DC6DE" w14:textId="77777777" w:rsidR="004476FF" w:rsidRDefault="004476FF" w:rsidP="004476FF">
      <w:pPr>
        <w:pStyle w:val="SubHeafingSMPC"/>
        <w:ind w:left="57"/>
      </w:pPr>
      <w:r w:rsidRPr="008F5678">
        <w:t>Contraindications</w:t>
      </w:r>
    </w:p>
    <w:p w14:paraId="39686545" w14:textId="77777777" w:rsidR="00A97F5D" w:rsidRDefault="004476FF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 xml:space="preserve">Absolute contra-indications are hypercalcaemia resulting for example </w:t>
      </w:r>
      <w:r w:rsidR="00A97F5D"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 xml:space="preserve">from myeloma, bone metastases or other malignant bone disease, </w:t>
      </w:r>
      <w:r w:rsidR="00A97F5D"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 xml:space="preserve">sarcoidosis; primary hyperparathyroidism and vitamin D overdosage. </w:t>
      </w:r>
      <w:r w:rsidR="00A97F5D"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 xml:space="preserve">Severe renal failure untreated by renal dialysis. Hypersensitivity to any </w:t>
      </w:r>
      <w:r w:rsidR="00A97F5D"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>of the tablet ingredients.</w:t>
      </w:r>
    </w:p>
    <w:p w14:paraId="62F3BA22" w14:textId="77777777" w:rsidR="004E56FF" w:rsidRPr="004E56FF" w:rsidRDefault="004E56FF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273101F9" w14:textId="37997D0E" w:rsidR="004476FF" w:rsidRPr="004E6B0A" w:rsidRDefault="00A97F5D" w:rsidP="004E56FF">
      <w:pPr>
        <w:pStyle w:val="SubHeafingSMPC"/>
        <w:numPr>
          <w:ilvl w:val="0"/>
          <w:numId w:val="0"/>
        </w:numPr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A97F5D">
        <w:rPr>
          <w:b w:val="0"/>
          <w:bCs w:val="0"/>
          <w:lang w:eastAsia="zh-CN"/>
        </w:rPr>
        <w:t>Relative contraindications are osteoporosis due to prolonged</w:t>
      </w:r>
      <w:r w:rsidR="004E56FF">
        <w:rPr>
          <w:b w:val="0"/>
          <w:bCs w:val="0"/>
          <w:lang w:eastAsia="zh-CN"/>
        </w:rPr>
        <w:t xml:space="preserve"> </w:t>
      </w:r>
      <w:r w:rsidR="004E56FF">
        <w:rPr>
          <w:b w:val="0"/>
          <w:bCs w:val="0"/>
          <w:lang w:eastAsia="zh-CN"/>
        </w:rPr>
        <w:tab/>
      </w:r>
      <w:r w:rsidRPr="00A97F5D">
        <w:rPr>
          <w:b w:val="0"/>
          <w:bCs w:val="0"/>
          <w:lang w:eastAsia="zh-CN"/>
        </w:rPr>
        <w:t>immobilisation, renal stones, severe hypercalciuria</w:t>
      </w:r>
      <w:r w:rsidR="004476FF" w:rsidRPr="004E6B0A">
        <w:rPr>
          <w:b w:val="0"/>
          <w:bCs w:val="0"/>
          <w:lang w:eastAsia="zh-CN"/>
        </w:rPr>
        <w:t>.</w:t>
      </w:r>
    </w:p>
    <w:p w14:paraId="1E256402" w14:textId="77777777" w:rsidR="004476FF" w:rsidRDefault="004476FF" w:rsidP="004476FF">
      <w:pPr>
        <w:pStyle w:val="SubHeafingSMPC"/>
        <w:ind w:left="57"/>
      </w:pPr>
      <w:r w:rsidRPr="008F5678">
        <w:t>Special warnings and precautions for use</w:t>
      </w:r>
    </w:p>
    <w:p w14:paraId="1B7A5D32" w14:textId="2075C5C0" w:rsidR="004476FF" w:rsidRDefault="00447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Patients with mild to moderate renal failure or mild hypercalciuria should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be supervised carefully. Periodic checks of plasma calcium levels and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urinary calcium excretion should be made in patients with mild to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>moderate renal failure or mild hypercalciuria</w:t>
      </w:r>
      <w:r w:rsidRPr="00091200">
        <w:rPr>
          <w:rFonts w:cstheme="minorBidi"/>
          <w:b w:val="0"/>
          <w:bCs w:val="0"/>
        </w:rPr>
        <w:t>.</w:t>
      </w:r>
    </w:p>
    <w:p w14:paraId="63F75D86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4160423" w14:textId="77777777" w:rsidR="00A97F5D" w:rsidRDefault="004476FF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Urinary calcium excretion should also be measured. In patients with a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history of renal stones urinary calcium excretion should be measured to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>exclude hypercalciuria.</w:t>
      </w:r>
    </w:p>
    <w:p w14:paraId="5EE3BA95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A3FEBEA" w14:textId="6179D2D9" w:rsidR="00A97F5D" w:rsidRDefault="00A97F5D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 xml:space="preserve">With long-term treatment it is advisable to monitor serum and urinary 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calcium levels and kidney function</w:t>
      </w:r>
      <w:r>
        <w:rPr>
          <w:rFonts w:cstheme="minorBidi"/>
          <w:b w:val="0"/>
          <w:bCs w:val="0"/>
        </w:rPr>
        <w:t xml:space="preserve"> </w:t>
      </w:r>
      <w:r w:rsidRPr="00A97F5D">
        <w:rPr>
          <w:rFonts w:cstheme="minorBidi"/>
          <w:b w:val="0"/>
          <w:bCs w:val="0"/>
        </w:rPr>
        <w:t xml:space="preserve">and reduce or stop treatment 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temporarily if urinary calcium exceeds 7.5</w:t>
      </w:r>
      <w:r w:rsidR="004E56FF">
        <w:rPr>
          <w:rFonts w:cstheme="minorBidi"/>
          <w:b w:val="0"/>
          <w:bCs w:val="0"/>
        </w:rPr>
        <w:t xml:space="preserve"> </w:t>
      </w:r>
      <w:r w:rsidRPr="00A97F5D">
        <w:rPr>
          <w:rFonts w:cstheme="minorBidi"/>
          <w:b w:val="0"/>
          <w:bCs w:val="0"/>
        </w:rPr>
        <w:t>mmol/24 hours.</w:t>
      </w:r>
    </w:p>
    <w:p w14:paraId="2398A6C4" w14:textId="77777777" w:rsidR="00A97F5D" w:rsidRDefault="00A97F5D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A97F5D">
        <w:rPr>
          <w:rFonts w:cstheme="minorBidi"/>
          <w:b w:val="0"/>
          <w:bCs w:val="0"/>
        </w:rPr>
        <w:t xml:space="preserve">Allowances should be made for calcium and vitamin D supplements 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from other sources.</w:t>
      </w:r>
    </w:p>
    <w:p w14:paraId="607E9B0A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2F8ED6E" w14:textId="633874D4" w:rsidR="004476FF" w:rsidRPr="00A97F5D" w:rsidRDefault="00A97F5D" w:rsidP="004476F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Patients with rare hereditary problems of fructose intolerance, glucose-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 xml:space="preserve">galactose malabsorption or sucrase-isomaltase insufficiency should not </w:t>
      </w:r>
      <w:r>
        <w:rPr>
          <w:rFonts w:cstheme="minorBidi"/>
          <w:b w:val="0"/>
          <w:bCs w:val="0"/>
        </w:rPr>
        <w:tab/>
      </w:r>
      <w:r w:rsidRPr="00A97F5D">
        <w:rPr>
          <w:rFonts w:cstheme="minorBidi"/>
          <w:b w:val="0"/>
          <w:bCs w:val="0"/>
        </w:rPr>
        <w:t>take this medicine.</w:t>
      </w:r>
    </w:p>
    <w:p w14:paraId="02B975EC" w14:textId="77777777" w:rsidR="004476FF" w:rsidRPr="002C2ECF" w:rsidRDefault="004476FF" w:rsidP="004476FF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4CAF813D" w14:textId="77777777" w:rsidR="00A97F5D" w:rsidRDefault="00447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The risk of hypercalcaemia should be considered in patients taking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thiazide diuretics since these drugs can reduce urinary calcium excretion.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Hypercalcaemia must be avoided in digitalised patients</w:t>
      </w:r>
      <w:r w:rsidRPr="00D31F5A">
        <w:rPr>
          <w:b w:val="0"/>
          <w:bCs w:val="0"/>
        </w:rPr>
        <w:t>.</w:t>
      </w:r>
    </w:p>
    <w:p w14:paraId="724AD127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186C5AF" w14:textId="3B46AA19" w:rsidR="00A97F5D" w:rsidRDefault="00A97F5D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The effects of digitalis and other cardiac glycosides may be accentuated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with the oral administration of calcium combined with Vitamin D. Strict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medical supervision is needed and, if necessary monitoring of ECG and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calcium. Certain foods (e.g. those containing oxalic acid, phosphate or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phytinic acid) may reduce the absorption of calcium</w:t>
      </w:r>
      <w:r w:rsidR="004E56FF">
        <w:rPr>
          <w:b w:val="0"/>
          <w:bCs w:val="0"/>
        </w:rPr>
        <w:t>.</w:t>
      </w:r>
    </w:p>
    <w:p w14:paraId="70E1F721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CDE95F" w14:textId="77777777" w:rsidR="00A97F5D" w:rsidRDefault="00A97F5D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Calcium salts may reduce the absorption of thyroxine, bisphosphonates,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sodium fluoride, quinolone and tetracycline antibiotics or iron. It is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advisable to allow a minimum period of four hours before taking the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calcium.</w:t>
      </w:r>
    </w:p>
    <w:p w14:paraId="587EC038" w14:textId="77777777" w:rsidR="004E56FF" w:rsidRPr="004E56FF" w:rsidRDefault="004E5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B61B4F" w14:textId="699FF318" w:rsidR="00A97F5D" w:rsidRPr="006722FC" w:rsidRDefault="00A97F5D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Calcium absorption is reduced in patients receiving systemic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 xml:space="preserve">corticosteroid therapy. This should be taken </w:t>
      </w:r>
      <w:r w:rsidR="004E56FF" w:rsidRPr="00A97F5D">
        <w:rPr>
          <w:b w:val="0"/>
          <w:bCs w:val="0"/>
        </w:rPr>
        <w:t>into</w:t>
      </w:r>
      <w:r w:rsidRPr="00A97F5D">
        <w:rPr>
          <w:b w:val="0"/>
          <w:bCs w:val="0"/>
        </w:rPr>
        <w:t xml:space="preserve"> account when patients </w:t>
      </w:r>
      <w:r>
        <w:rPr>
          <w:b w:val="0"/>
          <w:bCs w:val="0"/>
        </w:rPr>
        <w:tab/>
      </w:r>
      <w:r w:rsidRPr="00A97F5D">
        <w:rPr>
          <w:b w:val="0"/>
          <w:bCs w:val="0"/>
        </w:rPr>
        <w:t>are receiving concomitant therapy.</w:t>
      </w:r>
    </w:p>
    <w:p w14:paraId="784E3071" w14:textId="77777777" w:rsidR="004476FF" w:rsidRDefault="004476FF" w:rsidP="004476FF">
      <w:pPr>
        <w:pStyle w:val="SubHeafingSMPC"/>
        <w:ind w:left="57"/>
      </w:pPr>
      <w:r w:rsidRPr="008F5678">
        <w:t>Fertility, pregnancy and lactation</w:t>
      </w:r>
    </w:p>
    <w:p w14:paraId="0CDE18E7" w14:textId="624BDD86" w:rsidR="004476FF" w:rsidRPr="009126B5" w:rsidRDefault="00447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During pregnancy and lactation treatment with </w:t>
      </w:r>
      <w:r w:rsidR="004E56FF">
        <w:rPr>
          <w:rFonts w:cstheme="minorBidi"/>
          <w:b w:val="0"/>
          <w:bCs w:val="0"/>
        </w:rPr>
        <w:t>c</w:t>
      </w:r>
      <w:r w:rsidR="004E56FF" w:rsidRPr="004E56FF">
        <w:rPr>
          <w:rFonts w:cstheme="minorBidi"/>
          <w:b w:val="0"/>
          <w:bCs w:val="0"/>
        </w:rPr>
        <w:t>alcium carbonate</w:t>
      </w:r>
      <w:r w:rsidR="00A97F5D" w:rsidRPr="00A97F5D">
        <w:rPr>
          <w:b w:val="0"/>
          <w:bCs w:val="0"/>
        </w:rPr>
        <w:t xml:space="preserve"> should be under</w:t>
      </w:r>
      <w:r w:rsidR="00A97F5D">
        <w:rPr>
          <w:b w:val="0"/>
          <w:bCs w:val="0"/>
        </w:rPr>
        <w:t xml:space="preserve">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the direction of a physician. During pregnancy and lactation,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requirements for calcium are increased but in deciding on the required </w:t>
      </w:r>
      <w:r w:rsidR="00A97F5D">
        <w:rPr>
          <w:b w:val="0"/>
          <w:bCs w:val="0"/>
        </w:rPr>
        <w:lastRenderedPageBreak/>
        <w:tab/>
      </w:r>
      <w:r w:rsidR="00A97F5D" w:rsidRPr="00A97F5D">
        <w:rPr>
          <w:b w:val="0"/>
          <w:bCs w:val="0"/>
        </w:rPr>
        <w:t xml:space="preserve">supplementation allowances should be made for availability of these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agents from other sources. If </w:t>
      </w:r>
      <w:r w:rsidR="004E56FF">
        <w:rPr>
          <w:rFonts w:cstheme="minorBidi"/>
          <w:b w:val="0"/>
          <w:bCs w:val="0"/>
        </w:rPr>
        <w:t>c</w:t>
      </w:r>
      <w:r w:rsidR="004E56FF" w:rsidRPr="004E56FF">
        <w:rPr>
          <w:rFonts w:cstheme="minorBidi"/>
          <w:b w:val="0"/>
          <w:bCs w:val="0"/>
        </w:rPr>
        <w:t>alcium carbonate</w:t>
      </w:r>
      <w:r w:rsidR="00A97F5D" w:rsidRPr="00A97F5D">
        <w:rPr>
          <w:b w:val="0"/>
          <w:bCs w:val="0"/>
        </w:rPr>
        <w:t xml:space="preserve"> and iron supplements are </w:t>
      </w:r>
      <w:r w:rsidR="004E56FF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both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required to be administered to the patient, they should be taken at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different times (see Section 4.5)</w:t>
      </w:r>
      <w:r w:rsidRPr="00A97F5D">
        <w:rPr>
          <w:b w:val="0"/>
          <w:bCs w:val="0"/>
        </w:rPr>
        <w:t>.</w:t>
      </w:r>
    </w:p>
    <w:p w14:paraId="3F6E15AF" w14:textId="77777777" w:rsidR="004476FF" w:rsidRPr="009126B5" w:rsidRDefault="004476FF" w:rsidP="004476FF">
      <w:pPr>
        <w:pStyle w:val="SubHeafingSMPC"/>
        <w:ind w:left="57"/>
      </w:pPr>
      <w:r w:rsidRPr="008F5678">
        <w:t>Effects on ability to drive and use machines</w:t>
      </w:r>
    </w:p>
    <w:p w14:paraId="7D42A426" w14:textId="1E7DE322" w:rsidR="004476FF" w:rsidRPr="002D59FE" w:rsidRDefault="004476FF" w:rsidP="004476FF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97F5D" w:rsidRPr="00A97F5D">
        <w:rPr>
          <w:b w:val="0"/>
          <w:bCs w:val="0"/>
          <w:lang w:eastAsia="zh-CN"/>
        </w:rPr>
        <w:t>None 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00A0543F" w14:textId="77777777" w:rsidR="004476FF" w:rsidRDefault="004476FF" w:rsidP="004476FF">
      <w:pPr>
        <w:pStyle w:val="SubHeafingSMPC"/>
        <w:ind w:left="57"/>
      </w:pPr>
      <w:r w:rsidRPr="008F5678">
        <w:t>Undesirable effects</w:t>
      </w:r>
    </w:p>
    <w:p w14:paraId="72358746" w14:textId="77777777" w:rsidR="00A97F5D" w:rsidRDefault="004476FF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97F5D" w:rsidRPr="00A97F5D">
        <w:rPr>
          <w:b w:val="0"/>
          <w:bCs w:val="0"/>
        </w:rPr>
        <w:t>The use of calcium supplements has, rarely, given rise to mild gastro-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intestinal disturbances, such as constipation, flatulence, nausea, gastric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pain, diarrhoea.</w:t>
      </w:r>
    </w:p>
    <w:p w14:paraId="6E01E585" w14:textId="59CEFF26" w:rsidR="004E56FF" w:rsidRPr="004E56FF" w:rsidRDefault="004E56FF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2D22BCF8" w14:textId="77777777" w:rsidR="00A97F5D" w:rsidRPr="00A97F5D" w:rsidRDefault="00A97F5D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97F5D">
        <w:rPr>
          <w:b w:val="0"/>
          <w:bCs w:val="0"/>
          <w:u w:val="single"/>
        </w:rPr>
        <w:t>Reporting of suspected adverse reactions</w:t>
      </w:r>
    </w:p>
    <w:p w14:paraId="00FDA8D5" w14:textId="08A55232" w:rsidR="004476FF" w:rsidRPr="00CE651D" w:rsidRDefault="00A97F5D" w:rsidP="00A97F5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4E56FF" w:rsidRPr="004E56FF">
        <w:rPr>
          <w:b w:val="0"/>
          <w:bCs w:val="0"/>
        </w:rPr>
        <w:t xml:space="preserve">Reporting suspected adverse reactions after authorisation of the </w:t>
      </w:r>
      <w:r w:rsidR="004E56FF">
        <w:rPr>
          <w:b w:val="0"/>
          <w:bCs w:val="0"/>
        </w:rPr>
        <w:tab/>
      </w:r>
      <w:r w:rsidR="004E56FF" w:rsidRPr="004E56FF">
        <w:rPr>
          <w:b w:val="0"/>
          <w:bCs w:val="0"/>
        </w:rPr>
        <w:t xml:space="preserve">medicinal product is important. It allows continued monitoring of the </w:t>
      </w:r>
      <w:r w:rsidR="004E56FF">
        <w:rPr>
          <w:b w:val="0"/>
          <w:bCs w:val="0"/>
        </w:rPr>
        <w:tab/>
      </w:r>
      <w:r w:rsidR="004E56FF" w:rsidRPr="004E56FF">
        <w:rPr>
          <w:b w:val="0"/>
          <w:bCs w:val="0"/>
        </w:rPr>
        <w:t xml:space="preserve">benefit/risk balance of the medicinal product. Healthcare professionals </w:t>
      </w:r>
      <w:r w:rsidR="004E56FF">
        <w:rPr>
          <w:b w:val="0"/>
          <w:bCs w:val="0"/>
        </w:rPr>
        <w:tab/>
      </w:r>
      <w:r w:rsidR="004E56FF" w:rsidRPr="004E56FF">
        <w:rPr>
          <w:b w:val="0"/>
          <w:bCs w:val="0"/>
        </w:rPr>
        <w:t xml:space="preserve">are asked to report any suspected adverse reactions via Health Product </w:t>
      </w:r>
      <w:r w:rsidR="004E56FF">
        <w:rPr>
          <w:b w:val="0"/>
          <w:bCs w:val="0"/>
        </w:rPr>
        <w:tab/>
      </w:r>
      <w:r w:rsidR="004E56FF" w:rsidRPr="004E56FF">
        <w:rPr>
          <w:b w:val="0"/>
          <w:bCs w:val="0"/>
        </w:rPr>
        <w:t>Vigilance Center; HPVC, Thai FDA</w:t>
      </w:r>
      <w:r w:rsidR="004E56FF">
        <w:rPr>
          <w:b w:val="0"/>
          <w:bCs w:val="0"/>
        </w:rPr>
        <w:t>.</w:t>
      </w:r>
    </w:p>
    <w:p w14:paraId="1E42AA9A" w14:textId="77777777" w:rsidR="004476FF" w:rsidRDefault="004476FF" w:rsidP="004476FF">
      <w:pPr>
        <w:pStyle w:val="SubHeafingSMPC"/>
        <w:ind w:left="0" w:firstLine="0"/>
      </w:pPr>
      <w:r w:rsidRPr="008F5678">
        <w:t>Overdose</w:t>
      </w:r>
    </w:p>
    <w:p w14:paraId="70F77C46" w14:textId="6E4A0ADF" w:rsidR="004476FF" w:rsidRPr="00A97F5D" w:rsidRDefault="004476FF" w:rsidP="00A97F5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A97F5D" w:rsidRPr="00A97F5D">
        <w:rPr>
          <w:rFonts w:cstheme="minorBidi"/>
          <w:b w:val="0"/>
          <w:bCs w:val="0"/>
        </w:rPr>
        <w:t xml:space="preserve">Overdosage may cause gastro-intestinal disturbances but would not be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expected to cause hypercalcaemia except in patients treated with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excessive doses of vitamin D. Treatment should be aimed at lowering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>serum calcium levels through a high fluid intake and low calcium diet.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 xml:space="preserve">In severe cases treatments with corticosteroid and other specialist </w:t>
      </w:r>
      <w:r w:rsidR="00A97F5D">
        <w:rPr>
          <w:rFonts w:cstheme="minorBidi"/>
          <w:b w:val="0"/>
          <w:bCs w:val="0"/>
        </w:rPr>
        <w:tab/>
      </w:r>
      <w:r w:rsidR="00A97F5D" w:rsidRPr="00A97F5D">
        <w:rPr>
          <w:rFonts w:cstheme="minorBidi"/>
          <w:b w:val="0"/>
          <w:bCs w:val="0"/>
        </w:rPr>
        <w:t>treatment may be necessary. Alkalosis is a potential but rare risk</w:t>
      </w:r>
      <w:r w:rsidRPr="00A97F5D">
        <w:rPr>
          <w:rFonts w:cstheme="minorBidi"/>
          <w:b w:val="0"/>
          <w:bCs w:val="0"/>
        </w:rPr>
        <w:t>.</w:t>
      </w:r>
    </w:p>
    <w:p w14:paraId="616782F6" w14:textId="77777777" w:rsidR="004476FF" w:rsidRPr="008F5678" w:rsidRDefault="004476FF" w:rsidP="004476FF">
      <w:pPr>
        <w:pStyle w:val="HEADING1SMPC"/>
      </w:pPr>
      <w:r w:rsidRPr="008F5678">
        <w:t xml:space="preserve">PHARMACOLOGICAL PROPERTIES </w:t>
      </w:r>
    </w:p>
    <w:p w14:paraId="5B18092F" w14:textId="77777777" w:rsidR="004476FF" w:rsidRDefault="004476FF" w:rsidP="004476FF">
      <w:pPr>
        <w:pStyle w:val="SubHeafingSMPC"/>
        <w:ind w:left="57"/>
      </w:pPr>
      <w:r w:rsidRPr="008F5678">
        <w:t>Pharmacodynamic properties</w:t>
      </w:r>
    </w:p>
    <w:p w14:paraId="6B9DD7D8" w14:textId="43DC3D4F" w:rsidR="004476FF" w:rsidRPr="00A97F5D" w:rsidRDefault="004476FF" w:rsidP="00A97F5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lastRenderedPageBreak/>
        <w:tab/>
      </w:r>
      <w:r w:rsidR="00A97F5D" w:rsidRPr="00A97F5D">
        <w:rPr>
          <w:b w:val="0"/>
          <w:bCs w:val="0"/>
        </w:rPr>
        <w:t xml:space="preserve">Calcium carbonate is a </w:t>
      </w:r>
      <w:r w:rsidR="004E56FF" w:rsidRPr="00A97F5D">
        <w:rPr>
          <w:b w:val="0"/>
          <w:bCs w:val="0"/>
        </w:rPr>
        <w:t>well-established</w:t>
      </w:r>
      <w:r w:rsidR="00A97F5D" w:rsidRPr="00A97F5D">
        <w:rPr>
          <w:b w:val="0"/>
          <w:bCs w:val="0"/>
        </w:rPr>
        <w:t xml:space="preserve"> medicinal material and is used</w:t>
      </w:r>
      <w:r w:rsidR="00A97F5D">
        <w:rPr>
          <w:b w:val="0"/>
          <w:bCs w:val="0"/>
        </w:rPr>
        <w:t xml:space="preserve">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extensively for supplementation in deficiency states. Calcium carbonate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is also widely used as an antacid.</w:t>
      </w:r>
    </w:p>
    <w:p w14:paraId="216E7926" w14:textId="77777777" w:rsidR="004476FF" w:rsidRDefault="004476FF" w:rsidP="004476FF">
      <w:pPr>
        <w:pStyle w:val="SubHeafingSMPC"/>
        <w:ind w:left="57"/>
      </w:pPr>
      <w:r w:rsidRPr="008F5678">
        <w:t>Pharmacokinetic properties</w:t>
      </w:r>
    </w:p>
    <w:p w14:paraId="1B4368F7" w14:textId="168E6659" w:rsidR="004476FF" w:rsidRPr="00F82D07" w:rsidRDefault="004476FF" w:rsidP="004476FF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="00A97F5D" w:rsidRPr="00A97F5D">
        <w:rPr>
          <w:b w:val="0"/>
          <w:bCs w:val="0"/>
        </w:rPr>
        <w:t xml:space="preserve">The pharmacokinetic profiles of calcium and its salts are well known.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Calcium carbonate is converted to calcium chloride by gastric acid.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Calcium is absorbed to the extent of about 15-25% from the gastro-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intestinal tract while the remainder reverts to insoluble calcium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carbonate and calcium </w:t>
      </w:r>
      <w:r w:rsidR="004E56FF" w:rsidRPr="00A97F5D">
        <w:rPr>
          <w:b w:val="0"/>
          <w:bCs w:val="0"/>
        </w:rPr>
        <w:t>stearate and</w:t>
      </w:r>
      <w:r w:rsidR="00A97F5D" w:rsidRPr="00A97F5D">
        <w:rPr>
          <w:b w:val="0"/>
          <w:bCs w:val="0"/>
        </w:rPr>
        <w:t xml:space="preserve"> is excreted in the faeces.</w:t>
      </w:r>
    </w:p>
    <w:p w14:paraId="041E820F" w14:textId="77777777" w:rsidR="004476FF" w:rsidRPr="00F82D07" w:rsidRDefault="004476FF" w:rsidP="004476FF">
      <w:pPr>
        <w:pStyle w:val="SubHeafingSMPC"/>
        <w:ind w:left="57"/>
      </w:pPr>
      <w:r w:rsidRPr="008F5678">
        <w:t xml:space="preserve">Preclinical safety data </w:t>
      </w:r>
    </w:p>
    <w:p w14:paraId="21702103" w14:textId="00AA1AC2" w:rsidR="004476FF" w:rsidRDefault="004476FF" w:rsidP="004476F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Calcium carbonate is a </w:t>
      </w:r>
      <w:r w:rsidR="004E56FF" w:rsidRPr="00A97F5D">
        <w:rPr>
          <w:b w:val="0"/>
          <w:bCs w:val="0"/>
        </w:rPr>
        <w:t>well-known</w:t>
      </w:r>
      <w:r w:rsidR="00A97F5D" w:rsidRPr="00A97F5D">
        <w:rPr>
          <w:b w:val="0"/>
          <w:bCs w:val="0"/>
        </w:rPr>
        <w:t xml:space="preserve"> and widely used material and has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 xml:space="preserve">been used in clinical practice for many years. As such toxicity is only </w:t>
      </w:r>
      <w:r w:rsidR="00A97F5D">
        <w:rPr>
          <w:b w:val="0"/>
          <w:bCs w:val="0"/>
        </w:rPr>
        <w:tab/>
      </w:r>
      <w:r w:rsidR="00A97F5D" w:rsidRPr="00A97F5D">
        <w:rPr>
          <w:b w:val="0"/>
          <w:bCs w:val="0"/>
        </w:rPr>
        <w:t>likely to occur in chronic overdosage where hypercalcaemia could result</w:t>
      </w:r>
      <w:r w:rsidRPr="00D84F3B">
        <w:rPr>
          <w:b w:val="0"/>
          <w:bCs w:val="0"/>
        </w:rPr>
        <w:t>.</w:t>
      </w:r>
    </w:p>
    <w:p w14:paraId="65AF4655" w14:textId="77777777" w:rsidR="004476FF" w:rsidRPr="008F5678" w:rsidRDefault="004476FF" w:rsidP="004476FF">
      <w:pPr>
        <w:pStyle w:val="HEADING1SMPC"/>
      </w:pPr>
      <w:r w:rsidRPr="008F5678">
        <w:t xml:space="preserve">PHARMACEUTICAL PARTICULARS </w:t>
      </w:r>
    </w:p>
    <w:p w14:paraId="102A0758" w14:textId="77777777" w:rsidR="004476FF" w:rsidRPr="008F5678" w:rsidRDefault="004476FF" w:rsidP="004476FF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76873FD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D369384" w14:textId="77777777" w:rsidR="004476FF" w:rsidRPr="00F527B4" w:rsidRDefault="004476FF" w:rsidP="004476FF">
      <w:pPr>
        <w:pStyle w:val="SubHeafingSMPC"/>
        <w:ind w:left="57"/>
      </w:pPr>
      <w:r w:rsidRPr="008F5678">
        <w:t xml:space="preserve">Incompatibilities </w:t>
      </w:r>
    </w:p>
    <w:p w14:paraId="71C60A4A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5585A2D5" w14:textId="77777777" w:rsidR="004476FF" w:rsidRPr="000A71B4" w:rsidRDefault="004476FF" w:rsidP="004476FF">
      <w:pPr>
        <w:pStyle w:val="SubHeafingSMPC"/>
        <w:ind w:left="57"/>
      </w:pPr>
      <w:r w:rsidRPr="008F5678">
        <w:t xml:space="preserve">Shelf life </w:t>
      </w:r>
    </w:p>
    <w:p w14:paraId="02C4993A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4B37035C" w14:textId="77777777" w:rsidR="004476FF" w:rsidRPr="008F5678" w:rsidRDefault="004476FF" w:rsidP="004476FF">
      <w:pPr>
        <w:pStyle w:val="SubHeafingSMPC"/>
        <w:ind w:left="57"/>
      </w:pPr>
      <w:r w:rsidRPr="008F5678">
        <w:t xml:space="preserve">Special precautions for storage </w:t>
      </w:r>
    </w:p>
    <w:p w14:paraId="1888D098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3B71E7A" w14:textId="77777777" w:rsidR="004476FF" w:rsidRPr="008F5678" w:rsidRDefault="004476FF" w:rsidP="004476FF">
      <w:pPr>
        <w:pStyle w:val="SubHeafingSMPC"/>
        <w:ind w:left="57"/>
      </w:pPr>
      <w:r w:rsidRPr="008F5678">
        <w:t xml:space="preserve">Nature and contents of container </w:t>
      </w:r>
    </w:p>
    <w:p w14:paraId="3318FE32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0DC8FC4" w14:textId="77777777" w:rsidR="004476FF" w:rsidRPr="000A71B4" w:rsidRDefault="004476FF" w:rsidP="004476FF">
      <w:pPr>
        <w:pStyle w:val="SubHeafingSMPC"/>
        <w:ind w:left="57"/>
      </w:pPr>
      <w:r w:rsidRPr="008F5678">
        <w:t xml:space="preserve">Special precautions for disposal </w:t>
      </w:r>
    </w:p>
    <w:p w14:paraId="0884369C" w14:textId="77777777" w:rsidR="004476FF" w:rsidRPr="000A71B4" w:rsidRDefault="004476FF" w:rsidP="004476F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32FC16F" w14:textId="77777777" w:rsidR="004476FF" w:rsidRDefault="004476FF" w:rsidP="004476FF">
      <w:pPr>
        <w:pStyle w:val="HEADING1SMPC"/>
      </w:pPr>
      <w:r w:rsidRPr="008F5678">
        <w:lastRenderedPageBreak/>
        <w:t xml:space="preserve">MARKETING AUTHORISATION HOLDER </w:t>
      </w:r>
    </w:p>
    <w:p w14:paraId="6A1C9318" w14:textId="77777777" w:rsidR="004476FF" w:rsidRPr="00D741D1" w:rsidRDefault="004476FF" w:rsidP="004476F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543DC67" w14:textId="77777777" w:rsidR="004476FF" w:rsidRDefault="004476FF" w:rsidP="004476FF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76B4FB4" w14:textId="77777777" w:rsidR="004476FF" w:rsidRPr="002270FF" w:rsidRDefault="004476FF" w:rsidP="004476F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ADDA8FE" w14:textId="77777777" w:rsidR="004476FF" w:rsidRDefault="004476FF" w:rsidP="004476FF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54A91B2C" w14:textId="77777777" w:rsidR="004476FF" w:rsidRPr="002270FF" w:rsidRDefault="004476FF" w:rsidP="004476F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6844D69" w14:textId="77777777" w:rsidR="004476FF" w:rsidRPr="008F5678" w:rsidRDefault="004476FF" w:rsidP="004476FF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C9A9A99" w14:textId="77777777" w:rsidR="004476FF" w:rsidRPr="002270FF" w:rsidRDefault="004476FF" w:rsidP="004476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6229B752" w14:textId="77777777" w:rsidR="004476FF" w:rsidRPr="004E6B0A" w:rsidRDefault="004476FF" w:rsidP="004476FF">
      <w:pPr>
        <w:rPr>
          <w:rFonts w:ascii="Times New Roman" w:hAnsi="Times New Roman" w:cs="Times New Roman"/>
          <w:sz w:val="28"/>
          <w:szCs w:val="28"/>
        </w:rPr>
      </w:pPr>
    </w:p>
    <w:p w14:paraId="7143BDEB" w14:textId="77777777" w:rsidR="00CD0A94" w:rsidRDefault="00CD0A94"/>
    <w:sectPr w:rsidR="00CD0A94" w:rsidSect="004476FF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3141" w14:textId="77777777" w:rsidR="00F2571C" w:rsidRDefault="00F2571C" w:rsidP="00A97F5D">
      <w:pPr>
        <w:spacing w:line="240" w:lineRule="auto"/>
      </w:pPr>
      <w:r>
        <w:separator/>
      </w:r>
    </w:p>
  </w:endnote>
  <w:endnote w:type="continuationSeparator" w:id="0">
    <w:p w14:paraId="37F2DC0D" w14:textId="77777777" w:rsidR="00F2571C" w:rsidRDefault="00F2571C" w:rsidP="00A97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56AB986" w14:textId="77777777" w:rsidR="001821C7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1A5C49BC" w14:textId="77777777" w:rsidR="001821C7" w:rsidRDefault="001821C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57EA7568" w14:textId="77777777" w:rsidR="001821C7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8A70680" w14:textId="3235AC3E" w:rsidR="001821C7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A97F5D" w:rsidRPr="00A97F5D">
      <w:rPr>
        <w:rFonts w:ascii="Times New Roman" w:hAnsi="Times New Roman" w:cs="Times New Roman"/>
        <w:sz w:val="24"/>
        <w:szCs w:val="24"/>
      </w:rPr>
      <w:t>Ref: Adcal, MHRA, date 17/07/2016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4B9B" w14:textId="77777777" w:rsidR="00F2571C" w:rsidRDefault="00F2571C" w:rsidP="00A97F5D">
      <w:pPr>
        <w:spacing w:line="240" w:lineRule="auto"/>
      </w:pPr>
      <w:r>
        <w:separator/>
      </w:r>
    </w:p>
  </w:footnote>
  <w:footnote w:type="continuationSeparator" w:id="0">
    <w:p w14:paraId="1DEB228D" w14:textId="77777777" w:rsidR="00F2571C" w:rsidRDefault="00F2571C" w:rsidP="00A97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FF"/>
    <w:rsid w:val="00057EDA"/>
    <w:rsid w:val="001821C7"/>
    <w:rsid w:val="00230FC0"/>
    <w:rsid w:val="002B4BF5"/>
    <w:rsid w:val="004476FF"/>
    <w:rsid w:val="00454EC5"/>
    <w:rsid w:val="004E56FF"/>
    <w:rsid w:val="00530BBA"/>
    <w:rsid w:val="00610BC8"/>
    <w:rsid w:val="0083274C"/>
    <w:rsid w:val="0085403A"/>
    <w:rsid w:val="00920590"/>
    <w:rsid w:val="009F5322"/>
    <w:rsid w:val="00A710F6"/>
    <w:rsid w:val="00A97F5D"/>
    <w:rsid w:val="00AE1522"/>
    <w:rsid w:val="00B06764"/>
    <w:rsid w:val="00B268E1"/>
    <w:rsid w:val="00C83CB8"/>
    <w:rsid w:val="00CD0A94"/>
    <w:rsid w:val="00D807F6"/>
    <w:rsid w:val="00DE1AD4"/>
    <w:rsid w:val="00F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8403E"/>
  <w15:chartTrackingRefBased/>
  <w15:docId w15:val="{0E48E9DF-AAE6-4D5A-8EF4-F7A8535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F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6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F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476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476F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476F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476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476F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476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476F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476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476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6F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476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4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476F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4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4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476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76FF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4476FF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4476FF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4476FF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4476FF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4476FF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4476FF"/>
  </w:style>
  <w:style w:type="paragraph" w:styleId="ae">
    <w:name w:val="Body Text"/>
    <w:basedOn w:val="a"/>
    <w:link w:val="af2"/>
    <w:uiPriority w:val="99"/>
    <w:unhideWhenUsed/>
    <w:rsid w:val="004476FF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4476FF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A97F5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A97F5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2024-08-08T10:24:00Z</dcterms:created>
  <dcterms:modified xsi:type="dcterms:W3CDTF">2024-08-18T03:06:00Z</dcterms:modified>
</cp:coreProperties>
</file>