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3924B" w14:textId="77777777" w:rsidR="00AE0FAF" w:rsidRPr="001B6401" w:rsidRDefault="00000000" w:rsidP="001B6401">
      <w:pPr>
        <w:pStyle w:val="Heading1"/>
        <w:spacing w:after="240" w:line="480" w:lineRule="auto"/>
        <w:ind w:left="11" w:hanging="11"/>
        <w:jc w:val="center"/>
        <w:rPr>
          <w:szCs w:val="28"/>
        </w:rPr>
      </w:pPr>
      <w:r w:rsidRPr="001B6401">
        <w:rPr>
          <w:szCs w:val="28"/>
        </w:rPr>
        <w:t>SUMMARY OF PRODUCT CHARACTERISTICS</w:t>
      </w:r>
    </w:p>
    <w:p w14:paraId="71A41F06" w14:textId="77777777" w:rsidR="001B6401" w:rsidRPr="001B6401" w:rsidRDefault="00000000" w:rsidP="001B6401">
      <w:pPr>
        <w:pStyle w:val="Heading2"/>
        <w:numPr>
          <w:ilvl w:val="0"/>
          <w:numId w:val="7"/>
        </w:numPr>
        <w:spacing w:after="240" w:line="264" w:lineRule="auto"/>
        <w:ind w:left="357" w:right="726" w:hanging="357"/>
        <w:rPr>
          <w:sz w:val="28"/>
          <w:szCs w:val="28"/>
        </w:rPr>
      </w:pPr>
      <w:r w:rsidRPr="001B6401">
        <w:rPr>
          <w:sz w:val="28"/>
          <w:szCs w:val="28"/>
        </w:rPr>
        <w:t>NAME OF THE MEDICINAL PRODUCT</w:t>
      </w:r>
    </w:p>
    <w:p w14:paraId="285E7712" w14:textId="77777777" w:rsidR="001B6401" w:rsidRPr="001B6401" w:rsidRDefault="00000000" w:rsidP="001B6401">
      <w:pPr>
        <w:pStyle w:val="Heading2"/>
        <w:spacing w:after="324"/>
        <w:ind w:left="360" w:right="723" w:firstLine="0"/>
        <w:rPr>
          <w:b w:val="0"/>
          <w:bCs/>
          <w:sz w:val="28"/>
          <w:szCs w:val="28"/>
        </w:rPr>
      </w:pPr>
      <w:r w:rsidRPr="001B6401">
        <w:rPr>
          <w:b w:val="0"/>
          <w:bCs/>
          <w:color w:val="FF0000"/>
          <w:sz w:val="28"/>
          <w:szCs w:val="28"/>
        </w:rPr>
        <w:t xml:space="preserve">&lt;TRADE NAME&gt; &lt;STRENGTH&gt; </w:t>
      </w:r>
      <w:r w:rsidRPr="001B6401">
        <w:rPr>
          <w:b w:val="0"/>
          <w:bCs/>
          <w:sz w:val="28"/>
          <w:szCs w:val="28"/>
        </w:rPr>
        <w:t>Solution for infusion.</w:t>
      </w:r>
    </w:p>
    <w:p w14:paraId="13C72B95" w14:textId="015B587D" w:rsidR="00AE0FAF" w:rsidRPr="001B6401" w:rsidRDefault="00000000" w:rsidP="001B6401">
      <w:pPr>
        <w:pStyle w:val="Heading2"/>
        <w:spacing w:after="240" w:line="264" w:lineRule="auto"/>
        <w:ind w:left="357" w:right="726" w:firstLine="0"/>
        <w:rPr>
          <w:b w:val="0"/>
          <w:bCs/>
          <w:sz w:val="28"/>
          <w:szCs w:val="28"/>
        </w:rPr>
      </w:pPr>
      <w:r w:rsidRPr="001B6401">
        <w:rPr>
          <w:b w:val="0"/>
          <w:bCs/>
          <w:color w:val="FF0000"/>
          <w:sz w:val="28"/>
          <w:szCs w:val="28"/>
        </w:rPr>
        <w:t>&lt;REGARDING THE APPROVAL&gt;</w:t>
      </w:r>
    </w:p>
    <w:p w14:paraId="56E68106" w14:textId="77777777" w:rsidR="001B6401" w:rsidRPr="001B6401" w:rsidRDefault="00000000" w:rsidP="001B6401">
      <w:pPr>
        <w:pStyle w:val="ListParagraph"/>
        <w:numPr>
          <w:ilvl w:val="0"/>
          <w:numId w:val="7"/>
        </w:numPr>
        <w:spacing w:after="240"/>
        <w:ind w:left="357" w:hanging="357"/>
        <w:contextualSpacing w:val="0"/>
        <w:rPr>
          <w:b/>
          <w:bCs/>
          <w:sz w:val="28"/>
          <w:szCs w:val="28"/>
        </w:rPr>
      </w:pPr>
      <w:r w:rsidRPr="001B6401">
        <w:rPr>
          <w:b/>
          <w:bCs/>
          <w:sz w:val="28"/>
          <w:szCs w:val="28"/>
        </w:rPr>
        <w:t>QUALITATIVE AND QUANTITATIVE COMPOSITION</w:t>
      </w:r>
    </w:p>
    <w:p w14:paraId="0AD9D790" w14:textId="77777777" w:rsidR="001B6401" w:rsidRPr="001B6401" w:rsidRDefault="001B6401" w:rsidP="001B6401">
      <w:pPr>
        <w:pStyle w:val="ListParagraph"/>
        <w:spacing w:line="360" w:lineRule="auto"/>
        <w:ind w:left="360" w:firstLine="0"/>
        <w:rPr>
          <w:sz w:val="28"/>
          <w:szCs w:val="28"/>
        </w:rPr>
      </w:pPr>
      <w:r w:rsidRPr="001B6401">
        <w:rPr>
          <w:sz w:val="28"/>
          <w:szCs w:val="28"/>
        </w:rPr>
        <w:t xml:space="preserve">1 ml of solution for infusion contains </w:t>
      </w:r>
    </w:p>
    <w:p w14:paraId="3EADF54E" w14:textId="673C2EBC" w:rsidR="001B6401" w:rsidRPr="001B6401" w:rsidRDefault="001B6401" w:rsidP="001B6401">
      <w:pPr>
        <w:pStyle w:val="ListParagraph"/>
        <w:spacing w:after="240" w:line="360" w:lineRule="auto"/>
        <w:ind w:left="357" w:firstLine="0"/>
        <w:contextualSpacing w:val="0"/>
        <w:rPr>
          <w:color w:val="FF0000"/>
          <w:sz w:val="28"/>
          <w:szCs w:val="28"/>
        </w:rPr>
      </w:pPr>
      <w:r w:rsidRPr="001B6401">
        <w:rPr>
          <w:color w:val="FF0000"/>
          <w:sz w:val="28"/>
          <w:szCs w:val="28"/>
        </w:rPr>
        <w:t xml:space="preserve">&lt;STRENGTH&gt; &lt;GENERIC NAME&gt; </w:t>
      </w:r>
    </w:p>
    <w:p w14:paraId="56FF5F98" w14:textId="77777777" w:rsidR="001B6401" w:rsidRPr="001B6401" w:rsidRDefault="001B6401" w:rsidP="001B6401">
      <w:pPr>
        <w:pStyle w:val="ListParagraph"/>
        <w:spacing w:line="360" w:lineRule="auto"/>
        <w:ind w:left="360" w:firstLine="0"/>
        <w:rPr>
          <w:sz w:val="28"/>
          <w:szCs w:val="28"/>
        </w:rPr>
      </w:pPr>
      <w:r w:rsidRPr="001B6401">
        <w:rPr>
          <w:sz w:val="28"/>
          <w:szCs w:val="28"/>
        </w:rPr>
        <w:t>Excipients with known effect:</w:t>
      </w:r>
    </w:p>
    <w:p w14:paraId="69823FBC" w14:textId="77777777" w:rsidR="001B6401" w:rsidRPr="001B6401" w:rsidRDefault="00000000" w:rsidP="001B6401">
      <w:pPr>
        <w:pStyle w:val="ListParagraph"/>
        <w:spacing w:after="240" w:line="360" w:lineRule="auto"/>
        <w:ind w:left="357" w:firstLine="0"/>
        <w:contextualSpacing w:val="0"/>
        <w:rPr>
          <w:color w:val="FF0000"/>
          <w:sz w:val="28"/>
          <w:szCs w:val="28"/>
        </w:rPr>
      </w:pPr>
      <w:r w:rsidRPr="001B6401">
        <w:rPr>
          <w:color w:val="FF0000"/>
          <w:sz w:val="28"/>
          <w:szCs w:val="28"/>
        </w:rPr>
        <w:t>&lt;REGARDING THE APPROVAL&gt;</w:t>
      </w:r>
    </w:p>
    <w:p w14:paraId="47A834F8" w14:textId="77777777" w:rsidR="001B6401" w:rsidRPr="001B6401" w:rsidRDefault="00000000" w:rsidP="001B6401">
      <w:pPr>
        <w:pStyle w:val="ListParagraph"/>
        <w:spacing w:after="240" w:line="360" w:lineRule="auto"/>
        <w:ind w:left="357" w:firstLine="0"/>
        <w:contextualSpacing w:val="0"/>
        <w:rPr>
          <w:sz w:val="28"/>
          <w:szCs w:val="28"/>
        </w:rPr>
      </w:pPr>
      <w:r w:rsidRPr="001B6401">
        <w:rPr>
          <w:sz w:val="28"/>
          <w:szCs w:val="28"/>
        </w:rPr>
        <w:t>For the full list of excipients, see section 6.1.</w:t>
      </w:r>
    </w:p>
    <w:p w14:paraId="0238AEE0" w14:textId="77777777" w:rsidR="001B6401" w:rsidRDefault="00000000" w:rsidP="001B6401">
      <w:pPr>
        <w:pStyle w:val="ListParagraph"/>
        <w:numPr>
          <w:ilvl w:val="0"/>
          <w:numId w:val="7"/>
        </w:numPr>
        <w:spacing w:after="240" w:line="360" w:lineRule="auto"/>
        <w:ind w:left="357" w:hanging="357"/>
        <w:contextualSpacing w:val="0"/>
        <w:rPr>
          <w:b/>
          <w:bCs/>
          <w:sz w:val="28"/>
          <w:szCs w:val="28"/>
        </w:rPr>
      </w:pPr>
      <w:r w:rsidRPr="001B6401">
        <w:rPr>
          <w:b/>
          <w:bCs/>
          <w:sz w:val="28"/>
          <w:szCs w:val="28"/>
        </w:rPr>
        <w:t>PHARMACEUTICAL FORM</w:t>
      </w:r>
    </w:p>
    <w:p w14:paraId="33076161" w14:textId="77777777" w:rsidR="001B6401" w:rsidRDefault="00000000" w:rsidP="001B6401">
      <w:pPr>
        <w:pStyle w:val="ListParagraph"/>
        <w:spacing w:line="360" w:lineRule="auto"/>
        <w:ind w:left="360" w:firstLine="0"/>
        <w:rPr>
          <w:sz w:val="28"/>
          <w:szCs w:val="28"/>
        </w:rPr>
      </w:pPr>
      <w:r w:rsidRPr="001B6401">
        <w:rPr>
          <w:sz w:val="28"/>
          <w:szCs w:val="28"/>
        </w:rPr>
        <w:t>Solution for infusion.</w:t>
      </w:r>
    </w:p>
    <w:p w14:paraId="59DD7F60" w14:textId="77777777" w:rsidR="001B6401" w:rsidRDefault="00000000" w:rsidP="001B6401">
      <w:pPr>
        <w:pStyle w:val="ListParagraph"/>
        <w:spacing w:after="240" w:line="360" w:lineRule="auto"/>
        <w:ind w:left="357" w:firstLine="0"/>
        <w:contextualSpacing w:val="0"/>
        <w:rPr>
          <w:color w:val="FF0000"/>
          <w:sz w:val="28"/>
          <w:szCs w:val="28"/>
        </w:rPr>
      </w:pPr>
      <w:r w:rsidRPr="001B6401">
        <w:rPr>
          <w:color w:val="FF0000"/>
          <w:sz w:val="28"/>
          <w:szCs w:val="28"/>
        </w:rPr>
        <w:t>&lt;REGARDING THE APPROVAL&gt;</w:t>
      </w:r>
    </w:p>
    <w:p w14:paraId="45C2E89F" w14:textId="77777777" w:rsidR="001B6401" w:rsidRPr="001B6401" w:rsidRDefault="001B6401" w:rsidP="001B6401">
      <w:pPr>
        <w:pStyle w:val="ListParagraph"/>
        <w:numPr>
          <w:ilvl w:val="0"/>
          <w:numId w:val="7"/>
        </w:numPr>
        <w:spacing w:after="240" w:line="360" w:lineRule="auto"/>
        <w:ind w:left="357" w:hanging="357"/>
        <w:contextualSpacing w:val="0"/>
        <w:rPr>
          <w:color w:val="000000" w:themeColor="text1"/>
          <w:sz w:val="28"/>
          <w:szCs w:val="28"/>
        </w:rPr>
      </w:pPr>
      <w:r w:rsidRPr="001B6401">
        <w:rPr>
          <w:b/>
          <w:bCs/>
          <w:color w:val="000000" w:themeColor="text1"/>
          <w:sz w:val="28"/>
          <w:szCs w:val="28"/>
        </w:rPr>
        <w:t>CLINICAL PARTICULARS</w:t>
      </w:r>
    </w:p>
    <w:p w14:paraId="3AFEDA0D" w14:textId="5F0E6198" w:rsidR="00AE0FAF" w:rsidRPr="001B6401" w:rsidRDefault="00000000" w:rsidP="001B6401">
      <w:pPr>
        <w:pStyle w:val="ListParagraph"/>
        <w:numPr>
          <w:ilvl w:val="1"/>
          <w:numId w:val="7"/>
        </w:numPr>
        <w:spacing w:after="240" w:line="360" w:lineRule="auto"/>
        <w:ind w:left="788" w:hanging="431"/>
        <w:contextualSpacing w:val="0"/>
        <w:rPr>
          <w:b/>
          <w:bCs/>
          <w:color w:val="000000" w:themeColor="text1"/>
          <w:sz w:val="28"/>
          <w:szCs w:val="28"/>
        </w:rPr>
      </w:pPr>
      <w:r w:rsidRPr="001B6401">
        <w:rPr>
          <w:b/>
          <w:bCs/>
          <w:sz w:val="28"/>
          <w:szCs w:val="28"/>
        </w:rPr>
        <w:t>Therapeutic indications</w:t>
      </w:r>
    </w:p>
    <w:p w14:paraId="5DFFEFA6" w14:textId="77777777" w:rsidR="00AE0FAF" w:rsidRDefault="00000000" w:rsidP="001B6401">
      <w:pPr>
        <w:spacing w:after="576" w:line="360" w:lineRule="auto"/>
        <w:ind w:left="750" w:firstLine="5"/>
        <w:jc w:val="thaiDistribute"/>
      </w:pPr>
      <w:r w:rsidRPr="001B6401">
        <w:rPr>
          <w:color w:val="FF0000"/>
          <w:sz w:val="28"/>
          <w:szCs w:val="28"/>
        </w:rPr>
        <w:t xml:space="preserve">&lt;GENERIC NAME&gt; &lt;STRENGTH&gt; </w:t>
      </w:r>
      <w:r w:rsidRPr="001B6401">
        <w:rPr>
          <w:sz w:val="28"/>
          <w:szCs w:val="28"/>
        </w:rPr>
        <w:t xml:space="preserve">Solution for infusion is indicated for the treatment of the following infections (see sections 4.4 and 5.1). Special attention should be paid to available information on resistance to </w:t>
      </w:r>
      <w:r w:rsidRPr="001B6401">
        <w:rPr>
          <w:color w:val="FF0000"/>
          <w:sz w:val="28"/>
          <w:szCs w:val="28"/>
        </w:rPr>
        <w:t xml:space="preserve">&lt;GENERIC NAME&gt; </w:t>
      </w:r>
      <w:r w:rsidRPr="001B6401">
        <w:rPr>
          <w:sz w:val="28"/>
          <w:szCs w:val="28"/>
        </w:rPr>
        <w:t>before commencing therapy</w:t>
      </w:r>
      <w:r>
        <w:rPr>
          <w:sz w:val="24"/>
        </w:rPr>
        <w:t>.</w:t>
      </w:r>
    </w:p>
    <w:p w14:paraId="401421F2" w14:textId="77777777" w:rsidR="001B6401" w:rsidRDefault="001B6401">
      <w:pPr>
        <w:spacing w:after="160"/>
        <w:ind w:left="0" w:firstLine="0"/>
        <w:rPr>
          <w:i/>
          <w:sz w:val="24"/>
          <w:u w:val="single" w:color="000000"/>
        </w:rPr>
      </w:pPr>
      <w:r>
        <w:rPr>
          <w:i/>
          <w:sz w:val="24"/>
          <w:u w:val="single" w:color="000000"/>
        </w:rPr>
        <w:br w:type="page"/>
      </w:r>
    </w:p>
    <w:p w14:paraId="0E743AF2" w14:textId="77777777" w:rsidR="001B6401" w:rsidRDefault="00000000" w:rsidP="001B6401">
      <w:pPr>
        <w:spacing w:after="240" w:line="264" w:lineRule="auto"/>
        <w:ind w:left="759" w:hanging="11"/>
        <w:jc w:val="thaiDistribute"/>
        <w:rPr>
          <w:iCs/>
        </w:rPr>
      </w:pPr>
      <w:r w:rsidRPr="001B6401">
        <w:rPr>
          <w:iCs/>
          <w:sz w:val="24"/>
          <w:u w:val="single" w:color="000000"/>
        </w:rPr>
        <w:lastRenderedPageBreak/>
        <w:t>Adults</w:t>
      </w:r>
    </w:p>
    <w:p w14:paraId="039FEB45" w14:textId="77777777" w:rsidR="001B6401" w:rsidRPr="001B6401" w:rsidRDefault="00000000" w:rsidP="001B6401">
      <w:pPr>
        <w:pStyle w:val="ListParagraph"/>
        <w:numPr>
          <w:ilvl w:val="0"/>
          <w:numId w:val="8"/>
        </w:numPr>
        <w:spacing w:after="395" w:line="360" w:lineRule="auto"/>
        <w:jc w:val="thaiDistribute"/>
        <w:rPr>
          <w:iCs/>
        </w:rPr>
      </w:pPr>
      <w:r w:rsidRPr="001B6401">
        <w:rPr>
          <w:sz w:val="24"/>
        </w:rPr>
        <w:t>Lower respiratory tract infections due to Gram-negative bacteria</w:t>
      </w:r>
    </w:p>
    <w:p w14:paraId="6B298A40" w14:textId="77777777" w:rsidR="001B6401" w:rsidRPr="001B6401" w:rsidRDefault="001B6401" w:rsidP="001B6401">
      <w:pPr>
        <w:pStyle w:val="ListParagraph"/>
        <w:numPr>
          <w:ilvl w:val="0"/>
          <w:numId w:val="8"/>
        </w:numPr>
        <w:spacing w:after="395" w:line="360" w:lineRule="auto"/>
        <w:jc w:val="thaiDistribute"/>
        <w:rPr>
          <w:iCs/>
        </w:rPr>
      </w:pPr>
      <w:r>
        <w:rPr>
          <w:sz w:val="24"/>
        </w:rPr>
        <w:t>E</w:t>
      </w:r>
      <w:r w:rsidR="00000000" w:rsidRPr="001B6401">
        <w:rPr>
          <w:sz w:val="24"/>
        </w:rPr>
        <w:t>xacerbations of chronic obstructive pulmonary disease</w:t>
      </w:r>
    </w:p>
    <w:p w14:paraId="5D77EDA0" w14:textId="77777777" w:rsidR="001B6401" w:rsidRDefault="001B6401" w:rsidP="001B6401">
      <w:pPr>
        <w:pStyle w:val="ListParagraph"/>
        <w:spacing w:after="395" w:line="360" w:lineRule="auto"/>
        <w:ind w:left="1470" w:firstLine="0"/>
        <w:jc w:val="thaiDistribute"/>
      </w:pPr>
      <w:r>
        <w:rPr>
          <w:sz w:val="24"/>
        </w:rPr>
        <w:t xml:space="preserve">In exacerbation of chronic obstructive pulmonary disease </w:t>
      </w:r>
      <w:r>
        <w:rPr>
          <w:color w:val="FF0000"/>
          <w:sz w:val="24"/>
        </w:rPr>
        <w:t xml:space="preserve">&lt;GENERIC NAME&gt; </w:t>
      </w:r>
      <w:r>
        <w:rPr>
          <w:sz w:val="24"/>
        </w:rPr>
        <w:t>2 mg/ml Solution for infusion should be used only when it is considered inappropriate to use other antibacterial agents that are commonly recommended for the treatment of these infections</w:t>
      </w:r>
      <w:r w:rsidRPr="001B6401">
        <w:t xml:space="preserve"> </w:t>
      </w:r>
    </w:p>
    <w:p w14:paraId="1601F79D" w14:textId="77777777" w:rsidR="001B6401" w:rsidRDefault="001B6401" w:rsidP="001B6401">
      <w:pPr>
        <w:pStyle w:val="ListParagraph"/>
        <w:numPr>
          <w:ilvl w:val="0"/>
          <w:numId w:val="8"/>
        </w:numPr>
        <w:spacing w:after="395" w:line="360" w:lineRule="auto"/>
        <w:jc w:val="thaiDistribute"/>
        <w:rPr>
          <w:sz w:val="24"/>
        </w:rPr>
      </w:pPr>
      <w:r>
        <w:rPr>
          <w:sz w:val="24"/>
        </w:rPr>
        <w:t>B</w:t>
      </w:r>
      <w:r w:rsidRPr="001B6401">
        <w:rPr>
          <w:sz w:val="24"/>
        </w:rPr>
        <w:t>roncho-pulmonary infections in cystic fibrosis or in bronchiectasis pneumonia</w:t>
      </w:r>
    </w:p>
    <w:p w14:paraId="529463DF" w14:textId="137F4EE2" w:rsidR="001B6401" w:rsidRDefault="001B6401" w:rsidP="001B6401">
      <w:pPr>
        <w:pStyle w:val="ListParagraph"/>
        <w:numPr>
          <w:ilvl w:val="0"/>
          <w:numId w:val="8"/>
        </w:numPr>
        <w:spacing w:after="395" w:line="360" w:lineRule="auto"/>
        <w:jc w:val="thaiDistribute"/>
        <w:rPr>
          <w:sz w:val="24"/>
        </w:rPr>
      </w:pPr>
      <w:r w:rsidRPr="001B6401">
        <w:rPr>
          <w:sz w:val="24"/>
        </w:rPr>
        <w:t>Chronic suppurative otitis media</w:t>
      </w:r>
    </w:p>
    <w:p w14:paraId="6AE29627" w14:textId="77777777" w:rsidR="001B6401" w:rsidRDefault="001B6401" w:rsidP="001B6401">
      <w:pPr>
        <w:pStyle w:val="ListParagraph"/>
        <w:numPr>
          <w:ilvl w:val="0"/>
          <w:numId w:val="8"/>
        </w:numPr>
        <w:spacing w:after="395" w:line="360" w:lineRule="auto"/>
        <w:jc w:val="thaiDistribute"/>
        <w:rPr>
          <w:sz w:val="24"/>
        </w:rPr>
      </w:pPr>
      <w:r w:rsidRPr="001B6401">
        <w:rPr>
          <w:sz w:val="24"/>
        </w:rPr>
        <w:t>Acute exacerbation of chronic sinusitis especially if these are caused by Gram negative bacteria</w:t>
      </w:r>
    </w:p>
    <w:p w14:paraId="2D0E2C38" w14:textId="77777777" w:rsidR="001B6401" w:rsidRDefault="001B6401" w:rsidP="001B6401">
      <w:pPr>
        <w:pStyle w:val="ListParagraph"/>
        <w:numPr>
          <w:ilvl w:val="0"/>
          <w:numId w:val="8"/>
        </w:numPr>
        <w:spacing w:after="395" w:line="360" w:lineRule="auto"/>
        <w:jc w:val="thaiDistribute"/>
        <w:rPr>
          <w:sz w:val="24"/>
        </w:rPr>
      </w:pPr>
      <w:r w:rsidRPr="001B6401">
        <w:rPr>
          <w:sz w:val="24"/>
        </w:rPr>
        <w:t>Acute pyelonephritis</w:t>
      </w:r>
    </w:p>
    <w:p w14:paraId="5C729E7D" w14:textId="77777777" w:rsidR="001B6401" w:rsidRDefault="001B6401" w:rsidP="001B6401">
      <w:pPr>
        <w:pStyle w:val="ListParagraph"/>
        <w:numPr>
          <w:ilvl w:val="0"/>
          <w:numId w:val="8"/>
        </w:numPr>
        <w:spacing w:after="395" w:line="360" w:lineRule="auto"/>
        <w:jc w:val="thaiDistribute"/>
        <w:rPr>
          <w:sz w:val="24"/>
        </w:rPr>
      </w:pPr>
      <w:r w:rsidRPr="001B6401">
        <w:rPr>
          <w:sz w:val="24"/>
        </w:rPr>
        <w:t>Bacterial prostatitis</w:t>
      </w:r>
    </w:p>
    <w:p w14:paraId="681C4DDF" w14:textId="77777777" w:rsidR="001B6401" w:rsidRPr="001B6401" w:rsidRDefault="001B6401" w:rsidP="001B6401">
      <w:pPr>
        <w:pStyle w:val="ListParagraph"/>
        <w:numPr>
          <w:ilvl w:val="0"/>
          <w:numId w:val="8"/>
        </w:numPr>
        <w:spacing w:after="395" w:line="360" w:lineRule="auto"/>
        <w:jc w:val="thaiDistribute"/>
        <w:rPr>
          <w:sz w:val="24"/>
        </w:rPr>
      </w:pPr>
      <w:r w:rsidRPr="001B6401">
        <w:rPr>
          <w:sz w:val="24"/>
        </w:rPr>
        <w:t>Genital tract infections</w:t>
      </w:r>
      <w:r w:rsidRPr="001B6401">
        <w:t xml:space="preserve"> </w:t>
      </w:r>
    </w:p>
    <w:p w14:paraId="0945FD0A" w14:textId="77777777" w:rsidR="001B6401" w:rsidRPr="001B6401" w:rsidRDefault="001B6401" w:rsidP="001B6401">
      <w:pPr>
        <w:pStyle w:val="ListParagraph"/>
        <w:numPr>
          <w:ilvl w:val="0"/>
          <w:numId w:val="8"/>
        </w:numPr>
        <w:spacing w:after="395" w:line="360" w:lineRule="auto"/>
        <w:jc w:val="thaiDistribute"/>
        <w:rPr>
          <w:sz w:val="24"/>
        </w:rPr>
      </w:pPr>
      <w:r>
        <w:t>E</w:t>
      </w:r>
      <w:r w:rsidRPr="001B6401">
        <w:rPr>
          <w:sz w:val="24"/>
        </w:rPr>
        <w:t>pididymo-orchitis including cases due to susceptible Neisseria gonorrhoeae pelvic inflammatory disease including cases due to susceptible Neisseria gonorrhoeae</w:t>
      </w:r>
      <w:r w:rsidRPr="001B6401">
        <w:t xml:space="preserve"> </w:t>
      </w:r>
    </w:p>
    <w:p w14:paraId="70E3DC6C" w14:textId="77777777" w:rsidR="001B6401" w:rsidRDefault="001B6401" w:rsidP="001B6401">
      <w:pPr>
        <w:pStyle w:val="ListParagraph"/>
        <w:numPr>
          <w:ilvl w:val="0"/>
          <w:numId w:val="8"/>
        </w:numPr>
        <w:spacing w:after="395" w:line="360" w:lineRule="auto"/>
        <w:rPr>
          <w:sz w:val="24"/>
        </w:rPr>
      </w:pPr>
      <w:r w:rsidRPr="001B6401">
        <w:rPr>
          <w:sz w:val="24"/>
        </w:rPr>
        <w:t>Infections</w:t>
      </w:r>
      <w:r>
        <w:rPr>
          <w:sz w:val="24"/>
        </w:rPr>
        <w:t xml:space="preserve"> </w:t>
      </w:r>
      <w:r w:rsidRPr="001B6401">
        <w:rPr>
          <w:sz w:val="24"/>
        </w:rPr>
        <w:t>of</w:t>
      </w:r>
      <w:r>
        <w:rPr>
          <w:sz w:val="24"/>
        </w:rPr>
        <w:t xml:space="preserve"> </w:t>
      </w:r>
      <w:r w:rsidRPr="001B6401">
        <w:rPr>
          <w:sz w:val="24"/>
        </w:rPr>
        <w:t>the</w:t>
      </w:r>
      <w:r>
        <w:rPr>
          <w:sz w:val="24"/>
        </w:rPr>
        <w:t xml:space="preserve"> </w:t>
      </w:r>
      <w:r w:rsidRPr="001B6401">
        <w:rPr>
          <w:sz w:val="24"/>
        </w:rPr>
        <w:t>gastro-intestinal</w:t>
      </w:r>
      <w:r>
        <w:rPr>
          <w:sz w:val="24"/>
        </w:rPr>
        <w:t xml:space="preserve"> </w:t>
      </w:r>
      <w:r w:rsidRPr="001B6401">
        <w:rPr>
          <w:sz w:val="24"/>
        </w:rPr>
        <w:t>tract</w:t>
      </w:r>
      <w:r>
        <w:rPr>
          <w:sz w:val="24"/>
        </w:rPr>
        <w:t xml:space="preserve"> </w:t>
      </w:r>
      <w:r w:rsidRPr="001B6401">
        <w:rPr>
          <w:sz w:val="24"/>
        </w:rPr>
        <w:t>(e.g</w:t>
      </w:r>
      <w:r>
        <w:rPr>
          <w:sz w:val="24"/>
        </w:rPr>
        <w:t>.</w:t>
      </w:r>
      <w:r w:rsidRPr="001B6401">
        <w:rPr>
          <w:sz w:val="24"/>
        </w:rPr>
        <w:t>travellers`</w:t>
      </w:r>
      <w:r>
        <w:rPr>
          <w:sz w:val="24"/>
        </w:rPr>
        <w:t xml:space="preserve"> </w:t>
      </w:r>
      <w:r w:rsidRPr="001B6401">
        <w:rPr>
          <w:sz w:val="24"/>
        </w:rPr>
        <w:t>diarrhoea)</w:t>
      </w:r>
    </w:p>
    <w:p w14:paraId="1F3DF6C3" w14:textId="77777777" w:rsidR="001B6401" w:rsidRDefault="001B6401" w:rsidP="001B6401">
      <w:pPr>
        <w:pStyle w:val="ListParagraph"/>
        <w:numPr>
          <w:ilvl w:val="0"/>
          <w:numId w:val="8"/>
        </w:numPr>
        <w:spacing w:after="395" w:line="360" w:lineRule="auto"/>
        <w:rPr>
          <w:sz w:val="24"/>
        </w:rPr>
      </w:pPr>
      <w:r w:rsidRPr="001B6401">
        <w:rPr>
          <w:sz w:val="24"/>
        </w:rPr>
        <w:t>Intra-abdominal infections</w:t>
      </w:r>
    </w:p>
    <w:p w14:paraId="3235E498" w14:textId="77777777" w:rsidR="001B6401" w:rsidRDefault="00000000" w:rsidP="001B6401">
      <w:pPr>
        <w:pStyle w:val="ListParagraph"/>
        <w:numPr>
          <w:ilvl w:val="0"/>
          <w:numId w:val="8"/>
        </w:numPr>
        <w:spacing w:after="395" w:line="360" w:lineRule="auto"/>
        <w:rPr>
          <w:sz w:val="24"/>
        </w:rPr>
      </w:pPr>
      <w:r w:rsidRPr="001B6401">
        <w:rPr>
          <w:sz w:val="24"/>
        </w:rPr>
        <w:t>Infections of the skin and soft tissue caused by Gram-negative bacteria</w:t>
      </w:r>
    </w:p>
    <w:p w14:paraId="49F59740" w14:textId="77777777" w:rsidR="001B6401" w:rsidRDefault="00000000" w:rsidP="001B6401">
      <w:pPr>
        <w:pStyle w:val="ListParagraph"/>
        <w:numPr>
          <w:ilvl w:val="0"/>
          <w:numId w:val="8"/>
        </w:numPr>
        <w:spacing w:after="395" w:line="360" w:lineRule="auto"/>
        <w:rPr>
          <w:sz w:val="24"/>
        </w:rPr>
      </w:pPr>
      <w:r w:rsidRPr="001B6401">
        <w:rPr>
          <w:sz w:val="24"/>
        </w:rPr>
        <w:t>Malignant external otitis</w:t>
      </w:r>
    </w:p>
    <w:p w14:paraId="2D37F607" w14:textId="77777777" w:rsidR="001B6401" w:rsidRDefault="00000000" w:rsidP="001B6401">
      <w:pPr>
        <w:pStyle w:val="ListParagraph"/>
        <w:numPr>
          <w:ilvl w:val="0"/>
          <w:numId w:val="8"/>
        </w:numPr>
        <w:spacing w:after="395" w:line="360" w:lineRule="auto"/>
        <w:rPr>
          <w:sz w:val="24"/>
        </w:rPr>
      </w:pPr>
      <w:r w:rsidRPr="001B6401">
        <w:rPr>
          <w:sz w:val="24"/>
        </w:rPr>
        <w:t>Infections of the bones and joints</w:t>
      </w:r>
    </w:p>
    <w:p w14:paraId="5F98FCDC" w14:textId="77777777" w:rsidR="001B6401" w:rsidRDefault="00000000" w:rsidP="001B6401">
      <w:pPr>
        <w:pStyle w:val="ListParagraph"/>
        <w:numPr>
          <w:ilvl w:val="0"/>
          <w:numId w:val="8"/>
        </w:numPr>
        <w:spacing w:after="240" w:line="360" w:lineRule="auto"/>
        <w:ind w:left="1468" w:hanging="357"/>
        <w:contextualSpacing w:val="0"/>
        <w:rPr>
          <w:sz w:val="24"/>
        </w:rPr>
      </w:pPr>
      <w:r w:rsidRPr="001B6401">
        <w:rPr>
          <w:sz w:val="24"/>
        </w:rPr>
        <w:t>Inhalation anthrax (post-exposure prophylaxis and curative treatment)</w:t>
      </w:r>
    </w:p>
    <w:p w14:paraId="67C33207" w14:textId="14F3949D" w:rsidR="00AE0FAF" w:rsidRPr="001B6401" w:rsidRDefault="001B6401" w:rsidP="001B6401">
      <w:pPr>
        <w:spacing w:after="240" w:line="360" w:lineRule="auto"/>
        <w:ind w:left="1111" w:firstLine="0"/>
        <w:jc w:val="thaiDistribute"/>
        <w:rPr>
          <w:sz w:val="24"/>
        </w:rPr>
      </w:pPr>
      <w:r w:rsidRPr="001B6401">
        <w:rPr>
          <w:color w:val="FF0000"/>
          <w:sz w:val="24"/>
        </w:rPr>
        <w:t xml:space="preserve">&lt;GENERIC NAME&gt; </w:t>
      </w:r>
      <w:r w:rsidRPr="001B6401">
        <w:rPr>
          <w:sz w:val="24"/>
        </w:rPr>
        <w:t>may be used in the management of neutropenic patients with fever that is suspected to be due to a bacterial infection.</w:t>
      </w:r>
    </w:p>
    <w:p w14:paraId="7F23036B" w14:textId="77777777" w:rsidR="001B6401" w:rsidRDefault="001B6401">
      <w:pPr>
        <w:spacing w:after="394" w:line="265" w:lineRule="auto"/>
        <w:rPr>
          <w:i/>
          <w:sz w:val="24"/>
          <w:u w:val="single" w:color="000000"/>
        </w:rPr>
      </w:pPr>
    </w:p>
    <w:p w14:paraId="6730AA63" w14:textId="77777777" w:rsidR="001B6401" w:rsidRDefault="001B6401">
      <w:pPr>
        <w:spacing w:after="160"/>
        <w:ind w:left="0" w:firstLine="0"/>
        <w:rPr>
          <w:i/>
          <w:sz w:val="24"/>
          <w:u w:val="single" w:color="000000"/>
        </w:rPr>
      </w:pPr>
      <w:r>
        <w:rPr>
          <w:i/>
          <w:sz w:val="24"/>
          <w:u w:val="single" w:color="000000"/>
        </w:rPr>
        <w:br w:type="page"/>
      </w:r>
    </w:p>
    <w:p w14:paraId="66C5143B" w14:textId="68A042D4" w:rsidR="00AE0FAF" w:rsidRPr="001B6401" w:rsidRDefault="00000000" w:rsidP="001B6401">
      <w:pPr>
        <w:spacing w:after="240" w:line="264" w:lineRule="auto"/>
        <w:ind w:left="0" w:firstLine="720"/>
        <w:rPr>
          <w:iCs/>
        </w:rPr>
      </w:pPr>
      <w:r w:rsidRPr="001B6401">
        <w:rPr>
          <w:iCs/>
          <w:sz w:val="24"/>
          <w:u w:val="single" w:color="000000"/>
        </w:rPr>
        <w:lastRenderedPageBreak/>
        <w:t>Children and adolescents</w:t>
      </w:r>
    </w:p>
    <w:p w14:paraId="31A60037" w14:textId="77777777" w:rsidR="00AE0FAF" w:rsidRDefault="00000000" w:rsidP="001B6401">
      <w:pPr>
        <w:pStyle w:val="ListParagraph"/>
        <w:numPr>
          <w:ilvl w:val="0"/>
          <w:numId w:val="9"/>
        </w:numPr>
        <w:spacing w:after="90" w:line="360" w:lineRule="auto"/>
        <w:jc w:val="both"/>
      </w:pPr>
      <w:r w:rsidRPr="001B6401">
        <w:rPr>
          <w:sz w:val="24"/>
        </w:rPr>
        <w:t xml:space="preserve">Broncho-pulmonary infections due to </w:t>
      </w:r>
      <w:r w:rsidRPr="001B6401">
        <w:rPr>
          <w:rFonts w:cs="Times New Roman"/>
          <w:i/>
          <w:sz w:val="24"/>
        </w:rPr>
        <w:t xml:space="preserve">Pseudomonas aeruginosa </w:t>
      </w:r>
      <w:r w:rsidRPr="001B6401">
        <w:rPr>
          <w:sz w:val="24"/>
        </w:rPr>
        <w:t>in patients with cystic fibrosis</w:t>
      </w:r>
    </w:p>
    <w:p w14:paraId="4862FD38" w14:textId="77777777" w:rsidR="00AE0FAF" w:rsidRDefault="00000000" w:rsidP="001B6401">
      <w:pPr>
        <w:pStyle w:val="ListParagraph"/>
        <w:numPr>
          <w:ilvl w:val="0"/>
          <w:numId w:val="9"/>
        </w:numPr>
        <w:spacing w:after="63" w:line="360" w:lineRule="auto"/>
        <w:jc w:val="both"/>
      </w:pPr>
      <w:r w:rsidRPr="001B6401">
        <w:rPr>
          <w:sz w:val="24"/>
        </w:rPr>
        <w:t>Complicated urinary tract infections and acute pyelonephritis</w:t>
      </w:r>
    </w:p>
    <w:p w14:paraId="189932E0" w14:textId="77777777" w:rsidR="00AE0FAF" w:rsidRDefault="00000000" w:rsidP="001B6401">
      <w:pPr>
        <w:pStyle w:val="ListParagraph"/>
        <w:numPr>
          <w:ilvl w:val="0"/>
          <w:numId w:val="9"/>
        </w:numPr>
        <w:spacing w:after="306" w:line="360" w:lineRule="auto"/>
        <w:jc w:val="both"/>
      </w:pPr>
      <w:r w:rsidRPr="001B6401">
        <w:rPr>
          <w:sz w:val="24"/>
        </w:rPr>
        <w:t>Inhalation anthrax (post-exposure prophylaxis and curative treatment)</w:t>
      </w:r>
    </w:p>
    <w:p w14:paraId="48417392" w14:textId="77777777" w:rsidR="00AE0FAF" w:rsidRDefault="00000000" w:rsidP="001B6401">
      <w:pPr>
        <w:spacing w:after="240" w:line="360" w:lineRule="auto"/>
        <w:ind w:left="748" w:firstLine="0"/>
        <w:jc w:val="both"/>
      </w:pPr>
      <w:r>
        <w:rPr>
          <w:color w:val="FF0000"/>
          <w:sz w:val="24"/>
        </w:rPr>
        <w:t xml:space="preserve">&lt;GENERIC NAME&gt; </w:t>
      </w:r>
      <w:r>
        <w:rPr>
          <w:sz w:val="24"/>
        </w:rPr>
        <w:t>may also be used to treat severe infections in children and adolescents when this is considered to be necessary.</w:t>
      </w:r>
    </w:p>
    <w:p w14:paraId="11FB8AB9" w14:textId="77777777" w:rsidR="00AE0FAF" w:rsidRDefault="00000000" w:rsidP="001B6401">
      <w:pPr>
        <w:spacing w:after="240" w:line="360" w:lineRule="auto"/>
        <w:ind w:left="748" w:firstLine="0"/>
      </w:pPr>
      <w:r>
        <w:rPr>
          <w:sz w:val="24"/>
        </w:rPr>
        <w:t>Treatment should be initiated only by physicians who are experienced in the treatment of cystic fibrosis and/or severe infections in children and adolescents (see sections 4.4 and 5.1).</w:t>
      </w:r>
    </w:p>
    <w:p w14:paraId="7A059725" w14:textId="77777777" w:rsidR="00AE0FAF" w:rsidRDefault="00000000" w:rsidP="001B6401">
      <w:pPr>
        <w:spacing w:after="12" w:line="360" w:lineRule="auto"/>
        <w:ind w:left="750" w:firstLine="5"/>
        <w:jc w:val="both"/>
      </w:pPr>
      <w:r>
        <w:rPr>
          <w:sz w:val="24"/>
        </w:rPr>
        <w:t>Consideration should be given to official guidance on the appropriate use of</w:t>
      </w:r>
    </w:p>
    <w:p w14:paraId="438472A2" w14:textId="77777777" w:rsidR="00AE0FAF" w:rsidRDefault="00000000" w:rsidP="001B6401">
      <w:pPr>
        <w:spacing w:after="240" w:line="360" w:lineRule="auto"/>
        <w:ind w:left="748" w:firstLine="6"/>
        <w:jc w:val="both"/>
      </w:pPr>
      <w:r>
        <w:rPr>
          <w:sz w:val="24"/>
        </w:rPr>
        <w:t>antibacterial agents</w:t>
      </w:r>
    </w:p>
    <w:p w14:paraId="16DDA3C5" w14:textId="77777777" w:rsidR="001B6401" w:rsidRPr="001B6401" w:rsidRDefault="00000000" w:rsidP="001B6401">
      <w:pPr>
        <w:pStyle w:val="ListParagraph"/>
        <w:numPr>
          <w:ilvl w:val="1"/>
          <w:numId w:val="7"/>
        </w:numPr>
        <w:spacing w:after="240" w:line="264" w:lineRule="auto"/>
        <w:ind w:left="788" w:right="726" w:hanging="431"/>
        <w:contextualSpacing w:val="0"/>
      </w:pPr>
      <w:r w:rsidRPr="001B6401">
        <w:rPr>
          <w:b/>
        </w:rPr>
        <w:t>Posology and method of administration</w:t>
      </w:r>
    </w:p>
    <w:p w14:paraId="16FED8F8" w14:textId="77777777" w:rsidR="001B6401" w:rsidRDefault="00000000" w:rsidP="001B6401">
      <w:pPr>
        <w:pStyle w:val="ListParagraph"/>
        <w:spacing w:after="240" w:line="264" w:lineRule="auto"/>
        <w:ind w:left="794" w:right="726" w:firstLine="0"/>
        <w:contextualSpacing w:val="0"/>
        <w:rPr>
          <w:u w:val="single"/>
        </w:rPr>
      </w:pPr>
      <w:r w:rsidRPr="001B6401">
        <w:rPr>
          <w:u w:val="single"/>
        </w:rPr>
        <w:t>Posology</w:t>
      </w:r>
    </w:p>
    <w:p w14:paraId="067C4854" w14:textId="77777777" w:rsidR="001B6401" w:rsidRDefault="00000000" w:rsidP="001B6401">
      <w:pPr>
        <w:pStyle w:val="ListParagraph"/>
        <w:spacing w:after="240" w:line="360" w:lineRule="auto"/>
        <w:ind w:left="794" w:right="726" w:firstLine="0"/>
        <w:contextualSpacing w:val="0"/>
        <w:jc w:val="thaiDistribute"/>
      </w:pPr>
      <w:r>
        <w:t xml:space="preserve">The dosage is determined by the indication, the severity and the site of the infection, the susceptibility to </w:t>
      </w:r>
      <w:r>
        <w:rPr>
          <w:color w:val="FF0000"/>
          <w:sz w:val="24"/>
        </w:rPr>
        <w:t xml:space="preserve">&lt;GENERIC NAME&gt; </w:t>
      </w:r>
      <w:r>
        <w:t>of the causative organism(s), the renal function of the patient and, in children and adolescents the body weight.</w:t>
      </w:r>
    </w:p>
    <w:p w14:paraId="4CCC0872" w14:textId="77777777" w:rsidR="001B6401" w:rsidRDefault="00000000" w:rsidP="001B6401">
      <w:pPr>
        <w:pStyle w:val="ListParagraph"/>
        <w:spacing w:after="240" w:line="360" w:lineRule="auto"/>
        <w:ind w:left="794" w:right="726" w:firstLine="0"/>
        <w:contextualSpacing w:val="0"/>
        <w:jc w:val="thaiDistribute"/>
      </w:pPr>
      <w:r>
        <w:t>The duration of treatment depends on the severity of the illness and on the clinical and bacteriological course.</w:t>
      </w:r>
    </w:p>
    <w:p w14:paraId="5F92B06F" w14:textId="77777777" w:rsidR="001B6401" w:rsidRDefault="00000000" w:rsidP="001B6401">
      <w:pPr>
        <w:pStyle w:val="ListParagraph"/>
        <w:spacing w:after="240" w:line="360" w:lineRule="auto"/>
        <w:ind w:left="794" w:right="726" w:firstLine="0"/>
        <w:contextualSpacing w:val="0"/>
        <w:jc w:val="thaiDistribute"/>
      </w:pPr>
      <w:r>
        <w:t>After intravenous initiation of treatment, the treatment can be switched to oral treatment with tablet or suspension if clinically indicated at the discretion of the physician. IV treatment should be followed by oral route as soon as possible.</w:t>
      </w:r>
    </w:p>
    <w:p w14:paraId="037F066A" w14:textId="77777777" w:rsidR="001B6401" w:rsidRDefault="00000000" w:rsidP="001B6401">
      <w:pPr>
        <w:pStyle w:val="ListParagraph"/>
        <w:spacing w:after="240" w:line="360" w:lineRule="auto"/>
        <w:ind w:left="794" w:right="726" w:firstLine="0"/>
        <w:contextualSpacing w:val="0"/>
        <w:jc w:val="thaiDistribute"/>
      </w:pPr>
      <w:r>
        <w:t xml:space="preserve">In severe cases or if the patient is unable to take tablets (e.g. patients on enteral nutrition), it is recommended to commence therapy with intravenous </w:t>
      </w:r>
      <w:r>
        <w:rPr>
          <w:color w:val="FF0000"/>
          <w:sz w:val="24"/>
        </w:rPr>
        <w:t xml:space="preserve">&lt;GENERIC NAME&gt; </w:t>
      </w:r>
      <w:r>
        <w:t>until a switch to oral administration is possible.</w:t>
      </w:r>
    </w:p>
    <w:p w14:paraId="77029C39" w14:textId="77777777" w:rsidR="001B6401" w:rsidRDefault="00000000" w:rsidP="001B6401">
      <w:pPr>
        <w:pStyle w:val="ListParagraph"/>
        <w:spacing w:after="240" w:line="360" w:lineRule="auto"/>
        <w:ind w:left="794" w:right="726" w:firstLine="0"/>
        <w:contextualSpacing w:val="0"/>
        <w:jc w:val="thaiDistribute"/>
      </w:pPr>
      <w:r>
        <w:lastRenderedPageBreak/>
        <w:t xml:space="preserve">Treatment of infections due to certain bacteria (e.g. </w:t>
      </w:r>
      <w:r>
        <w:rPr>
          <w:rFonts w:cs="Times New Roman"/>
          <w:i/>
        </w:rPr>
        <w:t>Pseudomonas aeruginosa</w:t>
      </w:r>
      <w:r>
        <w:t xml:space="preserve">, </w:t>
      </w:r>
      <w:r>
        <w:rPr>
          <w:rFonts w:cs="Times New Roman"/>
          <w:i/>
        </w:rPr>
        <w:t xml:space="preserve">Acinetobacter </w:t>
      </w:r>
      <w:r>
        <w:t xml:space="preserve">or </w:t>
      </w:r>
      <w:r>
        <w:rPr>
          <w:rFonts w:cs="Times New Roman"/>
          <w:i/>
        </w:rPr>
        <w:t xml:space="preserve">Staphylococci) </w:t>
      </w:r>
      <w:r>
        <w:t xml:space="preserve">may require higher </w:t>
      </w:r>
      <w:r>
        <w:rPr>
          <w:color w:val="FF0000"/>
          <w:sz w:val="24"/>
        </w:rPr>
        <w:t xml:space="preserve">&lt;GENERIC NAME&gt; </w:t>
      </w:r>
      <w:r>
        <w:t>doses and co-administration with other appropriate antibacterial agents.</w:t>
      </w:r>
    </w:p>
    <w:p w14:paraId="7A462DB9" w14:textId="77777777" w:rsidR="001B6401" w:rsidRDefault="00000000" w:rsidP="001B6401">
      <w:pPr>
        <w:pStyle w:val="ListParagraph"/>
        <w:spacing w:after="240" w:line="360" w:lineRule="auto"/>
        <w:ind w:left="794" w:right="726" w:firstLine="0"/>
        <w:contextualSpacing w:val="0"/>
        <w:jc w:val="thaiDistribute"/>
      </w:pPr>
      <w:r>
        <w:t>Treatment of some infections (e.g. pelvic inflammatory disease, intra-abdominal infections, infections in neutropenic patients and infections of bones and joints) may require co-administration with other appropriate antibacterial agents depending on the pathogens involved.</w:t>
      </w:r>
    </w:p>
    <w:p w14:paraId="664A1D1B" w14:textId="6356213E" w:rsidR="00AE0FAF" w:rsidRPr="001A540A" w:rsidRDefault="00000000" w:rsidP="001B6401">
      <w:pPr>
        <w:pStyle w:val="ListParagraph"/>
        <w:spacing w:after="0" w:line="360" w:lineRule="auto"/>
        <w:ind w:left="794" w:right="726" w:firstLine="0"/>
        <w:contextualSpacing w:val="0"/>
        <w:jc w:val="thaiDistribute"/>
        <w:rPr>
          <w:iCs/>
          <w:u w:val="single"/>
        </w:rPr>
      </w:pPr>
      <w:r w:rsidRPr="001A540A">
        <w:rPr>
          <w:rFonts w:cs="Times New Roman"/>
          <w:iCs/>
          <w:u w:val="single" w:color="000000"/>
        </w:rPr>
        <w:t>Adults</w:t>
      </w:r>
    </w:p>
    <w:tbl>
      <w:tblPr>
        <w:tblStyle w:val="TableGrid"/>
        <w:tblW w:w="8940" w:type="dxa"/>
        <w:tblInd w:w="-93" w:type="dxa"/>
        <w:tblCellMar>
          <w:top w:w="103" w:type="dxa"/>
          <w:left w:w="108" w:type="dxa"/>
          <w:bottom w:w="12" w:type="dxa"/>
          <w:right w:w="51" w:type="dxa"/>
        </w:tblCellMar>
        <w:tblLook w:val="04A0" w:firstRow="1" w:lastRow="0" w:firstColumn="1" w:lastColumn="0" w:noHBand="0" w:noVBand="1"/>
      </w:tblPr>
      <w:tblGrid>
        <w:gridCol w:w="1560"/>
        <w:gridCol w:w="2160"/>
        <w:gridCol w:w="2520"/>
        <w:gridCol w:w="2700"/>
      </w:tblGrid>
      <w:tr w:rsidR="00AE0FAF" w14:paraId="7B27CB20" w14:textId="77777777" w:rsidTr="001B6401">
        <w:trPr>
          <w:cantSplit/>
          <w:trHeight w:val="1160"/>
          <w:tblHeader/>
        </w:trPr>
        <w:tc>
          <w:tcPr>
            <w:tcW w:w="3720" w:type="dxa"/>
            <w:gridSpan w:val="2"/>
            <w:tcBorders>
              <w:top w:val="single" w:sz="8" w:space="0" w:color="000000"/>
              <w:left w:val="single" w:sz="8" w:space="0" w:color="000000"/>
              <w:bottom w:val="single" w:sz="8" w:space="0" w:color="000000"/>
              <w:right w:val="single" w:sz="8" w:space="0" w:color="000000"/>
            </w:tcBorders>
          </w:tcPr>
          <w:p w14:paraId="444B70F8" w14:textId="77777777" w:rsidR="00AE0FAF" w:rsidRDefault="00000000" w:rsidP="001B6401">
            <w:pPr>
              <w:spacing w:after="0" w:line="259" w:lineRule="auto"/>
              <w:ind w:left="0" w:firstLine="0"/>
              <w:jc w:val="center"/>
            </w:pPr>
            <w:r>
              <w:rPr>
                <w:b/>
              </w:rPr>
              <w:t>Indications</w:t>
            </w:r>
          </w:p>
        </w:tc>
        <w:tc>
          <w:tcPr>
            <w:tcW w:w="2520" w:type="dxa"/>
            <w:tcBorders>
              <w:top w:val="single" w:sz="8" w:space="0" w:color="000000"/>
              <w:left w:val="single" w:sz="8" w:space="0" w:color="000000"/>
              <w:bottom w:val="single" w:sz="8" w:space="0" w:color="000000"/>
              <w:right w:val="single" w:sz="8" w:space="0" w:color="000000"/>
            </w:tcBorders>
          </w:tcPr>
          <w:p w14:paraId="1D39C3F8" w14:textId="77777777" w:rsidR="00AE0FAF" w:rsidRDefault="00000000" w:rsidP="001B6401">
            <w:pPr>
              <w:spacing w:after="0" w:line="259" w:lineRule="auto"/>
              <w:ind w:left="0" w:firstLine="0"/>
              <w:jc w:val="center"/>
            </w:pPr>
            <w:r>
              <w:rPr>
                <w:b/>
              </w:rPr>
              <w:t>Daily dose in mg</w:t>
            </w:r>
          </w:p>
        </w:tc>
        <w:tc>
          <w:tcPr>
            <w:tcW w:w="2700" w:type="dxa"/>
            <w:tcBorders>
              <w:top w:val="single" w:sz="8" w:space="0" w:color="000000"/>
              <w:left w:val="single" w:sz="8" w:space="0" w:color="000000"/>
              <w:bottom w:val="single" w:sz="8" w:space="0" w:color="000000"/>
              <w:right w:val="single" w:sz="8" w:space="0" w:color="000000"/>
            </w:tcBorders>
          </w:tcPr>
          <w:p w14:paraId="4C1FCDD2" w14:textId="77777777" w:rsidR="00AE0FAF" w:rsidRDefault="00000000" w:rsidP="001B6401">
            <w:pPr>
              <w:spacing w:after="0" w:line="259" w:lineRule="auto"/>
              <w:ind w:left="0" w:right="25" w:firstLine="0"/>
              <w:jc w:val="center"/>
            </w:pPr>
            <w:r>
              <w:rPr>
                <w:b/>
              </w:rPr>
              <w:t>Total duration of treatment (including switch to oral therapy as soon as possible)</w:t>
            </w:r>
          </w:p>
        </w:tc>
      </w:tr>
      <w:tr w:rsidR="00AE0FAF" w14:paraId="0BCD3E8F" w14:textId="77777777">
        <w:trPr>
          <w:trHeight w:val="600"/>
        </w:trPr>
        <w:tc>
          <w:tcPr>
            <w:tcW w:w="3720" w:type="dxa"/>
            <w:gridSpan w:val="2"/>
            <w:tcBorders>
              <w:top w:val="single" w:sz="8" w:space="0" w:color="000000"/>
              <w:left w:val="single" w:sz="8" w:space="0" w:color="000000"/>
              <w:bottom w:val="single" w:sz="8" w:space="0" w:color="000000"/>
              <w:right w:val="single" w:sz="8" w:space="0" w:color="000000"/>
            </w:tcBorders>
          </w:tcPr>
          <w:p w14:paraId="40A882A9" w14:textId="77777777" w:rsidR="00AE0FAF" w:rsidRDefault="00000000">
            <w:pPr>
              <w:spacing w:after="0" w:line="259" w:lineRule="auto"/>
              <w:ind w:left="0" w:firstLine="0"/>
            </w:pPr>
            <w:r>
              <w:t>Infections of the lower respiratory tract</w:t>
            </w:r>
          </w:p>
        </w:tc>
        <w:tc>
          <w:tcPr>
            <w:tcW w:w="2520" w:type="dxa"/>
            <w:tcBorders>
              <w:top w:val="single" w:sz="8" w:space="0" w:color="000000"/>
              <w:left w:val="single" w:sz="8" w:space="0" w:color="000000"/>
              <w:bottom w:val="single" w:sz="8" w:space="0" w:color="000000"/>
              <w:right w:val="single" w:sz="8" w:space="0" w:color="000000"/>
            </w:tcBorders>
          </w:tcPr>
          <w:p w14:paraId="1BA966C9" w14:textId="77777777" w:rsidR="00AE0FAF" w:rsidRDefault="00000000">
            <w:pPr>
              <w:spacing w:after="31" w:line="259" w:lineRule="auto"/>
              <w:ind w:left="0" w:firstLine="0"/>
            </w:pPr>
            <w:r>
              <w:t>400 mg twice daily to</w:t>
            </w:r>
          </w:p>
          <w:p w14:paraId="4CD8FB3F"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3B2B6BA4" w14:textId="77777777" w:rsidR="00AE0FAF" w:rsidRDefault="00000000">
            <w:pPr>
              <w:spacing w:after="0" w:line="259" w:lineRule="auto"/>
              <w:ind w:left="0" w:firstLine="0"/>
            </w:pPr>
            <w:r>
              <w:t>7 to 14 days</w:t>
            </w:r>
          </w:p>
        </w:tc>
      </w:tr>
      <w:tr w:rsidR="00AE0FAF" w14:paraId="268E921F" w14:textId="77777777">
        <w:trPr>
          <w:trHeight w:val="620"/>
        </w:trPr>
        <w:tc>
          <w:tcPr>
            <w:tcW w:w="1560" w:type="dxa"/>
            <w:vMerge w:val="restart"/>
            <w:tcBorders>
              <w:top w:val="single" w:sz="8" w:space="0" w:color="000000"/>
              <w:left w:val="single" w:sz="8" w:space="0" w:color="000000"/>
              <w:bottom w:val="single" w:sz="8" w:space="0" w:color="000000"/>
              <w:right w:val="single" w:sz="8" w:space="0" w:color="000000"/>
            </w:tcBorders>
          </w:tcPr>
          <w:p w14:paraId="5BE5AE78" w14:textId="77777777" w:rsidR="00AE0FAF" w:rsidRDefault="00000000">
            <w:pPr>
              <w:spacing w:after="0" w:line="259" w:lineRule="auto"/>
              <w:ind w:left="0" w:right="3" w:firstLine="0"/>
            </w:pPr>
            <w:r>
              <w:t>Infections of the upper respiratory tract</w:t>
            </w:r>
          </w:p>
        </w:tc>
        <w:tc>
          <w:tcPr>
            <w:tcW w:w="2160" w:type="dxa"/>
            <w:tcBorders>
              <w:top w:val="single" w:sz="8" w:space="0" w:color="000000"/>
              <w:left w:val="single" w:sz="8" w:space="0" w:color="000000"/>
              <w:bottom w:val="single" w:sz="8" w:space="0" w:color="000000"/>
              <w:right w:val="single" w:sz="8" w:space="0" w:color="000000"/>
            </w:tcBorders>
          </w:tcPr>
          <w:p w14:paraId="1563061E" w14:textId="77777777" w:rsidR="00AE0FAF" w:rsidRDefault="00000000">
            <w:pPr>
              <w:spacing w:after="0" w:line="259" w:lineRule="auto"/>
              <w:ind w:left="0" w:firstLine="0"/>
              <w:jc w:val="both"/>
            </w:pPr>
            <w:r>
              <w:t>Acute exacerbation of chronic sinusitis</w:t>
            </w:r>
          </w:p>
        </w:tc>
        <w:tc>
          <w:tcPr>
            <w:tcW w:w="2520" w:type="dxa"/>
            <w:tcBorders>
              <w:top w:val="single" w:sz="8" w:space="0" w:color="000000"/>
              <w:left w:val="single" w:sz="8" w:space="0" w:color="000000"/>
              <w:bottom w:val="single" w:sz="8" w:space="0" w:color="000000"/>
              <w:right w:val="single" w:sz="8" w:space="0" w:color="000000"/>
            </w:tcBorders>
          </w:tcPr>
          <w:p w14:paraId="12EE5C2E" w14:textId="77777777" w:rsidR="00AE0FAF" w:rsidRDefault="00000000">
            <w:pPr>
              <w:spacing w:after="31" w:line="259" w:lineRule="auto"/>
              <w:ind w:left="0" w:firstLine="0"/>
            </w:pPr>
            <w:r>
              <w:t>400 mg twice daily to</w:t>
            </w:r>
          </w:p>
          <w:p w14:paraId="5D531BCA"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585DEE5F" w14:textId="77777777" w:rsidR="00AE0FAF" w:rsidRDefault="00000000">
            <w:pPr>
              <w:spacing w:after="0" w:line="259" w:lineRule="auto"/>
              <w:ind w:left="0" w:firstLine="0"/>
            </w:pPr>
            <w:r>
              <w:t>7 to 14 days</w:t>
            </w:r>
          </w:p>
        </w:tc>
      </w:tr>
      <w:tr w:rsidR="00AE0FAF" w14:paraId="580E12D1" w14:textId="77777777">
        <w:trPr>
          <w:trHeight w:val="600"/>
        </w:trPr>
        <w:tc>
          <w:tcPr>
            <w:tcW w:w="0" w:type="auto"/>
            <w:vMerge/>
            <w:tcBorders>
              <w:top w:val="nil"/>
              <w:left w:val="single" w:sz="8" w:space="0" w:color="000000"/>
              <w:bottom w:val="nil"/>
              <w:right w:val="single" w:sz="8" w:space="0" w:color="000000"/>
            </w:tcBorders>
          </w:tcPr>
          <w:p w14:paraId="46888069"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7DB30B1E" w14:textId="77777777" w:rsidR="00AE0FAF" w:rsidRDefault="00000000">
            <w:pPr>
              <w:spacing w:after="0" w:line="259" w:lineRule="auto"/>
              <w:ind w:left="0" w:firstLine="0"/>
            </w:pPr>
            <w:r>
              <w:t>Chronic suppurative otitis media</w:t>
            </w:r>
          </w:p>
        </w:tc>
        <w:tc>
          <w:tcPr>
            <w:tcW w:w="2520" w:type="dxa"/>
            <w:tcBorders>
              <w:top w:val="single" w:sz="8" w:space="0" w:color="000000"/>
              <w:left w:val="single" w:sz="8" w:space="0" w:color="000000"/>
              <w:bottom w:val="single" w:sz="8" w:space="0" w:color="000000"/>
              <w:right w:val="single" w:sz="8" w:space="0" w:color="000000"/>
            </w:tcBorders>
          </w:tcPr>
          <w:p w14:paraId="58BE68F8" w14:textId="77777777" w:rsidR="00AE0FAF" w:rsidRDefault="00000000">
            <w:pPr>
              <w:spacing w:after="31" w:line="259" w:lineRule="auto"/>
              <w:ind w:left="0" w:firstLine="0"/>
            </w:pPr>
            <w:r>
              <w:t>400 mg twice daily to</w:t>
            </w:r>
          </w:p>
          <w:p w14:paraId="1BCDE1AA"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4456FBFE" w14:textId="77777777" w:rsidR="00AE0FAF" w:rsidRDefault="00000000">
            <w:pPr>
              <w:spacing w:after="0" w:line="259" w:lineRule="auto"/>
              <w:ind w:left="0" w:firstLine="0"/>
            </w:pPr>
            <w:r>
              <w:t>7 to 14 days</w:t>
            </w:r>
          </w:p>
        </w:tc>
      </w:tr>
      <w:tr w:rsidR="00AE0FAF" w14:paraId="7EDCFF1A" w14:textId="77777777" w:rsidTr="001B6401">
        <w:trPr>
          <w:trHeight w:val="317"/>
        </w:trPr>
        <w:tc>
          <w:tcPr>
            <w:tcW w:w="0" w:type="auto"/>
            <w:vMerge/>
            <w:tcBorders>
              <w:top w:val="nil"/>
              <w:left w:val="single" w:sz="8" w:space="0" w:color="000000"/>
              <w:bottom w:val="single" w:sz="8" w:space="0" w:color="000000"/>
              <w:right w:val="single" w:sz="8" w:space="0" w:color="000000"/>
            </w:tcBorders>
          </w:tcPr>
          <w:p w14:paraId="2EF4CA12"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7FF8EED3" w14:textId="77777777" w:rsidR="00AE0FAF" w:rsidRDefault="00000000">
            <w:pPr>
              <w:spacing w:after="4" w:line="259" w:lineRule="auto"/>
              <w:ind w:left="0" w:firstLine="0"/>
            </w:pPr>
            <w:r>
              <w:t>Malignant external</w:t>
            </w:r>
          </w:p>
          <w:p w14:paraId="0BEF1023" w14:textId="77777777" w:rsidR="00AE0FAF" w:rsidRDefault="00000000">
            <w:pPr>
              <w:spacing w:after="0" w:line="259" w:lineRule="auto"/>
              <w:ind w:left="0" w:firstLine="0"/>
            </w:pPr>
            <w:r>
              <w:t>otitis</w:t>
            </w:r>
          </w:p>
        </w:tc>
        <w:tc>
          <w:tcPr>
            <w:tcW w:w="2520" w:type="dxa"/>
            <w:tcBorders>
              <w:top w:val="single" w:sz="8" w:space="0" w:color="000000"/>
              <w:left w:val="single" w:sz="8" w:space="0" w:color="000000"/>
              <w:bottom w:val="single" w:sz="8" w:space="0" w:color="000000"/>
              <w:right w:val="single" w:sz="8" w:space="0" w:color="000000"/>
            </w:tcBorders>
          </w:tcPr>
          <w:p w14:paraId="6D4ACF60"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6A028CB6" w14:textId="77777777" w:rsidR="00AE0FAF" w:rsidRDefault="00000000">
            <w:pPr>
              <w:spacing w:after="0" w:line="259" w:lineRule="auto"/>
              <w:ind w:left="0" w:firstLine="0"/>
            </w:pPr>
            <w:r>
              <w:t>28 days up to 3 months</w:t>
            </w:r>
          </w:p>
        </w:tc>
      </w:tr>
      <w:tr w:rsidR="00AE0FAF" w14:paraId="53706255" w14:textId="77777777" w:rsidTr="001B6401">
        <w:trPr>
          <w:cantSplit/>
          <w:trHeight w:val="1440"/>
        </w:trPr>
        <w:tc>
          <w:tcPr>
            <w:tcW w:w="1560" w:type="dxa"/>
            <w:vMerge w:val="restart"/>
            <w:tcBorders>
              <w:top w:val="single" w:sz="8" w:space="0" w:color="000000"/>
              <w:left w:val="single" w:sz="8" w:space="0" w:color="000000"/>
              <w:bottom w:val="single" w:sz="8" w:space="0" w:color="000000"/>
              <w:right w:val="single" w:sz="8" w:space="0" w:color="000000"/>
            </w:tcBorders>
          </w:tcPr>
          <w:p w14:paraId="7F33723E" w14:textId="77777777" w:rsidR="00AE0FAF" w:rsidRDefault="00000000">
            <w:pPr>
              <w:spacing w:after="4" w:line="259" w:lineRule="auto"/>
              <w:ind w:left="0" w:firstLine="0"/>
            </w:pPr>
            <w:r>
              <w:t>Urinary tract</w:t>
            </w:r>
          </w:p>
          <w:p w14:paraId="73B2A0A4" w14:textId="77777777" w:rsidR="00AE0FAF" w:rsidRDefault="00000000">
            <w:pPr>
              <w:spacing w:after="25" w:line="259" w:lineRule="auto"/>
              <w:ind w:left="0" w:firstLine="0"/>
            </w:pPr>
            <w:r>
              <w:t>Infections</w:t>
            </w:r>
          </w:p>
          <w:p w14:paraId="26C9B7FA" w14:textId="77777777" w:rsidR="00AE0FAF" w:rsidRDefault="00000000">
            <w:pPr>
              <w:spacing w:after="4" w:line="259" w:lineRule="auto"/>
              <w:ind w:left="0" w:firstLine="0"/>
            </w:pPr>
            <w:r>
              <w:t>(see section</w:t>
            </w:r>
          </w:p>
          <w:p w14:paraId="23A3CA2A" w14:textId="77777777" w:rsidR="00AE0FAF" w:rsidRDefault="00000000">
            <w:pPr>
              <w:spacing w:after="0" w:line="259" w:lineRule="auto"/>
              <w:ind w:left="0" w:firstLine="0"/>
            </w:pPr>
            <w:r>
              <w:t>4.4)</w:t>
            </w:r>
          </w:p>
        </w:tc>
        <w:tc>
          <w:tcPr>
            <w:tcW w:w="2160" w:type="dxa"/>
            <w:tcBorders>
              <w:top w:val="single" w:sz="8" w:space="0" w:color="000000"/>
              <w:left w:val="single" w:sz="8" w:space="0" w:color="000000"/>
              <w:bottom w:val="single" w:sz="8" w:space="0" w:color="000000"/>
              <w:right w:val="single" w:sz="8" w:space="0" w:color="000000"/>
            </w:tcBorders>
          </w:tcPr>
          <w:p w14:paraId="5D8F66A7" w14:textId="77777777" w:rsidR="00AE0FAF" w:rsidRDefault="00000000">
            <w:pPr>
              <w:spacing w:after="0" w:line="259" w:lineRule="auto"/>
              <w:ind w:left="0" w:firstLine="0"/>
            </w:pPr>
            <w:r>
              <w:t>Complicated pyelonephritis</w:t>
            </w:r>
          </w:p>
        </w:tc>
        <w:tc>
          <w:tcPr>
            <w:tcW w:w="2520" w:type="dxa"/>
            <w:tcBorders>
              <w:top w:val="single" w:sz="8" w:space="0" w:color="000000"/>
              <w:left w:val="single" w:sz="8" w:space="0" w:color="000000"/>
              <w:bottom w:val="single" w:sz="8" w:space="0" w:color="000000"/>
              <w:right w:val="single" w:sz="8" w:space="0" w:color="000000"/>
            </w:tcBorders>
          </w:tcPr>
          <w:p w14:paraId="6161F3C0" w14:textId="77777777" w:rsidR="00AE0FAF" w:rsidRDefault="00000000" w:rsidP="001B6401">
            <w:pPr>
              <w:spacing w:after="31" w:line="259" w:lineRule="auto"/>
              <w:ind w:left="0" w:firstLine="0"/>
            </w:pPr>
            <w:r>
              <w:t>500 mg twice daily to</w:t>
            </w:r>
          </w:p>
          <w:p w14:paraId="05D0F9D9" w14:textId="77777777" w:rsidR="00AE0FAF" w:rsidRDefault="00000000" w:rsidP="001B6401">
            <w:pPr>
              <w:spacing w:after="0" w:line="259" w:lineRule="auto"/>
              <w:ind w:left="0" w:firstLine="0"/>
            </w:pPr>
            <w:r>
              <w:t>750 mg two times a day</w:t>
            </w:r>
          </w:p>
        </w:tc>
        <w:tc>
          <w:tcPr>
            <w:tcW w:w="2700" w:type="dxa"/>
            <w:tcBorders>
              <w:top w:val="single" w:sz="8" w:space="0" w:color="000000"/>
              <w:left w:val="single" w:sz="8" w:space="0" w:color="000000"/>
              <w:bottom w:val="single" w:sz="8" w:space="0" w:color="000000"/>
              <w:right w:val="single" w:sz="8" w:space="0" w:color="000000"/>
            </w:tcBorders>
          </w:tcPr>
          <w:p w14:paraId="3D0DBF4B" w14:textId="77777777" w:rsidR="00AE0FAF" w:rsidRDefault="00000000" w:rsidP="001B6401">
            <w:pPr>
              <w:spacing w:after="0" w:line="259" w:lineRule="auto"/>
              <w:ind w:left="0" w:firstLine="0"/>
            </w:pPr>
            <w:r>
              <w:t xml:space="preserve">Minimum 10 days. </w:t>
            </w:r>
            <w:r>
              <w:rPr>
                <w:rFonts w:ascii="Arial" w:eastAsia="Arial" w:hAnsi="Arial" w:cs="Arial"/>
              </w:rPr>
              <w:t>Ι</w:t>
            </w:r>
            <w:r>
              <w:t>t can be continued for longer than 21 days in some specific circumstances (such as abscesses)</w:t>
            </w:r>
          </w:p>
        </w:tc>
      </w:tr>
      <w:tr w:rsidR="00AE0FAF" w14:paraId="20784A08" w14:textId="77777777" w:rsidTr="001B6401">
        <w:trPr>
          <w:trHeight w:val="880"/>
        </w:trPr>
        <w:tc>
          <w:tcPr>
            <w:tcW w:w="0" w:type="auto"/>
            <w:vMerge/>
            <w:tcBorders>
              <w:top w:val="nil"/>
              <w:left w:val="single" w:sz="8" w:space="0" w:color="000000"/>
              <w:bottom w:val="nil"/>
              <w:right w:val="single" w:sz="8" w:space="0" w:color="000000"/>
            </w:tcBorders>
          </w:tcPr>
          <w:p w14:paraId="197938AA"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5A7F86CE" w14:textId="77777777" w:rsidR="00AE0FAF" w:rsidRDefault="00000000" w:rsidP="001B6401">
            <w:pPr>
              <w:spacing w:after="0" w:line="259" w:lineRule="auto"/>
              <w:ind w:left="0" w:firstLine="0"/>
            </w:pPr>
            <w:r>
              <w:t>Complicated cystitis and uncomplicated pyelonephritis</w:t>
            </w:r>
          </w:p>
        </w:tc>
        <w:tc>
          <w:tcPr>
            <w:tcW w:w="2520" w:type="dxa"/>
            <w:tcBorders>
              <w:top w:val="single" w:sz="8" w:space="0" w:color="000000"/>
              <w:left w:val="single" w:sz="8" w:space="0" w:color="000000"/>
              <w:bottom w:val="single" w:sz="8" w:space="0" w:color="000000"/>
              <w:right w:val="single" w:sz="8" w:space="0" w:color="000000"/>
            </w:tcBorders>
          </w:tcPr>
          <w:p w14:paraId="69637DC0" w14:textId="77777777" w:rsidR="00AE0FAF" w:rsidRDefault="00000000" w:rsidP="001B6401">
            <w:pPr>
              <w:spacing w:after="0" w:line="259" w:lineRule="auto"/>
              <w:ind w:left="0" w:firstLine="0"/>
            </w:pPr>
            <w:r>
              <w:t>500 mg twice a day</w:t>
            </w:r>
          </w:p>
        </w:tc>
        <w:tc>
          <w:tcPr>
            <w:tcW w:w="2700" w:type="dxa"/>
            <w:tcBorders>
              <w:top w:val="single" w:sz="8" w:space="0" w:color="000000"/>
              <w:left w:val="single" w:sz="8" w:space="0" w:color="000000"/>
              <w:bottom w:val="single" w:sz="8" w:space="0" w:color="000000"/>
              <w:right w:val="single" w:sz="8" w:space="0" w:color="000000"/>
            </w:tcBorders>
          </w:tcPr>
          <w:p w14:paraId="28DC24B0" w14:textId="77777777" w:rsidR="00AE0FAF" w:rsidRDefault="00000000">
            <w:pPr>
              <w:spacing w:after="0" w:line="259" w:lineRule="auto"/>
              <w:ind w:left="0" w:firstLine="0"/>
            </w:pPr>
            <w:r>
              <w:t>7 days</w:t>
            </w:r>
          </w:p>
        </w:tc>
      </w:tr>
      <w:tr w:rsidR="00AE0FAF" w14:paraId="3D3F4893" w14:textId="77777777" w:rsidTr="001B6401">
        <w:trPr>
          <w:trHeight w:val="166"/>
        </w:trPr>
        <w:tc>
          <w:tcPr>
            <w:tcW w:w="0" w:type="auto"/>
            <w:vMerge/>
            <w:tcBorders>
              <w:top w:val="nil"/>
              <w:left w:val="single" w:sz="8" w:space="0" w:color="000000"/>
              <w:bottom w:val="nil"/>
              <w:right w:val="single" w:sz="8" w:space="0" w:color="000000"/>
            </w:tcBorders>
          </w:tcPr>
          <w:p w14:paraId="41BCE36E" w14:textId="77777777" w:rsidR="00AE0FAF" w:rsidRDefault="00AE0FAF">
            <w:pPr>
              <w:spacing w:after="160" w:line="259" w:lineRule="auto"/>
              <w:ind w:left="0" w:firstLine="0"/>
            </w:pPr>
          </w:p>
        </w:tc>
        <w:tc>
          <w:tcPr>
            <w:tcW w:w="2160" w:type="dxa"/>
            <w:vMerge w:val="restart"/>
            <w:tcBorders>
              <w:top w:val="single" w:sz="8" w:space="0" w:color="000000"/>
              <w:left w:val="single" w:sz="8" w:space="0" w:color="000000"/>
              <w:bottom w:val="single" w:sz="8" w:space="0" w:color="000000"/>
              <w:right w:val="single" w:sz="8" w:space="0" w:color="000000"/>
            </w:tcBorders>
          </w:tcPr>
          <w:p w14:paraId="066DDA97" w14:textId="77777777" w:rsidR="00AE0FAF" w:rsidRDefault="00000000" w:rsidP="001B6401">
            <w:pPr>
              <w:spacing w:after="4" w:line="259" w:lineRule="auto"/>
              <w:ind w:left="0" w:firstLine="0"/>
            </w:pPr>
            <w:r>
              <w:t>Uncomplicated acute</w:t>
            </w:r>
          </w:p>
          <w:p w14:paraId="3F678E59" w14:textId="77777777" w:rsidR="00AE0FAF" w:rsidRDefault="00000000" w:rsidP="001B6401">
            <w:pPr>
              <w:spacing w:after="0" w:line="259" w:lineRule="auto"/>
              <w:ind w:left="0" w:firstLine="0"/>
            </w:pPr>
            <w:r>
              <w:t>cystitis</w:t>
            </w:r>
          </w:p>
        </w:tc>
        <w:tc>
          <w:tcPr>
            <w:tcW w:w="2520" w:type="dxa"/>
            <w:tcBorders>
              <w:top w:val="single" w:sz="8" w:space="0" w:color="000000"/>
              <w:left w:val="single" w:sz="8" w:space="0" w:color="000000"/>
              <w:bottom w:val="single" w:sz="8" w:space="0" w:color="000000"/>
              <w:right w:val="single" w:sz="8" w:space="0" w:color="000000"/>
            </w:tcBorders>
          </w:tcPr>
          <w:p w14:paraId="02CCCEB8" w14:textId="77777777" w:rsidR="00AE0FAF" w:rsidRDefault="00000000" w:rsidP="001B6401">
            <w:pPr>
              <w:spacing w:after="31" w:line="259" w:lineRule="auto"/>
              <w:ind w:left="0" w:firstLine="0"/>
            </w:pPr>
            <w:r>
              <w:t>250 mg twice a day to</w:t>
            </w:r>
          </w:p>
          <w:p w14:paraId="062308EB" w14:textId="77777777" w:rsidR="00AE0FAF" w:rsidRDefault="00000000" w:rsidP="001B6401">
            <w:pPr>
              <w:spacing w:after="0" w:line="259" w:lineRule="auto"/>
              <w:ind w:left="0" w:firstLine="0"/>
            </w:pPr>
            <w:r>
              <w:t>500 mg two times a day</w:t>
            </w:r>
          </w:p>
        </w:tc>
        <w:tc>
          <w:tcPr>
            <w:tcW w:w="2700" w:type="dxa"/>
            <w:tcBorders>
              <w:top w:val="single" w:sz="8" w:space="0" w:color="000000"/>
              <w:left w:val="single" w:sz="8" w:space="0" w:color="000000"/>
              <w:bottom w:val="single" w:sz="8" w:space="0" w:color="000000"/>
              <w:right w:val="single" w:sz="8" w:space="0" w:color="000000"/>
            </w:tcBorders>
          </w:tcPr>
          <w:p w14:paraId="0919C8F6" w14:textId="77777777" w:rsidR="00AE0FAF" w:rsidRDefault="00000000">
            <w:pPr>
              <w:spacing w:after="0" w:line="259" w:lineRule="auto"/>
              <w:ind w:left="0" w:firstLine="0"/>
            </w:pPr>
            <w:r>
              <w:t>3 days</w:t>
            </w:r>
          </w:p>
        </w:tc>
      </w:tr>
      <w:tr w:rsidR="00AE0FAF" w14:paraId="63FA679C" w14:textId="77777777" w:rsidTr="001B6401">
        <w:trPr>
          <w:trHeight w:val="600"/>
        </w:trPr>
        <w:tc>
          <w:tcPr>
            <w:tcW w:w="0" w:type="auto"/>
            <w:vMerge/>
            <w:tcBorders>
              <w:top w:val="nil"/>
              <w:left w:val="single" w:sz="8" w:space="0" w:color="000000"/>
              <w:bottom w:val="nil"/>
              <w:right w:val="single" w:sz="8" w:space="0" w:color="000000"/>
            </w:tcBorders>
          </w:tcPr>
          <w:p w14:paraId="3FCFFEFF" w14:textId="77777777" w:rsidR="00AE0FAF" w:rsidRDefault="00AE0FAF">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29764ADD" w14:textId="77777777" w:rsidR="00AE0FAF" w:rsidRDefault="00AE0FAF" w:rsidP="001B6401">
            <w:pPr>
              <w:spacing w:after="160" w:line="259" w:lineRule="auto"/>
              <w:ind w:left="0" w:firstLine="0"/>
            </w:pPr>
          </w:p>
        </w:tc>
        <w:tc>
          <w:tcPr>
            <w:tcW w:w="5220" w:type="dxa"/>
            <w:gridSpan w:val="2"/>
            <w:tcBorders>
              <w:top w:val="single" w:sz="8" w:space="0" w:color="000000"/>
              <w:left w:val="single" w:sz="8" w:space="0" w:color="000000"/>
              <w:bottom w:val="single" w:sz="8" w:space="0" w:color="000000"/>
              <w:right w:val="single" w:sz="8" w:space="0" w:color="000000"/>
            </w:tcBorders>
          </w:tcPr>
          <w:p w14:paraId="3A22CC0A" w14:textId="77777777" w:rsidR="00AE0FAF" w:rsidRDefault="00000000" w:rsidP="001B6401">
            <w:pPr>
              <w:spacing w:after="0" w:line="259" w:lineRule="auto"/>
              <w:ind w:left="0" w:firstLine="0"/>
            </w:pPr>
            <w:r>
              <w:t>For preclimateric women, 500 mg can be given as single dose</w:t>
            </w:r>
          </w:p>
        </w:tc>
      </w:tr>
      <w:tr w:rsidR="00AE0FAF" w14:paraId="7098F48F" w14:textId="77777777">
        <w:trPr>
          <w:trHeight w:val="880"/>
        </w:trPr>
        <w:tc>
          <w:tcPr>
            <w:tcW w:w="0" w:type="auto"/>
            <w:vMerge/>
            <w:tcBorders>
              <w:top w:val="nil"/>
              <w:left w:val="single" w:sz="8" w:space="0" w:color="000000"/>
              <w:bottom w:val="single" w:sz="8" w:space="0" w:color="000000"/>
              <w:right w:val="single" w:sz="8" w:space="0" w:color="000000"/>
            </w:tcBorders>
          </w:tcPr>
          <w:p w14:paraId="1865AC8F"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0F99981C" w14:textId="77777777" w:rsidR="00AE0FAF" w:rsidRDefault="00000000">
            <w:pPr>
              <w:spacing w:after="0" w:line="259" w:lineRule="auto"/>
              <w:ind w:left="0" w:firstLine="0"/>
            </w:pPr>
            <w:r>
              <w:t>Prostatitis</w:t>
            </w:r>
          </w:p>
        </w:tc>
        <w:tc>
          <w:tcPr>
            <w:tcW w:w="2520" w:type="dxa"/>
            <w:tcBorders>
              <w:top w:val="single" w:sz="8" w:space="0" w:color="000000"/>
              <w:left w:val="single" w:sz="8" w:space="0" w:color="000000"/>
              <w:bottom w:val="single" w:sz="8" w:space="0" w:color="000000"/>
              <w:right w:val="single" w:sz="8" w:space="0" w:color="000000"/>
            </w:tcBorders>
          </w:tcPr>
          <w:p w14:paraId="126D1974" w14:textId="77777777" w:rsidR="00AE0FAF" w:rsidRDefault="00000000">
            <w:pPr>
              <w:spacing w:after="31" w:line="259" w:lineRule="auto"/>
              <w:ind w:left="0" w:firstLine="0"/>
            </w:pPr>
            <w:r>
              <w:t>500 mg twice daily to</w:t>
            </w:r>
          </w:p>
          <w:p w14:paraId="7E764237" w14:textId="77777777" w:rsidR="00AE0FAF" w:rsidRDefault="00000000">
            <w:pPr>
              <w:spacing w:after="0" w:line="259" w:lineRule="auto"/>
              <w:ind w:left="0" w:firstLine="0"/>
            </w:pPr>
            <w:r>
              <w:t>750 mg two times a day</w:t>
            </w:r>
          </w:p>
        </w:tc>
        <w:tc>
          <w:tcPr>
            <w:tcW w:w="2700" w:type="dxa"/>
            <w:tcBorders>
              <w:top w:val="single" w:sz="8" w:space="0" w:color="000000"/>
              <w:left w:val="single" w:sz="8" w:space="0" w:color="000000"/>
              <w:bottom w:val="single" w:sz="8" w:space="0" w:color="000000"/>
              <w:right w:val="single" w:sz="8" w:space="0" w:color="000000"/>
            </w:tcBorders>
          </w:tcPr>
          <w:p w14:paraId="19D73856" w14:textId="77777777" w:rsidR="00AE0FAF" w:rsidRDefault="00000000">
            <w:pPr>
              <w:spacing w:after="0" w:line="259" w:lineRule="auto"/>
              <w:ind w:left="0" w:right="68" w:firstLine="0"/>
            </w:pPr>
            <w:r>
              <w:t>From 2 to 4 weeks (acute) to 4 to 6 weeks (chronic)</w:t>
            </w:r>
          </w:p>
        </w:tc>
      </w:tr>
      <w:tr w:rsidR="00AE0FAF" w14:paraId="12A26444" w14:textId="77777777">
        <w:trPr>
          <w:trHeight w:val="1040"/>
        </w:trPr>
        <w:tc>
          <w:tcPr>
            <w:tcW w:w="1560" w:type="dxa"/>
            <w:tcBorders>
              <w:top w:val="single" w:sz="8" w:space="0" w:color="000000"/>
              <w:left w:val="single" w:sz="8" w:space="0" w:color="000000"/>
              <w:bottom w:val="single" w:sz="8" w:space="0" w:color="000000"/>
              <w:right w:val="single" w:sz="8" w:space="0" w:color="000000"/>
            </w:tcBorders>
          </w:tcPr>
          <w:p w14:paraId="36EB106E" w14:textId="77777777" w:rsidR="00AE0FAF" w:rsidRDefault="00000000">
            <w:pPr>
              <w:spacing w:after="0" w:line="259" w:lineRule="auto"/>
              <w:ind w:left="0" w:firstLine="0"/>
            </w:pPr>
            <w:r>
              <w:lastRenderedPageBreak/>
              <w:t>Genital tract infections</w:t>
            </w:r>
          </w:p>
        </w:tc>
        <w:tc>
          <w:tcPr>
            <w:tcW w:w="2160" w:type="dxa"/>
            <w:tcBorders>
              <w:top w:val="single" w:sz="8" w:space="0" w:color="000000"/>
              <w:left w:val="single" w:sz="8" w:space="0" w:color="000000"/>
              <w:bottom w:val="single" w:sz="8" w:space="0" w:color="000000"/>
              <w:right w:val="single" w:sz="8" w:space="0" w:color="000000"/>
            </w:tcBorders>
            <w:vAlign w:val="center"/>
          </w:tcPr>
          <w:p w14:paraId="72E216D0" w14:textId="77777777" w:rsidR="00AE0FAF" w:rsidRDefault="00000000">
            <w:pPr>
              <w:spacing w:after="0" w:line="259" w:lineRule="auto"/>
              <w:ind w:left="0" w:firstLine="0"/>
            </w:pPr>
            <w:r>
              <w:t>Epididymo-orchitis and pelvic inflammatory diseases</w:t>
            </w:r>
          </w:p>
        </w:tc>
        <w:tc>
          <w:tcPr>
            <w:tcW w:w="2520" w:type="dxa"/>
            <w:tcBorders>
              <w:top w:val="single" w:sz="8" w:space="0" w:color="000000"/>
              <w:left w:val="single" w:sz="8" w:space="0" w:color="000000"/>
              <w:bottom w:val="single" w:sz="8" w:space="0" w:color="000000"/>
              <w:right w:val="single" w:sz="8" w:space="0" w:color="000000"/>
            </w:tcBorders>
          </w:tcPr>
          <w:p w14:paraId="66921502" w14:textId="77777777" w:rsidR="00AE0FAF" w:rsidRDefault="00000000">
            <w:pPr>
              <w:spacing w:after="31" w:line="259" w:lineRule="auto"/>
              <w:ind w:left="0" w:firstLine="0"/>
            </w:pPr>
            <w:r>
              <w:t>400 mg twice daily to</w:t>
            </w:r>
          </w:p>
          <w:p w14:paraId="0D3CD9B4"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7278780C" w14:textId="77777777" w:rsidR="00AE0FAF" w:rsidRDefault="00000000">
            <w:pPr>
              <w:spacing w:after="0" w:line="259" w:lineRule="auto"/>
              <w:ind w:left="0" w:firstLine="0"/>
            </w:pPr>
            <w:r>
              <w:t>at least 14 days</w:t>
            </w:r>
          </w:p>
        </w:tc>
      </w:tr>
      <w:tr w:rsidR="00AE0FAF" w14:paraId="2E7779EF" w14:textId="77777777">
        <w:trPr>
          <w:trHeight w:val="2260"/>
        </w:trPr>
        <w:tc>
          <w:tcPr>
            <w:tcW w:w="1560" w:type="dxa"/>
            <w:vMerge w:val="restart"/>
            <w:tcBorders>
              <w:top w:val="single" w:sz="8" w:space="0" w:color="000000"/>
              <w:left w:val="single" w:sz="8" w:space="0" w:color="000000"/>
              <w:bottom w:val="single" w:sz="8" w:space="0" w:color="000000"/>
              <w:right w:val="single" w:sz="8" w:space="0" w:color="000000"/>
            </w:tcBorders>
          </w:tcPr>
          <w:p w14:paraId="7AED3A93" w14:textId="77777777" w:rsidR="00AE0FAF" w:rsidRDefault="00000000">
            <w:pPr>
              <w:spacing w:after="0" w:line="259" w:lineRule="auto"/>
              <w:ind w:left="0" w:firstLine="0"/>
            </w:pPr>
            <w:r>
              <w:t>Infections of the gastrointestinal tract and intraabdominal infections</w:t>
            </w:r>
          </w:p>
        </w:tc>
        <w:tc>
          <w:tcPr>
            <w:tcW w:w="2160" w:type="dxa"/>
            <w:tcBorders>
              <w:top w:val="single" w:sz="8" w:space="0" w:color="000000"/>
              <w:left w:val="single" w:sz="8" w:space="0" w:color="000000"/>
              <w:bottom w:val="single" w:sz="8" w:space="0" w:color="000000"/>
              <w:right w:val="single" w:sz="8" w:space="0" w:color="000000"/>
            </w:tcBorders>
          </w:tcPr>
          <w:p w14:paraId="79ED0A3E" w14:textId="77777777" w:rsidR="00AE0FAF" w:rsidRDefault="00000000">
            <w:pPr>
              <w:spacing w:after="0" w:line="259" w:lineRule="auto"/>
              <w:ind w:left="0" w:firstLine="0"/>
            </w:pPr>
            <w:r>
              <w:t xml:space="preserve">Diarrhoea caused by bacterial pathogens including </w:t>
            </w:r>
            <w:r>
              <w:rPr>
                <w:i/>
              </w:rPr>
              <w:t xml:space="preserve">Shigella </w:t>
            </w:r>
            <w:r>
              <w:t xml:space="preserve">spp. other than </w:t>
            </w:r>
            <w:r>
              <w:rPr>
                <w:i/>
              </w:rPr>
              <w:t xml:space="preserve">Shigella dysenteriae </w:t>
            </w:r>
            <w:r>
              <w:t>type 1 and empirical treatment of severe travellers’ diarrhoea</w:t>
            </w:r>
          </w:p>
        </w:tc>
        <w:tc>
          <w:tcPr>
            <w:tcW w:w="2520" w:type="dxa"/>
            <w:tcBorders>
              <w:top w:val="single" w:sz="8" w:space="0" w:color="000000"/>
              <w:left w:val="single" w:sz="8" w:space="0" w:color="000000"/>
              <w:bottom w:val="single" w:sz="8" w:space="0" w:color="000000"/>
              <w:right w:val="single" w:sz="8" w:space="0" w:color="000000"/>
            </w:tcBorders>
          </w:tcPr>
          <w:p w14:paraId="15AEDB7F" w14:textId="77777777" w:rsidR="00AE0FAF" w:rsidRDefault="00000000">
            <w:pPr>
              <w:spacing w:after="0" w:line="259" w:lineRule="auto"/>
              <w:ind w:left="0" w:firstLine="0"/>
            </w:pPr>
            <w:r>
              <w:t>400 mg twice daily</w:t>
            </w:r>
          </w:p>
        </w:tc>
        <w:tc>
          <w:tcPr>
            <w:tcW w:w="2700" w:type="dxa"/>
            <w:tcBorders>
              <w:top w:val="single" w:sz="8" w:space="0" w:color="000000"/>
              <w:left w:val="single" w:sz="8" w:space="0" w:color="000000"/>
              <w:bottom w:val="single" w:sz="8" w:space="0" w:color="000000"/>
              <w:right w:val="single" w:sz="8" w:space="0" w:color="000000"/>
            </w:tcBorders>
          </w:tcPr>
          <w:p w14:paraId="70274B0F" w14:textId="77777777" w:rsidR="00AE0FAF" w:rsidRDefault="00000000">
            <w:pPr>
              <w:spacing w:after="0" w:line="259" w:lineRule="auto"/>
              <w:ind w:left="0" w:firstLine="0"/>
            </w:pPr>
            <w:r>
              <w:t>1 day</w:t>
            </w:r>
          </w:p>
        </w:tc>
      </w:tr>
      <w:tr w:rsidR="00AE0FAF" w14:paraId="4E566281" w14:textId="77777777">
        <w:trPr>
          <w:trHeight w:val="880"/>
        </w:trPr>
        <w:tc>
          <w:tcPr>
            <w:tcW w:w="0" w:type="auto"/>
            <w:vMerge/>
            <w:tcBorders>
              <w:top w:val="nil"/>
              <w:left w:val="single" w:sz="8" w:space="0" w:color="000000"/>
              <w:bottom w:val="nil"/>
              <w:right w:val="single" w:sz="8" w:space="0" w:color="000000"/>
            </w:tcBorders>
          </w:tcPr>
          <w:p w14:paraId="388D867D"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286D39E3" w14:textId="77777777" w:rsidR="00AE0FAF" w:rsidRDefault="00000000">
            <w:pPr>
              <w:spacing w:after="0" w:line="259" w:lineRule="auto"/>
              <w:ind w:left="0" w:firstLine="0"/>
            </w:pPr>
            <w:r>
              <w:t xml:space="preserve">Diarrhoea caused by </w:t>
            </w:r>
            <w:r>
              <w:rPr>
                <w:i/>
              </w:rPr>
              <w:t xml:space="preserve">Shigella dysenteriae </w:t>
            </w:r>
            <w:r>
              <w:t>type 1</w:t>
            </w:r>
          </w:p>
        </w:tc>
        <w:tc>
          <w:tcPr>
            <w:tcW w:w="2520" w:type="dxa"/>
            <w:tcBorders>
              <w:top w:val="single" w:sz="8" w:space="0" w:color="000000"/>
              <w:left w:val="single" w:sz="8" w:space="0" w:color="000000"/>
              <w:bottom w:val="single" w:sz="8" w:space="0" w:color="000000"/>
              <w:right w:val="single" w:sz="8" w:space="0" w:color="000000"/>
            </w:tcBorders>
          </w:tcPr>
          <w:p w14:paraId="01527017" w14:textId="77777777" w:rsidR="00AE0FAF" w:rsidRDefault="00000000">
            <w:pPr>
              <w:spacing w:after="0" w:line="259" w:lineRule="auto"/>
              <w:ind w:left="0" w:firstLine="0"/>
            </w:pPr>
            <w:r>
              <w:t>400 mg twice daily</w:t>
            </w:r>
          </w:p>
        </w:tc>
        <w:tc>
          <w:tcPr>
            <w:tcW w:w="2700" w:type="dxa"/>
            <w:tcBorders>
              <w:top w:val="single" w:sz="8" w:space="0" w:color="000000"/>
              <w:left w:val="single" w:sz="8" w:space="0" w:color="000000"/>
              <w:bottom w:val="single" w:sz="8" w:space="0" w:color="000000"/>
              <w:right w:val="single" w:sz="8" w:space="0" w:color="000000"/>
            </w:tcBorders>
          </w:tcPr>
          <w:p w14:paraId="52A2E5CA" w14:textId="77777777" w:rsidR="00AE0FAF" w:rsidRDefault="00000000">
            <w:pPr>
              <w:spacing w:after="0" w:line="259" w:lineRule="auto"/>
              <w:ind w:left="0" w:firstLine="0"/>
            </w:pPr>
            <w:r>
              <w:t>5 days</w:t>
            </w:r>
          </w:p>
        </w:tc>
      </w:tr>
      <w:tr w:rsidR="00AE0FAF" w14:paraId="21F15030" w14:textId="77777777">
        <w:trPr>
          <w:trHeight w:val="600"/>
        </w:trPr>
        <w:tc>
          <w:tcPr>
            <w:tcW w:w="0" w:type="auto"/>
            <w:vMerge/>
            <w:tcBorders>
              <w:top w:val="nil"/>
              <w:left w:val="single" w:sz="8" w:space="0" w:color="000000"/>
              <w:bottom w:val="nil"/>
              <w:right w:val="single" w:sz="8" w:space="0" w:color="000000"/>
            </w:tcBorders>
          </w:tcPr>
          <w:p w14:paraId="630DD849"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252F582A" w14:textId="77777777" w:rsidR="00AE0FAF" w:rsidRDefault="00000000">
            <w:pPr>
              <w:spacing w:after="30" w:line="259" w:lineRule="auto"/>
              <w:ind w:left="0" w:firstLine="0"/>
            </w:pPr>
            <w:r>
              <w:t>Diarrhoea caused by</w:t>
            </w:r>
          </w:p>
          <w:p w14:paraId="24560F76" w14:textId="77777777" w:rsidR="00AE0FAF" w:rsidRDefault="00000000">
            <w:pPr>
              <w:spacing w:after="0" w:line="259" w:lineRule="auto"/>
              <w:ind w:left="0" w:firstLine="0"/>
            </w:pPr>
            <w:r>
              <w:rPr>
                <w:i/>
              </w:rPr>
              <w:t>Vibrio cholerae</w:t>
            </w:r>
          </w:p>
        </w:tc>
        <w:tc>
          <w:tcPr>
            <w:tcW w:w="2520" w:type="dxa"/>
            <w:tcBorders>
              <w:top w:val="single" w:sz="8" w:space="0" w:color="000000"/>
              <w:left w:val="single" w:sz="8" w:space="0" w:color="000000"/>
              <w:bottom w:val="single" w:sz="8" w:space="0" w:color="000000"/>
              <w:right w:val="single" w:sz="8" w:space="0" w:color="000000"/>
            </w:tcBorders>
          </w:tcPr>
          <w:p w14:paraId="149BF14B" w14:textId="77777777" w:rsidR="00AE0FAF" w:rsidRDefault="00000000">
            <w:pPr>
              <w:spacing w:after="0" w:line="259" w:lineRule="auto"/>
              <w:ind w:left="0" w:firstLine="0"/>
            </w:pPr>
            <w:r>
              <w:t>400 mg twice daily</w:t>
            </w:r>
          </w:p>
        </w:tc>
        <w:tc>
          <w:tcPr>
            <w:tcW w:w="2700" w:type="dxa"/>
            <w:tcBorders>
              <w:top w:val="single" w:sz="8" w:space="0" w:color="000000"/>
              <w:left w:val="single" w:sz="8" w:space="0" w:color="000000"/>
              <w:bottom w:val="single" w:sz="8" w:space="0" w:color="000000"/>
              <w:right w:val="single" w:sz="8" w:space="0" w:color="000000"/>
            </w:tcBorders>
          </w:tcPr>
          <w:p w14:paraId="3D849267" w14:textId="77777777" w:rsidR="00AE0FAF" w:rsidRDefault="00000000">
            <w:pPr>
              <w:spacing w:after="0" w:line="259" w:lineRule="auto"/>
              <w:ind w:left="0" w:firstLine="0"/>
            </w:pPr>
            <w:r>
              <w:t>3 days</w:t>
            </w:r>
          </w:p>
        </w:tc>
      </w:tr>
      <w:tr w:rsidR="00AE0FAF" w14:paraId="4365C9F1" w14:textId="77777777">
        <w:trPr>
          <w:trHeight w:val="340"/>
        </w:trPr>
        <w:tc>
          <w:tcPr>
            <w:tcW w:w="0" w:type="auto"/>
            <w:vMerge/>
            <w:tcBorders>
              <w:top w:val="nil"/>
              <w:left w:val="single" w:sz="8" w:space="0" w:color="000000"/>
              <w:bottom w:val="nil"/>
              <w:right w:val="single" w:sz="8" w:space="0" w:color="000000"/>
            </w:tcBorders>
          </w:tcPr>
          <w:p w14:paraId="419E01F3"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65BDB02D" w14:textId="77777777" w:rsidR="00AE0FAF" w:rsidRDefault="00000000">
            <w:pPr>
              <w:spacing w:after="0" w:line="259" w:lineRule="auto"/>
              <w:ind w:left="0" w:firstLine="0"/>
            </w:pPr>
            <w:r>
              <w:t>Typhoid fever</w:t>
            </w:r>
          </w:p>
        </w:tc>
        <w:tc>
          <w:tcPr>
            <w:tcW w:w="2520" w:type="dxa"/>
            <w:tcBorders>
              <w:top w:val="single" w:sz="8" w:space="0" w:color="000000"/>
              <w:left w:val="single" w:sz="8" w:space="0" w:color="000000"/>
              <w:bottom w:val="single" w:sz="8" w:space="0" w:color="000000"/>
              <w:right w:val="single" w:sz="8" w:space="0" w:color="000000"/>
            </w:tcBorders>
          </w:tcPr>
          <w:p w14:paraId="391C9394" w14:textId="77777777" w:rsidR="00AE0FAF" w:rsidRDefault="00000000">
            <w:pPr>
              <w:spacing w:after="0" w:line="259" w:lineRule="auto"/>
              <w:ind w:left="0" w:firstLine="0"/>
            </w:pPr>
            <w:r>
              <w:t>400 mg twice daily</w:t>
            </w:r>
          </w:p>
        </w:tc>
        <w:tc>
          <w:tcPr>
            <w:tcW w:w="2700" w:type="dxa"/>
            <w:tcBorders>
              <w:top w:val="single" w:sz="8" w:space="0" w:color="000000"/>
              <w:left w:val="single" w:sz="8" w:space="0" w:color="000000"/>
              <w:bottom w:val="single" w:sz="8" w:space="0" w:color="000000"/>
              <w:right w:val="single" w:sz="8" w:space="0" w:color="000000"/>
            </w:tcBorders>
          </w:tcPr>
          <w:p w14:paraId="18565774" w14:textId="77777777" w:rsidR="00AE0FAF" w:rsidRDefault="00000000">
            <w:pPr>
              <w:spacing w:after="0" w:line="259" w:lineRule="auto"/>
              <w:ind w:left="0" w:firstLine="0"/>
            </w:pPr>
            <w:r>
              <w:t>7 days</w:t>
            </w:r>
          </w:p>
        </w:tc>
      </w:tr>
      <w:tr w:rsidR="00AE0FAF" w14:paraId="0BC03BC2" w14:textId="77777777">
        <w:trPr>
          <w:trHeight w:val="1140"/>
        </w:trPr>
        <w:tc>
          <w:tcPr>
            <w:tcW w:w="0" w:type="auto"/>
            <w:vMerge/>
            <w:tcBorders>
              <w:top w:val="nil"/>
              <w:left w:val="single" w:sz="8" w:space="0" w:color="000000"/>
              <w:bottom w:val="single" w:sz="8" w:space="0" w:color="000000"/>
              <w:right w:val="single" w:sz="8" w:space="0" w:color="000000"/>
            </w:tcBorders>
          </w:tcPr>
          <w:p w14:paraId="3301035C" w14:textId="77777777" w:rsidR="00AE0FAF" w:rsidRDefault="00AE0FAF">
            <w:pPr>
              <w:spacing w:after="160" w:line="259" w:lineRule="auto"/>
              <w:ind w:left="0" w:firstLine="0"/>
            </w:pPr>
          </w:p>
        </w:tc>
        <w:tc>
          <w:tcPr>
            <w:tcW w:w="2160" w:type="dxa"/>
            <w:tcBorders>
              <w:top w:val="single" w:sz="8" w:space="0" w:color="000000"/>
              <w:left w:val="single" w:sz="8" w:space="0" w:color="000000"/>
              <w:bottom w:val="single" w:sz="8" w:space="0" w:color="000000"/>
              <w:right w:val="single" w:sz="8" w:space="0" w:color="000000"/>
            </w:tcBorders>
          </w:tcPr>
          <w:p w14:paraId="48EAADF9" w14:textId="77777777" w:rsidR="00AE0FAF" w:rsidRDefault="00000000">
            <w:pPr>
              <w:spacing w:after="0" w:line="259" w:lineRule="auto"/>
              <w:ind w:left="0" w:firstLine="0"/>
            </w:pPr>
            <w:r>
              <w:t>Intra-abdominal infections due to Gram-negative bacteria</w:t>
            </w:r>
          </w:p>
        </w:tc>
        <w:tc>
          <w:tcPr>
            <w:tcW w:w="2520" w:type="dxa"/>
            <w:tcBorders>
              <w:top w:val="single" w:sz="8" w:space="0" w:color="000000"/>
              <w:left w:val="single" w:sz="8" w:space="0" w:color="000000"/>
              <w:bottom w:val="single" w:sz="8" w:space="0" w:color="000000"/>
              <w:right w:val="single" w:sz="8" w:space="0" w:color="000000"/>
            </w:tcBorders>
          </w:tcPr>
          <w:p w14:paraId="6E210338" w14:textId="77777777" w:rsidR="00AE0FAF" w:rsidRDefault="00000000">
            <w:pPr>
              <w:spacing w:after="31" w:line="259" w:lineRule="auto"/>
              <w:ind w:left="0" w:firstLine="0"/>
            </w:pPr>
            <w:r>
              <w:t>400 mg twice daily to</w:t>
            </w:r>
          </w:p>
          <w:p w14:paraId="03856C6A"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309CD5BB" w14:textId="77777777" w:rsidR="00AE0FAF" w:rsidRDefault="00000000">
            <w:pPr>
              <w:spacing w:after="0" w:line="259" w:lineRule="auto"/>
              <w:ind w:left="0" w:firstLine="0"/>
            </w:pPr>
            <w:r>
              <w:t>5 to 14 days</w:t>
            </w:r>
          </w:p>
        </w:tc>
      </w:tr>
      <w:tr w:rsidR="00AE0FAF" w14:paraId="47B9D194" w14:textId="77777777">
        <w:trPr>
          <w:trHeight w:val="600"/>
        </w:trPr>
        <w:tc>
          <w:tcPr>
            <w:tcW w:w="3720" w:type="dxa"/>
            <w:gridSpan w:val="2"/>
            <w:tcBorders>
              <w:top w:val="single" w:sz="8" w:space="0" w:color="000000"/>
              <w:left w:val="single" w:sz="8" w:space="0" w:color="000000"/>
              <w:bottom w:val="single" w:sz="8" w:space="0" w:color="000000"/>
              <w:right w:val="single" w:sz="8" w:space="0" w:color="000000"/>
            </w:tcBorders>
          </w:tcPr>
          <w:p w14:paraId="68C12644" w14:textId="77777777" w:rsidR="00AE0FAF" w:rsidRDefault="00000000">
            <w:pPr>
              <w:spacing w:after="0" w:line="259" w:lineRule="auto"/>
              <w:ind w:left="0" w:firstLine="0"/>
            </w:pPr>
            <w:r>
              <w:t>Infections of the skin and soft tissue</w:t>
            </w:r>
          </w:p>
        </w:tc>
        <w:tc>
          <w:tcPr>
            <w:tcW w:w="2520" w:type="dxa"/>
            <w:tcBorders>
              <w:top w:val="single" w:sz="8" w:space="0" w:color="000000"/>
              <w:left w:val="single" w:sz="8" w:space="0" w:color="000000"/>
              <w:bottom w:val="single" w:sz="8" w:space="0" w:color="000000"/>
              <w:right w:val="single" w:sz="8" w:space="0" w:color="000000"/>
            </w:tcBorders>
            <w:vAlign w:val="bottom"/>
          </w:tcPr>
          <w:p w14:paraId="54E5DFA9" w14:textId="77777777" w:rsidR="00AE0FAF" w:rsidRDefault="00000000">
            <w:pPr>
              <w:spacing w:after="31" w:line="259" w:lineRule="auto"/>
              <w:ind w:left="0" w:firstLine="0"/>
            </w:pPr>
            <w:r>
              <w:t>400 mg twice daily to</w:t>
            </w:r>
          </w:p>
          <w:p w14:paraId="11C231E3"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62007C9F" w14:textId="77777777" w:rsidR="00AE0FAF" w:rsidRDefault="00000000">
            <w:pPr>
              <w:spacing w:after="0" w:line="259" w:lineRule="auto"/>
              <w:ind w:left="0" w:firstLine="0"/>
            </w:pPr>
            <w:r>
              <w:t>7 to 14 days</w:t>
            </w:r>
          </w:p>
        </w:tc>
      </w:tr>
      <w:tr w:rsidR="00AE0FAF" w14:paraId="691982A2" w14:textId="77777777">
        <w:trPr>
          <w:trHeight w:val="620"/>
        </w:trPr>
        <w:tc>
          <w:tcPr>
            <w:tcW w:w="3720" w:type="dxa"/>
            <w:gridSpan w:val="2"/>
            <w:tcBorders>
              <w:top w:val="single" w:sz="8" w:space="0" w:color="000000"/>
              <w:left w:val="single" w:sz="8" w:space="0" w:color="000000"/>
              <w:bottom w:val="single" w:sz="8" w:space="0" w:color="000000"/>
              <w:right w:val="single" w:sz="8" w:space="0" w:color="000000"/>
            </w:tcBorders>
          </w:tcPr>
          <w:p w14:paraId="3EA9F13C" w14:textId="77777777" w:rsidR="00AE0FAF" w:rsidRDefault="00000000">
            <w:pPr>
              <w:spacing w:after="0" w:line="259" w:lineRule="auto"/>
              <w:ind w:left="0" w:firstLine="0"/>
            </w:pPr>
            <w:r>
              <w:t>Bone and joint infections</w:t>
            </w:r>
          </w:p>
        </w:tc>
        <w:tc>
          <w:tcPr>
            <w:tcW w:w="2520" w:type="dxa"/>
            <w:tcBorders>
              <w:top w:val="single" w:sz="8" w:space="0" w:color="000000"/>
              <w:left w:val="single" w:sz="8" w:space="0" w:color="000000"/>
              <w:bottom w:val="single" w:sz="8" w:space="0" w:color="000000"/>
              <w:right w:val="single" w:sz="8" w:space="0" w:color="000000"/>
            </w:tcBorders>
          </w:tcPr>
          <w:p w14:paraId="189855CE" w14:textId="77777777" w:rsidR="00AE0FAF" w:rsidRDefault="00000000">
            <w:pPr>
              <w:spacing w:after="31" w:line="259" w:lineRule="auto"/>
              <w:ind w:left="0" w:firstLine="0"/>
            </w:pPr>
            <w:r>
              <w:t>400 mg twice daily to</w:t>
            </w:r>
          </w:p>
          <w:p w14:paraId="27206C7F"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21EF0181" w14:textId="77777777" w:rsidR="00AE0FAF" w:rsidRDefault="00000000">
            <w:pPr>
              <w:spacing w:after="0" w:line="259" w:lineRule="auto"/>
              <w:ind w:left="0" w:firstLine="0"/>
            </w:pPr>
            <w:r>
              <w:t>max. of 3 months</w:t>
            </w:r>
          </w:p>
        </w:tc>
      </w:tr>
      <w:tr w:rsidR="00AE0FAF" w14:paraId="5C9CDAF7" w14:textId="77777777" w:rsidTr="001B6401">
        <w:trPr>
          <w:trHeight w:val="924"/>
        </w:trPr>
        <w:tc>
          <w:tcPr>
            <w:tcW w:w="3720" w:type="dxa"/>
            <w:gridSpan w:val="2"/>
            <w:tcBorders>
              <w:top w:val="single" w:sz="8" w:space="0" w:color="000000"/>
              <w:left w:val="single" w:sz="8" w:space="0" w:color="000000"/>
              <w:bottom w:val="single" w:sz="8" w:space="0" w:color="000000"/>
              <w:right w:val="single" w:sz="8" w:space="0" w:color="000000"/>
            </w:tcBorders>
          </w:tcPr>
          <w:p w14:paraId="12B579B7" w14:textId="77777777" w:rsidR="00AE0FAF" w:rsidRDefault="00000000">
            <w:pPr>
              <w:spacing w:after="0" w:line="259" w:lineRule="auto"/>
              <w:ind w:left="0" w:firstLine="0"/>
            </w:pPr>
            <w:r>
              <w:t>Neutropenic patients with fever that is suspected to be due to a bacterial infection,</w:t>
            </w:r>
          </w:p>
        </w:tc>
        <w:tc>
          <w:tcPr>
            <w:tcW w:w="2520" w:type="dxa"/>
            <w:tcBorders>
              <w:top w:val="single" w:sz="8" w:space="0" w:color="000000"/>
              <w:left w:val="single" w:sz="8" w:space="0" w:color="000000"/>
              <w:bottom w:val="single" w:sz="8" w:space="0" w:color="000000"/>
              <w:right w:val="single" w:sz="8" w:space="0" w:color="000000"/>
            </w:tcBorders>
          </w:tcPr>
          <w:p w14:paraId="570B146E" w14:textId="77777777" w:rsidR="00AE0FAF" w:rsidRDefault="00000000">
            <w:pPr>
              <w:spacing w:after="31" w:line="259" w:lineRule="auto"/>
              <w:ind w:left="0" w:firstLine="0"/>
            </w:pPr>
            <w:r>
              <w:t>400 mg twice daily to</w:t>
            </w:r>
          </w:p>
          <w:p w14:paraId="5F1BAD94" w14:textId="77777777" w:rsidR="00AE0FAF" w:rsidRDefault="00000000">
            <w:pPr>
              <w:spacing w:after="0" w:line="259" w:lineRule="auto"/>
              <w:ind w:left="0" w:firstLine="0"/>
            </w:pPr>
            <w:r>
              <w:t>400 mg three times a day</w:t>
            </w:r>
          </w:p>
        </w:tc>
        <w:tc>
          <w:tcPr>
            <w:tcW w:w="2700" w:type="dxa"/>
            <w:tcBorders>
              <w:top w:val="single" w:sz="8" w:space="0" w:color="000000"/>
              <w:left w:val="single" w:sz="8" w:space="0" w:color="000000"/>
              <w:bottom w:val="single" w:sz="8" w:space="0" w:color="000000"/>
              <w:right w:val="single" w:sz="8" w:space="0" w:color="000000"/>
            </w:tcBorders>
          </w:tcPr>
          <w:p w14:paraId="43DEFD01" w14:textId="77777777" w:rsidR="00AE0FAF" w:rsidRDefault="00000000">
            <w:pPr>
              <w:spacing w:after="0" w:line="259" w:lineRule="auto"/>
              <w:ind w:left="0" w:firstLine="0"/>
            </w:pPr>
            <w:r>
              <w:t>Therapy should be continued over the entire period of neutropenia</w:t>
            </w:r>
          </w:p>
        </w:tc>
      </w:tr>
      <w:tr w:rsidR="001A540A" w14:paraId="7AF107FA" w14:textId="77777777" w:rsidTr="001A540A">
        <w:trPr>
          <w:trHeight w:val="1180"/>
        </w:trPr>
        <w:tc>
          <w:tcPr>
            <w:tcW w:w="8940" w:type="dxa"/>
            <w:gridSpan w:val="4"/>
            <w:tcBorders>
              <w:top w:val="single" w:sz="8" w:space="0" w:color="000000"/>
              <w:left w:val="single" w:sz="8" w:space="0" w:color="000000"/>
              <w:bottom w:val="single" w:sz="8" w:space="0" w:color="000000"/>
              <w:right w:val="single" w:sz="8" w:space="0" w:color="000000"/>
            </w:tcBorders>
          </w:tcPr>
          <w:p w14:paraId="72FC69AB" w14:textId="77777777" w:rsidR="001A540A" w:rsidRDefault="001A540A" w:rsidP="001A540A">
            <w:pPr>
              <w:spacing w:after="13" w:line="259" w:lineRule="auto"/>
              <w:ind w:left="0" w:firstLine="0"/>
            </w:pPr>
            <w:r>
              <w:rPr>
                <w:color w:val="FF0000"/>
                <w:sz w:val="24"/>
              </w:rPr>
              <w:t xml:space="preserve">&lt;GENERIC NAME&gt; </w:t>
            </w:r>
            <w:r>
              <w:t>should be</w:t>
            </w:r>
          </w:p>
          <w:p w14:paraId="5EEB10D1" w14:textId="586EAFAB" w:rsidR="001A540A" w:rsidRDefault="001A540A" w:rsidP="001A540A">
            <w:pPr>
              <w:spacing w:after="160" w:line="259" w:lineRule="auto"/>
              <w:ind w:left="0" w:firstLine="0"/>
            </w:pPr>
            <w:r>
              <w:t>coadministered with appropriate antibacterial agent(s) in accordance to official guidance.</w:t>
            </w:r>
          </w:p>
        </w:tc>
      </w:tr>
      <w:tr w:rsidR="00AE0FAF" w14:paraId="558D40C0" w14:textId="77777777">
        <w:trPr>
          <w:trHeight w:val="1840"/>
        </w:trPr>
        <w:tc>
          <w:tcPr>
            <w:tcW w:w="3720" w:type="dxa"/>
            <w:gridSpan w:val="2"/>
            <w:tcBorders>
              <w:top w:val="single" w:sz="8" w:space="0" w:color="000000"/>
              <w:left w:val="single" w:sz="8" w:space="0" w:color="000000"/>
              <w:bottom w:val="single" w:sz="8" w:space="0" w:color="000000"/>
              <w:right w:val="single" w:sz="8" w:space="0" w:color="000000"/>
            </w:tcBorders>
          </w:tcPr>
          <w:p w14:paraId="0BCBEACC" w14:textId="77777777" w:rsidR="00AE0FAF" w:rsidRDefault="00000000">
            <w:pPr>
              <w:spacing w:after="0" w:line="259" w:lineRule="auto"/>
              <w:ind w:left="0" w:firstLine="0"/>
            </w:pPr>
            <w:r>
              <w:lastRenderedPageBreak/>
              <w:t>Inhalation anthrax post-exposure prophylaxis and curative treatment for persons requiring parenteral treatment Drug administration should begin as soon as possible after suspected or confirmed exposure.</w:t>
            </w:r>
          </w:p>
        </w:tc>
        <w:tc>
          <w:tcPr>
            <w:tcW w:w="2520" w:type="dxa"/>
            <w:tcBorders>
              <w:top w:val="single" w:sz="8" w:space="0" w:color="000000"/>
              <w:left w:val="single" w:sz="8" w:space="0" w:color="000000"/>
              <w:bottom w:val="single" w:sz="8" w:space="0" w:color="000000"/>
              <w:right w:val="single" w:sz="8" w:space="0" w:color="000000"/>
            </w:tcBorders>
          </w:tcPr>
          <w:p w14:paraId="28FB5A05" w14:textId="77777777" w:rsidR="00AE0FAF" w:rsidRDefault="00000000">
            <w:pPr>
              <w:spacing w:after="0" w:line="259" w:lineRule="auto"/>
              <w:ind w:left="0" w:firstLine="0"/>
            </w:pPr>
            <w:r>
              <w:t>400 mg twice daily</w:t>
            </w:r>
          </w:p>
        </w:tc>
        <w:tc>
          <w:tcPr>
            <w:tcW w:w="2700" w:type="dxa"/>
            <w:tcBorders>
              <w:top w:val="single" w:sz="8" w:space="0" w:color="000000"/>
              <w:left w:val="single" w:sz="8" w:space="0" w:color="000000"/>
              <w:bottom w:val="single" w:sz="8" w:space="0" w:color="000000"/>
              <w:right w:val="single" w:sz="8" w:space="0" w:color="000000"/>
            </w:tcBorders>
          </w:tcPr>
          <w:p w14:paraId="4DB93759" w14:textId="77777777" w:rsidR="00AE0FAF" w:rsidRDefault="00000000">
            <w:pPr>
              <w:spacing w:after="0" w:line="259" w:lineRule="auto"/>
              <w:ind w:left="0" w:firstLine="0"/>
            </w:pPr>
            <w:r>
              <w:t xml:space="preserve">60 days from the confirmation of </w:t>
            </w:r>
            <w:r>
              <w:rPr>
                <w:i/>
              </w:rPr>
              <w:t xml:space="preserve">Bacillus anthracis </w:t>
            </w:r>
            <w:r>
              <w:t>exposure</w:t>
            </w:r>
          </w:p>
        </w:tc>
      </w:tr>
    </w:tbl>
    <w:p w14:paraId="26F9E36A" w14:textId="77777777" w:rsidR="00AE0FAF" w:rsidRPr="001A540A" w:rsidRDefault="00000000" w:rsidP="001A540A">
      <w:pPr>
        <w:spacing w:before="240" w:line="259" w:lineRule="auto"/>
        <w:ind w:left="10" w:firstLine="710"/>
        <w:rPr>
          <w:iCs/>
        </w:rPr>
      </w:pPr>
      <w:r w:rsidRPr="001A540A">
        <w:rPr>
          <w:iCs/>
          <w:u w:val="single" w:color="000000"/>
        </w:rPr>
        <w:t>Paediatric population</w:t>
      </w:r>
    </w:p>
    <w:tbl>
      <w:tblPr>
        <w:tblStyle w:val="TableGrid"/>
        <w:tblW w:w="8920" w:type="dxa"/>
        <w:tblInd w:w="-93" w:type="dxa"/>
        <w:tblCellMar>
          <w:top w:w="113" w:type="dxa"/>
          <w:left w:w="108" w:type="dxa"/>
          <w:bottom w:w="11" w:type="dxa"/>
          <w:right w:w="115" w:type="dxa"/>
        </w:tblCellMar>
        <w:tblLook w:val="04A0" w:firstRow="1" w:lastRow="0" w:firstColumn="1" w:lastColumn="0" w:noHBand="0" w:noVBand="1"/>
      </w:tblPr>
      <w:tblGrid>
        <w:gridCol w:w="3700"/>
        <w:gridCol w:w="2520"/>
        <w:gridCol w:w="2700"/>
      </w:tblGrid>
      <w:tr w:rsidR="00AE0FAF" w14:paraId="33B481CC" w14:textId="77777777" w:rsidTr="001A540A">
        <w:trPr>
          <w:trHeight w:val="1140"/>
        </w:trPr>
        <w:tc>
          <w:tcPr>
            <w:tcW w:w="3700" w:type="dxa"/>
            <w:tcBorders>
              <w:top w:val="single" w:sz="8" w:space="0" w:color="000000"/>
              <w:left w:val="single" w:sz="8" w:space="0" w:color="000000"/>
              <w:bottom w:val="single" w:sz="8" w:space="0" w:color="000000"/>
              <w:right w:val="single" w:sz="8" w:space="0" w:color="000000"/>
            </w:tcBorders>
          </w:tcPr>
          <w:p w14:paraId="5B960EEE" w14:textId="77777777" w:rsidR="00AE0FAF" w:rsidRDefault="00000000" w:rsidP="001A540A">
            <w:pPr>
              <w:spacing w:after="0" w:line="259" w:lineRule="auto"/>
              <w:ind w:left="0" w:firstLine="0"/>
              <w:jc w:val="center"/>
            </w:pPr>
            <w:r>
              <w:rPr>
                <w:b/>
              </w:rPr>
              <w:t>Indication</w:t>
            </w:r>
          </w:p>
        </w:tc>
        <w:tc>
          <w:tcPr>
            <w:tcW w:w="2520" w:type="dxa"/>
            <w:tcBorders>
              <w:top w:val="single" w:sz="8" w:space="0" w:color="000000"/>
              <w:left w:val="single" w:sz="8" w:space="0" w:color="000000"/>
              <w:bottom w:val="single" w:sz="8" w:space="0" w:color="000000"/>
              <w:right w:val="single" w:sz="8" w:space="0" w:color="000000"/>
            </w:tcBorders>
          </w:tcPr>
          <w:p w14:paraId="26C7ADDC" w14:textId="77777777" w:rsidR="00AE0FAF" w:rsidRDefault="00000000" w:rsidP="001A540A">
            <w:pPr>
              <w:spacing w:after="0" w:line="259" w:lineRule="auto"/>
              <w:ind w:left="5" w:firstLine="0"/>
              <w:jc w:val="center"/>
            </w:pPr>
            <w:r>
              <w:rPr>
                <w:b/>
              </w:rPr>
              <w:t>Daily dose in mg</w:t>
            </w:r>
          </w:p>
        </w:tc>
        <w:tc>
          <w:tcPr>
            <w:tcW w:w="2700" w:type="dxa"/>
            <w:tcBorders>
              <w:top w:val="single" w:sz="8" w:space="0" w:color="000000"/>
              <w:left w:val="single" w:sz="8" w:space="0" w:color="000000"/>
              <w:bottom w:val="single" w:sz="8" w:space="0" w:color="000000"/>
              <w:right w:val="single" w:sz="8" w:space="0" w:color="000000"/>
            </w:tcBorders>
          </w:tcPr>
          <w:p w14:paraId="55658BE4" w14:textId="77777777" w:rsidR="00AE0FAF" w:rsidRDefault="00000000" w:rsidP="001A540A">
            <w:pPr>
              <w:spacing w:after="0" w:line="259" w:lineRule="auto"/>
              <w:ind w:left="5" w:firstLine="0"/>
              <w:jc w:val="center"/>
            </w:pPr>
            <w:r>
              <w:rPr>
                <w:b/>
              </w:rPr>
              <w:t>Total duration of treatment (including switch to oral therapy as soon as possible)</w:t>
            </w:r>
          </w:p>
        </w:tc>
      </w:tr>
      <w:tr w:rsidR="00AE0FAF" w14:paraId="2368FCA8" w14:textId="77777777">
        <w:trPr>
          <w:trHeight w:val="1160"/>
        </w:trPr>
        <w:tc>
          <w:tcPr>
            <w:tcW w:w="3700" w:type="dxa"/>
            <w:tcBorders>
              <w:top w:val="single" w:sz="8" w:space="0" w:color="000000"/>
              <w:left w:val="single" w:sz="8" w:space="0" w:color="000000"/>
              <w:bottom w:val="single" w:sz="8" w:space="0" w:color="000000"/>
              <w:right w:val="single" w:sz="8" w:space="0" w:color="000000"/>
            </w:tcBorders>
          </w:tcPr>
          <w:p w14:paraId="2EE42C07" w14:textId="77777777" w:rsidR="00AE0FAF" w:rsidRDefault="00000000">
            <w:pPr>
              <w:spacing w:after="0" w:line="259" w:lineRule="auto"/>
              <w:ind w:left="0" w:firstLine="0"/>
            </w:pPr>
            <w:r>
              <w:t>Cystic fibrosis</w:t>
            </w:r>
          </w:p>
        </w:tc>
        <w:tc>
          <w:tcPr>
            <w:tcW w:w="2520" w:type="dxa"/>
            <w:tcBorders>
              <w:top w:val="single" w:sz="8" w:space="0" w:color="000000"/>
              <w:left w:val="single" w:sz="8" w:space="0" w:color="000000"/>
              <w:bottom w:val="single" w:sz="8" w:space="0" w:color="000000"/>
              <w:right w:val="single" w:sz="8" w:space="0" w:color="000000"/>
            </w:tcBorders>
            <w:vAlign w:val="bottom"/>
          </w:tcPr>
          <w:p w14:paraId="0279D5E0" w14:textId="77777777" w:rsidR="00AE0FAF" w:rsidRDefault="00000000">
            <w:pPr>
              <w:spacing w:after="0" w:line="288" w:lineRule="auto"/>
              <w:ind w:left="5" w:firstLine="0"/>
            </w:pPr>
            <w:r>
              <w:t>10 mg/kg body weight three times a day with a maximum of 400 mg per</w:t>
            </w:r>
          </w:p>
          <w:p w14:paraId="170E90E0" w14:textId="77777777" w:rsidR="00AE0FAF" w:rsidRDefault="00000000">
            <w:pPr>
              <w:spacing w:after="0" w:line="259" w:lineRule="auto"/>
              <w:ind w:left="5" w:firstLine="0"/>
            </w:pPr>
            <w:r>
              <w:t>dose</w:t>
            </w:r>
          </w:p>
        </w:tc>
        <w:tc>
          <w:tcPr>
            <w:tcW w:w="2700" w:type="dxa"/>
            <w:tcBorders>
              <w:top w:val="single" w:sz="8" w:space="0" w:color="000000"/>
              <w:left w:val="single" w:sz="8" w:space="0" w:color="000000"/>
              <w:bottom w:val="single" w:sz="8" w:space="0" w:color="000000"/>
              <w:right w:val="single" w:sz="8" w:space="0" w:color="000000"/>
            </w:tcBorders>
          </w:tcPr>
          <w:p w14:paraId="24D89215" w14:textId="77777777" w:rsidR="00AE0FAF" w:rsidRDefault="00000000">
            <w:pPr>
              <w:spacing w:after="0" w:line="259" w:lineRule="auto"/>
              <w:ind w:left="5" w:firstLine="0"/>
            </w:pPr>
            <w:r>
              <w:t>10 to 14 days</w:t>
            </w:r>
          </w:p>
        </w:tc>
      </w:tr>
      <w:tr w:rsidR="00AE0FAF" w14:paraId="53D207F8" w14:textId="77777777">
        <w:trPr>
          <w:trHeight w:val="1700"/>
        </w:trPr>
        <w:tc>
          <w:tcPr>
            <w:tcW w:w="3700" w:type="dxa"/>
            <w:tcBorders>
              <w:top w:val="single" w:sz="8" w:space="0" w:color="000000"/>
              <w:left w:val="single" w:sz="8" w:space="0" w:color="000000"/>
              <w:bottom w:val="single" w:sz="8" w:space="0" w:color="000000"/>
              <w:right w:val="single" w:sz="8" w:space="0" w:color="000000"/>
            </w:tcBorders>
          </w:tcPr>
          <w:p w14:paraId="0DB18862" w14:textId="77777777" w:rsidR="00AE0FAF" w:rsidRDefault="00000000">
            <w:pPr>
              <w:spacing w:after="0" w:line="259" w:lineRule="auto"/>
              <w:ind w:left="0" w:firstLine="0"/>
              <w:jc w:val="both"/>
            </w:pPr>
            <w:r>
              <w:t>Complicated urinary tract infections and acute pyelonephritis</w:t>
            </w:r>
          </w:p>
        </w:tc>
        <w:tc>
          <w:tcPr>
            <w:tcW w:w="2520" w:type="dxa"/>
            <w:tcBorders>
              <w:top w:val="single" w:sz="8" w:space="0" w:color="000000"/>
              <w:left w:val="single" w:sz="8" w:space="0" w:color="000000"/>
              <w:bottom w:val="single" w:sz="8" w:space="0" w:color="000000"/>
              <w:right w:val="single" w:sz="8" w:space="0" w:color="000000"/>
            </w:tcBorders>
            <w:vAlign w:val="bottom"/>
          </w:tcPr>
          <w:p w14:paraId="6EC9D8C9" w14:textId="77777777" w:rsidR="00AE0FAF" w:rsidRDefault="00000000">
            <w:pPr>
              <w:spacing w:after="0" w:line="288" w:lineRule="auto"/>
              <w:ind w:left="5" w:firstLine="0"/>
            </w:pPr>
            <w:r>
              <w:t>6 mg/kg body weight three times a day to 10 mg/kg body weight three times a day with a maximum of 400 mg per</w:t>
            </w:r>
          </w:p>
          <w:p w14:paraId="508E9845" w14:textId="77777777" w:rsidR="00AE0FAF" w:rsidRDefault="00000000">
            <w:pPr>
              <w:spacing w:after="0" w:line="259" w:lineRule="auto"/>
              <w:ind w:left="5" w:firstLine="0"/>
            </w:pPr>
            <w:r>
              <w:t>dose</w:t>
            </w:r>
          </w:p>
        </w:tc>
        <w:tc>
          <w:tcPr>
            <w:tcW w:w="2700" w:type="dxa"/>
            <w:tcBorders>
              <w:top w:val="single" w:sz="8" w:space="0" w:color="000000"/>
              <w:left w:val="single" w:sz="8" w:space="0" w:color="000000"/>
              <w:bottom w:val="single" w:sz="8" w:space="0" w:color="000000"/>
              <w:right w:val="single" w:sz="8" w:space="0" w:color="000000"/>
            </w:tcBorders>
          </w:tcPr>
          <w:p w14:paraId="097475A6" w14:textId="77777777" w:rsidR="00AE0FAF" w:rsidRDefault="00000000">
            <w:pPr>
              <w:spacing w:after="0" w:line="259" w:lineRule="auto"/>
              <w:ind w:left="5" w:firstLine="0"/>
            </w:pPr>
            <w:r>
              <w:t>10 to 21 days</w:t>
            </w:r>
          </w:p>
        </w:tc>
      </w:tr>
      <w:tr w:rsidR="00AE0FAF" w14:paraId="64C3E1F4" w14:textId="77777777">
        <w:trPr>
          <w:trHeight w:val="1700"/>
        </w:trPr>
        <w:tc>
          <w:tcPr>
            <w:tcW w:w="3700" w:type="dxa"/>
            <w:tcBorders>
              <w:top w:val="single" w:sz="8" w:space="0" w:color="000000"/>
              <w:left w:val="single" w:sz="8" w:space="0" w:color="000000"/>
              <w:bottom w:val="single" w:sz="8" w:space="0" w:color="000000"/>
              <w:right w:val="single" w:sz="8" w:space="0" w:color="000000"/>
            </w:tcBorders>
            <w:vAlign w:val="bottom"/>
          </w:tcPr>
          <w:p w14:paraId="3B888472" w14:textId="77777777" w:rsidR="00AE0FAF" w:rsidRDefault="00000000">
            <w:pPr>
              <w:spacing w:after="0" w:line="259" w:lineRule="auto"/>
              <w:ind w:left="0" w:right="89" w:firstLine="0"/>
            </w:pPr>
            <w:r>
              <w:t>Inhalation anthrax post-exposure curative treatment for persons requiring parenteral treatment Drug administration should begin as soon as possible after suspected or confirmed exposure</w:t>
            </w:r>
          </w:p>
        </w:tc>
        <w:tc>
          <w:tcPr>
            <w:tcW w:w="2520" w:type="dxa"/>
            <w:tcBorders>
              <w:top w:val="single" w:sz="8" w:space="0" w:color="000000"/>
              <w:left w:val="single" w:sz="8" w:space="0" w:color="000000"/>
              <w:bottom w:val="single" w:sz="8" w:space="0" w:color="000000"/>
              <w:right w:val="single" w:sz="8" w:space="0" w:color="000000"/>
            </w:tcBorders>
          </w:tcPr>
          <w:p w14:paraId="7F4DCA99" w14:textId="77777777" w:rsidR="00AE0FAF" w:rsidRDefault="00000000">
            <w:pPr>
              <w:spacing w:after="0" w:line="259" w:lineRule="auto"/>
              <w:ind w:left="5" w:firstLine="0"/>
            </w:pPr>
            <w:r>
              <w:t>10 mg/kg body weight twice daily to 15 mg/kg body weight twice daily with a maximum of 400 mg per dose</w:t>
            </w:r>
          </w:p>
        </w:tc>
        <w:tc>
          <w:tcPr>
            <w:tcW w:w="2700" w:type="dxa"/>
            <w:tcBorders>
              <w:top w:val="single" w:sz="8" w:space="0" w:color="000000"/>
              <w:left w:val="single" w:sz="8" w:space="0" w:color="000000"/>
              <w:bottom w:val="single" w:sz="8" w:space="0" w:color="000000"/>
              <w:right w:val="single" w:sz="8" w:space="0" w:color="000000"/>
            </w:tcBorders>
          </w:tcPr>
          <w:p w14:paraId="666250D5" w14:textId="77777777" w:rsidR="00AE0FAF" w:rsidRDefault="00000000">
            <w:pPr>
              <w:spacing w:after="0" w:line="259" w:lineRule="auto"/>
              <w:ind w:left="5" w:firstLine="0"/>
            </w:pPr>
            <w:r>
              <w:t xml:space="preserve">60 days from the confirmation of </w:t>
            </w:r>
            <w:r>
              <w:rPr>
                <w:i/>
              </w:rPr>
              <w:t xml:space="preserve">Bacillus anthracis </w:t>
            </w:r>
            <w:r>
              <w:t>exposure</w:t>
            </w:r>
          </w:p>
        </w:tc>
      </w:tr>
      <w:tr w:rsidR="00AE0FAF" w14:paraId="2F35E7F2" w14:textId="77777777">
        <w:trPr>
          <w:trHeight w:val="1160"/>
        </w:trPr>
        <w:tc>
          <w:tcPr>
            <w:tcW w:w="3700" w:type="dxa"/>
            <w:tcBorders>
              <w:top w:val="single" w:sz="8" w:space="0" w:color="000000"/>
              <w:left w:val="single" w:sz="8" w:space="0" w:color="000000"/>
              <w:bottom w:val="single" w:sz="8" w:space="0" w:color="000000"/>
              <w:right w:val="single" w:sz="8" w:space="0" w:color="000000"/>
            </w:tcBorders>
          </w:tcPr>
          <w:p w14:paraId="49C04108" w14:textId="77777777" w:rsidR="00AE0FAF" w:rsidRDefault="00000000">
            <w:pPr>
              <w:spacing w:after="0" w:line="259" w:lineRule="auto"/>
              <w:ind w:left="0" w:firstLine="0"/>
            </w:pPr>
            <w:r>
              <w:t>Other severe infections</w:t>
            </w:r>
          </w:p>
        </w:tc>
        <w:tc>
          <w:tcPr>
            <w:tcW w:w="2520" w:type="dxa"/>
            <w:tcBorders>
              <w:top w:val="single" w:sz="8" w:space="0" w:color="000000"/>
              <w:left w:val="single" w:sz="8" w:space="0" w:color="000000"/>
              <w:bottom w:val="single" w:sz="8" w:space="0" w:color="000000"/>
              <w:right w:val="single" w:sz="8" w:space="0" w:color="000000"/>
            </w:tcBorders>
          </w:tcPr>
          <w:p w14:paraId="6F8B9F41" w14:textId="77777777" w:rsidR="00AE0FAF" w:rsidRDefault="00000000">
            <w:pPr>
              <w:spacing w:after="0" w:line="288" w:lineRule="auto"/>
              <w:ind w:left="5" w:firstLine="0"/>
            </w:pPr>
            <w:r>
              <w:t>10 mg/kg body weight three times a day with a maximum of 400 mg per</w:t>
            </w:r>
          </w:p>
          <w:p w14:paraId="5A69682A" w14:textId="77777777" w:rsidR="00AE0FAF" w:rsidRDefault="00000000">
            <w:pPr>
              <w:spacing w:after="0" w:line="259" w:lineRule="auto"/>
              <w:ind w:left="5" w:firstLine="0"/>
            </w:pPr>
            <w:r>
              <w:t>dose</w:t>
            </w:r>
          </w:p>
        </w:tc>
        <w:tc>
          <w:tcPr>
            <w:tcW w:w="2700" w:type="dxa"/>
            <w:tcBorders>
              <w:top w:val="single" w:sz="8" w:space="0" w:color="000000"/>
              <w:left w:val="single" w:sz="8" w:space="0" w:color="000000"/>
              <w:bottom w:val="single" w:sz="8" w:space="0" w:color="000000"/>
              <w:right w:val="single" w:sz="8" w:space="0" w:color="000000"/>
            </w:tcBorders>
          </w:tcPr>
          <w:p w14:paraId="18CDEE26" w14:textId="77777777" w:rsidR="00AE0FAF" w:rsidRDefault="00000000">
            <w:pPr>
              <w:spacing w:after="0" w:line="259" w:lineRule="auto"/>
              <w:ind w:left="5" w:firstLine="0"/>
            </w:pPr>
            <w:r>
              <w:t>According to the type of infections</w:t>
            </w:r>
          </w:p>
        </w:tc>
      </w:tr>
    </w:tbl>
    <w:p w14:paraId="10EE8624" w14:textId="77777777" w:rsidR="001A540A" w:rsidRDefault="001A540A" w:rsidP="001A540A">
      <w:pPr>
        <w:spacing w:before="240" w:after="302" w:line="259" w:lineRule="auto"/>
        <w:ind w:left="10" w:firstLine="710"/>
        <w:rPr>
          <w:iCs/>
          <w:u w:val="single" w:color="000000"/>
        </w:rPr>
      </w:pPr>
    </w:p>
    <w:p w14:paraId="6D41B78D" w14:textId="77777777" w:rsidR="001A540A" w:rsidRDefault="00000000" w:rsidP="001A540A">
      <w:pPr>
        <w:spacing w:before="240" w:after="240" w:line="259" w:lineRule="auto"/>
        <w:ind w:left="11" w:firstLine="709"/>
        <w:jc w:val="thaiDistribute"/>
        <w:rPr>
          <w:iCs/>
        </w:rPr>
      </w:pPr>
      <w:r w:rsidRPr="001A540A">
        <w:rPr>
          <w:iCs/>
          <w:u w:val="single" w:color="000000"/>
        </w:rPr>
        <w:lastRenderedPageBreak/>
        <w:t>Elderly patients</w:t>
      </w:r>
    </w:p>
    <w:p w14:paraId="407559ED" w14:textId="77777777" w:rsidR="001A540A" w:rsidRDefault="00000000" w:rsidP="001A540A">
      <w:pPr>
        <w:spacing w:before="240" w:after="302" w:line="360" w:lineRule="auto"/>
        <w:ind w:left="720" w:firstLine="0"/>
        <w:jc w:val="thaiDistribute"/>
        <w:rPr>
          <w:iCs/>
        </w:rPr>
      </w:pPr>
      <w:r>
        <w:t>Elderly patients should receive a dose selected according to the severity of the infection and the patient`s creatinine clearance.</w:t>
      </w:r>
    </w:p>
    <w:p w14:paraId="1F81509E" w14:textId="77777777" w:rsidR="001A540A" w:rsidRDefault="00000000" w:rsidP="001A540A">
      <w:pPr>
        <w:spacing w:before="240" w:after="302" w:line="360" w:lineRule="auto"/>
        <w:ind w:left="720" w:firstLine="0"/>
        <w:jc w:val="thaiDistribute"/>
        <w:rPr>
          <w:iCs/>
        </w:rPr>
      </w:pPr>
      <w:r w:rsidRPr="001A540A">
        <w:rPr>
          <w:iCs/>
          <w:u w:val="single" w:color="000000"/>
        </w:rPr>
        <w:t>Patient with renal and hepatic impairment</w:t>
      </w:r>
    </w:p>
    <w:p w14:paraId="03B479EB" w14:textId="50211076" w:rsidR="00AE0FAF" w:rsidRPr="001A540A" w:rsidRDefault="00000000" w:rsidP="001A540A">
      <w:pPr>
        <w:spacing w:before="240" w:after="302" w:line="360" w:lineRule="auto"/>
        <w:ind w:left="720" w:firstLine="0"/>
        <w:jc w:val="thaiDistribute"/>
        <w:rPr>
          <w:iCs/>
        </w:rPr>
      </w:pPr>
      <w:r>
        <w:t>Recommended starting and maintenance doses for patients with impaired renal function:</w:t>
      </w:r>
    </w:p>
    <w:tbl>
      <w:tblPr>
        <w:tblStyle w:val="TableGrid"/>
        <w:tblW w:w="85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3" w:type="dxa"/>
          <w:left w:w="0" w:type="dxa"/>
          <w:bottom w:w="0" w:type="dxa"/>
          <w:right w:w="115" w:type="dxa"/>
        </w:tblCellMar>
        <w:tblLook w:val="04A0" w:firstRow="1" w:lastRow="0" w:firstColumn="1" w:lastColumn="0" w:noHBand="0" w:noVBand="1"/>
      </w:tblPr>
      <w:tblGrid>
        <w:gridCol w:w="2933"/>
        <w:gridCol w:w="2694"/>
        <w:gridCol w:w="2913"/>
      </w:tblGrid>
      <w:tr w:rsidR="00AE0FAF" w14:paraId="3539F84D" w14:textId="77777777" w:rsidTr="001A540A">
        <w:trPr>
          <w:trHeight w:val="637"/>
        </w:trPr>
        <w:tc>
          <w:tcPr>
            <w:tcW w:w="2933" w:type="dxa"/>
            <w:vAlign w:val="center"/>
          </w:tcPr>
          <w:p w14:paraId="3DB5E1B8" w14:textId="77777777" w:rsidR="00AE0FAF" w:rsidRDefault="00000000" w:rsidP="001A540A">
            <w:pPr>
              <w:spacing w:after="34" w:line="240" w:lineRule="auto"/>
              <w:ind w:left="118" w:firstLine="0"/>
              <w:jc w:val="center"/>
            </w:pPr>
            <w:r>
              <w:rPr>
                <w:b/>
              </w:rPr>
              <w:t>Creatinine Clearance</w:t>
            </w:r>
          </w:p>
          <w:p w14:paraId="05A13646" w14:textId="77777777" w:rsidR="00AE0FAF" w:rsidRDefault="00000000" w:rsidP="001A540A">
            <w:pPr>
              <w:spacing w:after="0" w:line="240" w:lineRule="auto"/>
              <w:ind w:left="118" w:firstLine="0"/>
              <w:jc w:val="center"/>
            </w:pPr>
            <w:r>
              <w:rPr>
                <w:b/>
              </w:rPr>
              <w:t>[mL/min/1.73 m²]</w:t>
            </w:r>
          </w:p>
        </w:tc>
        <w:tc>
          <w:tcPr>
            <w:tcW w:w="2694" w:type="dxa"/>
            <w:vAlign w:val="center"/>
          </w:tcPr>
          <w:p w14:paraId="1FEAF7E9" w14:textId="44598090" w:rsidR="00AE0FAF" w:rsidRDefault="00000000" w:rsidP="001A540A">
            <w:pPr>
              <w:spacing w:after="157" w:line="240" w:lineRule="auto"/>
              <w:ind w:left="0" w:firstLine="0"/>
              <w:jc w:val="center"/>
            </w:pPr>
            <w:r>
              <w:rPr>
                <w:b/>
              </w:rPr>
              <w:t>Serum Creatinine</w:t>
            </w:r>
            <w:r w:rsidR="001A540A">
              <w:rPr>
                <w:b/>
              </w:rPr>
              <w:t xml:space="preserve"> </w:t>
            </w:r>
            <w:r>
              <w:rPr>
                <w:b/>
              </w:rPr>
              <w:t>[</w:t>
            </w:r>
            <w:r>
              <w:rPr>
                <w:rFonts w:ascii="Calibri" w:eastAsia="Calibri" w:hAnsi="Calibri" w:cs="Calibri"/>
                <w:sz w:val="31"/>
                <w:vertAlign w:val="subscript"/>
              </w:rPr>
              <w:t>μ</w:t>
            </w:r>
            <w:r>
              <w:rPr>
                <w:b/>
              </w:rPr>
              <w:t>mol/L]</w:t>
            </w:r>
          </w:p>
        </w:tc>
        <w:tc>
          <w:tcPr>
            <w:tcW w:w="2913" w:type="dxa"/>
            <w:vAlign w:val="center"/>
          </w:tcPr>
          <w:p w14:paraId="5F9A158F" w14:textId="4F0A72B9" w:rsidR="00AE0FAF" w:rsidRDefault="00000000" w:rsidP="001A540A">
            <w:pPr>
              <w:spacing w:after="4" w:line="240" w:lineRule="auto"/>
              <w:ind w:left="0" w:firstLine="0"/>
              <w:jc w:val="center"/>
            </w:pPr>
            <w:r>
              <w:rPr>
                <w:b/>
              </w:rPr>
              <w:t>Intravenous Dose</w:t>
            </w:r>
            <w:r w:rsidR="001A540A">
              <w:rPr>
                <w:b/>
              </w:rPr>
              <w:t xml:space="preserve"> </w:t>
            </w:r>
            <w:r>
              <w:rPr>
                <w:b/>
              </w:rPr>
              <w:t>[mg]</w:t>
            </w:r>
          </w:p>
        </w:tc>
      </w:tr>
      <w:tr w:rsidR="00AE0FAF" w14:paraId="2B92C6FF" w14:textId="77777777" w:rsidTr="001A540A">
        <w:trPr>
          <w:trHeight w:val="320"/>
        </w:trPr>
        <w:tc>
          <w:tcPr>
            <w:tcW w:w="2933" w:type="dxa"/>
          </w:tcPr>
          <w:p w14:paraId="0BF7644A" w14:textId="77777777" w:rsidR="00AE0FAF" w:rsidRDefault="00000000" w:rsidP="001A540A">
            <w:pPr>
              <w:spacing w:after="0" w:line="240" w:lineRule="auto"/>
              <w:ind w:left="118" w:firstLine="0"/>
              <w:jc w:val="center"/>
            </w:pPr>
            <w:r>
              <w:t>&gt; 60</w:t>
            </w:r>
          </w:p>
        </w:tc>
        <w:tc>
          <w:tcPr>
            <w:tcW w:w="2694" w:type="dxa"/>
          </w:tcPr>
          <w:p w14:paraId="2CCF14D8" w14:textId="77777777" w:rsidR="00AE0FAF" w:rsidRDefault="00000000" w:rsidP="001A540A">
            <w:pPr>
              <w:spacing w:after="0" w:line="240" w:lineRule="auto"/>
              <w:ind w:left="0" w:firstLine="0"/>
              <w:jc w:val="center"/>
            </w:pPr>
            <w:r>
              <w:t>&lt; 124</w:t>
            </w:r>
          </w:p>
        </w:tc>
        <w:tc>
          <w:tcPr>
            <w:tcW w:w="2913" w:type="dxa"/>
          </w:tcPr>
          <w:p w14:paraId="1F5F7185" w14:textId="77777777" w:rsidR="00AE0FAF" w:rsidRDefault="00000000" w:rsidP="001A540A">
            <w:pPr>
              <w:spacing w:after="0" w:line="240" w:lineRule="auto"/>
              <w:ind w:left="0" w:firstLine="0"/>
              <w:jc w:val="center"/>
            </w:pPr>
            <w:r>
              <w:t>See Usual Dosage</w:t>
            </w:r>
          </w:p>
        </w:tc>
      </w:tr>
      <w:tr w:rsidR="00AE0FAF" w14:paraId="5B386B9D" w14:textId="77777777" w:rsidTr="001A540A">
        <w:trPr>
          <w:trHeight w:val="340"/>
        </w:trPr>
        <w:tc>
          <w:tcPr>
            <w:tcW w:w="2933" w:type="dxa"/>
          </w:tcPr>
          <w:p w14:paraId="38E8E9A5" w14:textId="77777777" w:rsidR="00AE0FAF" w:rsidRDefault="00000000" w:rsidP="001A540A">
            <w:pPr>
              <w:spacing w:after="0" w:line="240" w:lineRule="auto"/>
              <w:ind w:left="118" w:firstLine="0"/>
              <w:jc w:val="center"/>
            </w:pPr>
            <w:r>
              <w:t>30-60</w:t>
            </w:r>
          </w:p>
        </w:tc>
        <w:tc>
          <w:tcPr>
            <w:tcW w:w="2694" w:type="dxa"/>
          </w:tcPr>
          <w:p w14:paraId="5A5843F2" w14:textId="77777777" w:rsidR="00AE0FAF" w:rsidRDefault="00000000" w:rsidP="001A540A">
            <w:pPr>
              <w:spacing w:after="0" w:line="240" w:lineRule="auto"/>
              <w:ind w:left="0" w:firstLine="0"/>
              <w:jc w:val="center"/>
            </w:pPr>
            <w:r>
              <w:t>124 to 168</w:t>
            </w:r>
          </w:p>
        </w:tc>
        <w:tc>
          <w:tcPr>
            <w:tcW w:w="2913" w:type="dxa"/>
          </w:tcPr>
          <w:p w14:paraId="07336F10" w14:textId="77777777" w:rsidR="00AE0FAF" w:rsidRDefault="00000000" w:rsidP="001A540A">
            <w:pPr>
              <w:spacing w:after="0" w:line="240" w:lineRule="auto"/>
              <w:ind w:left="0" w:firstLine="0"/>
              <w:jc w:val="center"/>
            </w:pPr>
            <w:r>
              <w:t>200-400 mg every 12 h</w:t>
            </w:r>
          </w:p>
        </w:tc>
      </w:tr>
      <w:tr w:rsidR="00AE0FAF" w14:paraId="2F8EEADE" w14:textId="77777777" w:rsidTr="001A540A">
        <w:trPr>
          <w:trHeight w:val="320"/>
        </w:trPr>
        <w:tc>
          <w:tcPr>
            <w:tcW w:w="2933" w:type="dxa"/>
          </w:tcPr>
          <w:p w14:paraId="1E8545B9" w14:textId="77777777" w:rsidR="00AE0FAF" w:rsidRDefault="00000000" w:rsidP="001A540A">
            <w:pPr>
              <w:spacing w:after="0" w:line="240" w:lineRule="auto"/>
              <w:ind w:left="118" w:firstLine="0"/>
              <w:jc w:val="center"/>
            </w:pPr>
            <w:r>
              <w:t>&lt; 30</w:t>
            </w:r>
          </w:p>
        </w:tc>
        <w:tc>
          <w:tcPr>
            <w:tcW w:w="2694" w:type="dxa"/>
          </w:tcPr>
          <w:p w14:paraId="79D07BF5" w14:textId="77777777" w:rsidR="00AE0FAF" w:rsidRDefault="00000000" w:rsidP="001A540A">
            <w:pPr>
              <w:spacing w:after="0" w:line="240" w:lineRule="auto"/>
              <w:ind w:left="0" w:firstLine="0"/>
              <w:jc w:val="center"/>
            </w:pPr>
            <w:r>
              <w:t>&gt; 169</w:t>
            </w:r>
          </w:p>
        </w:tc>
        <w:tc>
          <w:tcPr>
            <w:tcW w:w="2913" w:type="dxa"/>
          </w:tcPr>
          <w:p w14:paraId="4E305738" w14:textId="77777777" w:rsidR="00AE0FAF" w:rsidRDefault="00000000" w:rsidP="001A540A">
            <w:pPr>
              <w:spacing w:after="0" w:line="240" w:lineRule="auto"/>
              <w:ind w:left="0" w:firstLine="0"/>
              <w:jc w:val="center"/>
            </w:pPr>
            <w:r>
              <w:t>200-400 mg every 24 h</w:t>
            </w:r>
          </w:p>
        </w:tc>
      </w:tr>
      <w:tr w:rsidR="00AE0FAF" w14:paraId="17513770" w14:textId="77777777" w:rsidTr="001A540A">
        <w:trPr>
          <w:trHeight w:val="620"/>
        </w:trPr>
        <w:tc>
          <w:tcPr>
            <w:tcW w:w="2933" w:type="dxa"/>
          </w:tcPr>
          <w:p w14:paraId="18D5133A" w14:textId="77777777" w:rsidR="00AE0FAF" w:rsidRDefault="00000000" w:rsidP="001A540A">
            <w:pPr>
              <w:spacing w:after="0" w:line="240" w:lineRule="auto"/>
              <w:ind w:left="118" w:firstLine="0"/>
              <w:jc w:val="center"/>
            </w:pPr>
            <w:r>
              <w:t>Patients on haemodialysis</w:t>
            </w:r>
          </w:p>
        </w:tc>
        <w:tc>
          <w:tcPr>
            <w:tcW w:w="2694" w:type="dxa"/>
          </w:tcPr>
          <w:p w14:paraId="414F63F9" w14:textId="77777777" w:rsidR="00AE0FAF" w:rsidRDefault="00000000" w:rsidP="001A540A">
            <w:pPr>
              <w:spacing w:after="0" w:line="240" w:lineRule="auto"/>
              <w:ind w:left="0" w:firstLine="0"/>
              <w:jc w:val="center"/>
            </w:pPr>
            <w:r>
              <w:t>&gt; 169</w:t>
            </w:r>
          </w:p>
        </w:tc>
        <w:tc>
          <w:tcPr>
            <w:tcW w:w="2913" w:type="dxa"/>
          </w:tcPr>
          <w:p w14:paraId="2E8CB449" w14:textId="77777777" w:rsidR="001A540A" w:rsidRDefault="00000000" w:rsidP="001A540A">
            <w:pPr>
              <w:spacing w:after="4" w:line="240" w:lineRule="auto"/>
              <w:ind w:left="0" w:firstLine="0"/>
              <w:jc w:val="center"/>
            </w:pPr>
            <w:r>
              <w:t xml:space="preserve">200-400 mg every 24 h </w:t>
            </w:r>
          </w:p>
          <w:p w14:paraId="2EFC1227" w14:textId="547610BD" w:rsidR="00AE0FAF" w:rsidRDefault="00000000" w:rsidP="001A540A">
            <w:pPr>
              <w:spacing w:after="4" w:line="240" w:lineRule="auto"/>
              <w:ind w:left="0" w:firstLine="0"/>
              <w:jc w:val="center"/>
            </w:pPr>
            <w:r>
              <w:t>(after</w:t>
            </w:r>
            <w:r w:rsidR="001A540A">
              <w:t xml:space="preserve"> </w:t>
            </w:r>
            <w:r>
              <w:t>dialysis)</w:t>
            </w:r>
          </w:p>
        </w:tc>
      </w:tr>
      <w:tr w:rsidR="00AE0FAF" w14:paraId="75B7C8D2" w14:textId="77777777" w:rsidTr="001A540A">
        <w:trPr>
          <w:trHeight w:val="320"/>
        </w:trPr>
        <w:tc>
          <w:tcPr>
            <w:tcW w:w="2933" w:type="dxa"/>
          </w:tcPr>
          <w:p w14:paraId="21C8924A" w14:textId="77777777" w:rsidR="00AE0FAF" w:rsidRDefault="00000000" w:rsidP="001A540A">
            <w:pPr>
              <w:spacing w:after="0" w:line="240" w:lineRule="auto"/>
              <w:ind w:left="118" w:firstLine="0"/>
              <w:jc w:val="center"/>
            </w:pPr>
            <w:r>
              <w:t>Patients on peritoneal dialysis</w:t>
            </w:r>
          </w:p>
        </w:tc>
        <w:tc>
          <w:tcPr>
            <w:tcW w:w="2694" w:type="dxa"/>
          </w:tcPr>
          <w:p w14:paraId="26A0E91E" w14:textId="77777777" w:rsidR="00AE0FAF" w:rsidRDefault="00000000" w:rsidP="001A540A">
            <w:pPr>
              <w:spacing w:after="0" w:line="240" w:lineRule="auto"/>
              <w:ind w:left="0" w:firstLine="0"/>
              <w:jc w:val="center"/>
            </w:pPr>
            <w:r>
              <w:t>&gt; 169</w:t>
            </w:r>
          </w:p>
        </w:tc>
        <w:tc>
          <w:tcPr>
            <w:tcW w:w="2913" w:type="dxa"/>
          </w:tcPr>
          <w:p w14:paraId="061BDB46" w14:textId="77777777" w:rsidR="00AE0FAF" w:rsidRDefault="00000000" w:rsidP="001A540A">
            <w:pPr>
              <w:spacing w:after="0" w:line="240" w:lineRule="auto"/>
              <w:ind w:left="0" w:firstLine="0"/>
              <w:jc w:val="center"/>
            </w:pPr>
            <w:r>
              <w:t>200-400 mg every 24 h</w:t>
            </w:r>
          </w:p>
        </w:tc>
      </w:tr>
    </w:tbl>
    <w:p w14:paraId="26A00991" w14:textId="77777777" w:rsidR="00AE0FAF" w:rsidRDefault="00000000" w:rsidP="001A540A">
      <w:pPr>
        <w:spacing w:before="240" w:after="6" w:line="360" w:lineRule="auto"/>
        <w:ind w:left="10" w:right="13"/>
      </w:pPr>
      <w:r>
        <w:t>In patients with impaired liver function no dose adjustment is required.</w:t>
      </w:r>
    </w:p>
    <w:p w14:paraId="649BBB18" w14:textId="77777777" w:rsidR="00AE0FAF" w:rsidRDefault="00000000" w:rsidP="001A540A">
      <w:pPr>
        <w:spacing w:after="240" w:line="360" w:lineRule="auto"/>
        <w:ind w:left="11" w:right="11" w:hanging="11"/>
      </w:pPr>
      <w:r>
        <w:t>Dosing in children with impaired renal and/or hepatic function has not been studied.</w:t>
      </w:r>
    </w:p>
    <w:p w14:paraId="6EEC99AA" w14:textId="77777777" w:rsidR="001A540A" w:rsidRDefault="00000000" w:rsidP="001A540A">
      <w:pPr>
        <w:spacing w:after="336" w:line="259" w:lineRule="auto"/>
        <w:ind w:left="10" w:firstLine="710"/>
        <w:rPr>
          <w:iCs/>
        </w:rPr>
      </w:pPr>
      <w:r w:rsidRPr="001A540A">
        <w:rPr>
          <w:iCs/>
          <w:u w:val="single" w:color="000000"/>
        </w:rPr>
        <w:t>Method of administration</w:t>
      </w:r>
    </w:p>
    <w:p w14:paraId="510D298D" w14:textId="77777777" w:rsidR="001A540A" w:rsidRDefault="00000000" w:rsidP="001A540A">
      <w:pPr>
        <w:spacing w:after="240" w:line="360" w:lineRule="auto"/>
        <w:ind w:left="720" w:firstLine="0"/>
        <w:jc w:val="thaiDistribute"/>
      </w:pPr>
      <w:r>
        <w:rPr>
          <w:color w:val="FF0000"/>
          <w:sz w:val="24"/>
        </w:rPr>
        <w:t xml:space="preserve">&lt;GENERIC NAME&gt; </w:t>
      </w:r>
      <w:r>
        <w:t>2 mg/ml Solution for infusion should be checked visually prior to use. It must not be used if cloudy</w:t>
      </w:r>
      <w:r w:rsidR="001A540A">
        <w:t>.</w:t>
      </w:r>
    </w:p>
    <w:p w14:paraId="10A5C01A" w14:textId="77777777" w:rsidR="001A540A" w:rsidRDefault="00000000" w:rsidP="001A540A">
      <w:pPr>
        <w:spacing w:after="240" w:line="360" w:lineRule="auto"/>
        <w:ind w:left="720" w:firstLine="0"/>
        <w:jc w:val="thaiDistribute"/>
        <w:rPr>
          <w:iCs/>
        </w:rPr>
      </w:pPr>
      <w:r>
        <w:rPr>
          <w:color w:val="FF0000"/>
          <w:sz w:val="24"/>
        </w:rPr>
        <w:t xml:space="preserve">&lt;GENERIC NAME&gt; </w:t>
      </w:r>
      <w:r>
        <w:t>should be administered by intravenous infusion. For children, the infusion duration is 60 minutes.</w:t>
      </w:r>
    </w:p>
    <w:p w14:paraId="6EA0C162" w14:textId="77777777" w:rsidR="001A540A" w:rsidRDefault="00000000" w:rsidP="001A540A">
      <w:pPr>
        <w:spacing w:after="240" w:line="360" w:lineRule="auto"/>
        <w:ind w:left="720" w:firstLine="0"/>
        <w:jc w:val="thaiDistribute"/>
        <w:rPr>
          <w:iCs/>
        </w:rPr>
      </w:pPr>
      <w:r>
        <w:t xml:space="preserve">In adult patients, infusion time is 60 minutes for 400 mg </w:t>
      </w:r>
      <w:r>
        <w:rPr>
          <w:color w:val="FF0000"/>
          <w:sz w:val="24"/>
        </w:rPr>
        <w:t xml:space="preserve">&lt;GENERIC NAME&gt; </w:t>
      </w:r>
      <w:r>
        <w:t xml:space="preserve">2 mg/ml Solution for infusion. and 30 minutes for 200 mg </w:t>
      </w:r>
      <w:r>
        <w:rPr>
          <w:color w:val="FF0000"/>
          <w:sz w:val="24"/>
        </w:rPr>
        <w:t xml:space="preserve">&lt;GENERIC NAME&gt; </w:t>
      </w:r>
      <w:r>
        <w:t>2 mg/ml Solution for infusion. Slow infusion into a large vein will minimise patient discomfort and reduce the risk of venous irritation.</w:t>
      </w:r>
    </w:p>
    <w:p w14:paraId="7EEB2830" w14:textId="46D18323" w:rsidR="00AE0FAF" w:rsidRPr="001A540A" w:rsidRDefault="00000000" w:rsidP="001A540A">
      <w:pPr>
        <w:spacing w:after="240" w:line="360" w:lineRule="auto"/>
        <w:ind w:left="720" w:firstLine="0"/>
        <w:jc w:val="thaiDistribute"/>
        <w:rPr>
          <w:iCs/>
        </w:rPr>
      </w:pPr>
      <w:r>
        <w:t>The infusion solution can be infused either directly or after mixing with other compatible infusion solutions (see section 6.6).</w:t>
      </w:r>
    </w:p>
    <w:p w14:paraId="1E71C76E" w14:textId="5A523D4B" w:rsidR="00AE0FAF" w:rsidRDefault="00000000" w:rsidP="001A540A">
      <w:pPr>
        <w:pStyle w:val="Heading4"/>
        <w:numPr>
          <w:ilvl w:val="1"/>
          <w:numId w:val="7"/>
        </w:numPr>
        <w:tabs>
          <w:tab w:val="center" w:pos="1590"/>
        </w:tabs>
        <w:spacing w:after="357"/>
      </w:pPr>
      <w:r>
        <w:lastRenderedPageBreak/>
        <w:t>Contraindications</w:t>
      </w:r>
    </w:p>
    <w:p w14:paraId="0DFC8288" w14:textId="77777777" w:rsidR="00AE0FAF" w:rsidRDefault="00000000" w:rsidP="001A540A">
      <w:pPr>
        <w:pStyle w:val="ListParagraph"/>
        <w:numPr>
          <w:ilvl w:val="0"/>
          <w:numId w:val="11"/>
        </w:numPr>
        <w:spacing w:after="99" w:line="360" w:lineRule="auto"/>
        <w:ind w:right="13"/>
        <w:jc w:val="thaiDistribute"/>
      </w:pPr>
      <w:r>
        <w:t>Hypersensitivity to the active substance or to any of the excipients listed in section 6.1 or to other quinolones.</w:t>
      </w:r>
    </w:p>
    <w:p w14:paraId="2B285E65" w14:textId="77777777" w:rsidR="00AE0FAF" w:rsidRDefault="00000000" w:rsidP="001A540A">
      <w:pPr>
        <w:pStyle w:val="ListParagraph"/>
        <w:numPr>
          <w:ilvl w:val="0"/>
          <w:numId w:val="11"/>
        </w:numPr>
        <w:spacing w:line="360" w:lineRule="auto"/>
        <w:ind w:right="13"/>
        <w:jc w:val="thaiDistribute"/>
      </w:pPr>
      <w:r>
        <w:t xml:space="preserve">Concomitant administration of </w:t>
      </w:r>
      <w:r w:rsidRPr="001A540A">
        <w:rPr>
          <w:color w:val="FF0000"/>
          <w:sz w:val="24"/>
        </w:rPr>
        <w:t xml:space="preserve">&lt;GENERIC NAME&gt; </w:t>
      </w:r>
      <w:r>
        <w:t>and tizanidine (see section 4.5).</w:t>
      </w:r>
    </w:p>
    <w:p w14:paraId="49145A32" w14:textId="77777777" w:rsidR="001A540A" w:rsidRDefault="00000000" w:rsidP="001A540A">
      <w:pPr>
        <w:pStyle w:val="Heading2"/>
        <w:numPr>
          <w:ilvl w:val="1"/>
          <w:numId w:val="7"/>
        </w:numPr>
        <w:spacing w:after="240" w:line="264" w:lineRule="auto"/>
        <w:ind w:left="788" w:hanging="431"/>
      </w:pPr>
      <w:r>
        <w:t>Special warnings and precautions for use</w:t>
      </w:r>
    </w:p>
    <w:p w14:paraId="560261A9" w14:textId="77777777" w:rsidR="001A540A" w:rsidRDefault="00000000" w:rsidP="001A540A">
      <w:pPr>
        <w:pStyle w:val="Heading2"/>
        <w:spacing w:after="311" w:line="360" w:lineRule="auto"/>
        <w:ind w:left="792" w:firstLine="0"/>
        <w:jc w:val="thaiDistribute"/>
        <w:rPr>
          <w:b w:val="0"/>
          <w:bCs/>
        </w:rPr>
      </w:pPr>
      <w:r w:rsidRPr="001A540A">
        <w:rPr>
          <w:b w:val="0"/>
          <w:bCs/>
        </w:rPr>
        <w:t xml:space="preserve">The use of </w:t>
      </w:r>
      <w:r w:rsidRPr="001A540A">
        <w:rPr>
          <w:b w:val="0"/>
          <w:bCs/>
          <w:color w:val="FF0000"/>
        </w:rPr>
        <w:t xml:space="preserve">&lt;GENERIC NAME&gt; </w:t>
      </w:r>
      <w:r w:rsidRPr="001A540A">
        <w:rPr>
          <w:b w:val="0"/>
          <w:bCs/>
        </w:rPr>
        <w:t xml:space="preserve">should be avoided in patients who have experienced serious adverse reactions in the past when using quinolone or fluoroquinolone containing products (see section 4.8). Treatment of these patients with </w:t>
      </w:r>
      <w:r w:rsidRPr="001A540A">
        <w:rPr>
          <w:b w:val="0"/>
          <w:bCs/>
          <w:color w:val="FF0000"/>
        </w:rPr>
        <w:t xml:space="preserve">&lt;GENERIC NAME&gt; </w:t>
      </w:r>
      <w:r w:rsidRPr="001A540A">
        <w:rPr>
          <w:b w:val="0"/>
          <w:bCs/>
        </w:rPr>
        <w:t>should only be initiated in the absence of alternative treatment options and after careful benefit/risk assessment (see also section 4.3).</w:t>
      </w:r>
    </w:p>
    <w:p w14:paraId="69BE9F87" w14:textId="77777777" w:rsidR="001A540A" w:rsidRDefault="00000000" w:rsidP="001A540A">
      <w:pPr>
        <w:pStyle w:val="Heading2"/>
        <w:spacing w:after="240" w:line="360" w:lineRule="auto"/>
        <w:ind w:left="794" w:firstLine="0"/>
        <w:jc w:val="thaiDistribute"/>
        <w:rPr>
          <w:b w:val="0"/>
          <w:bCs/>
          <w:u w:val="single"/>
        </w:rPr>
      </w:pPr>
      <w:r w:rsidRPr="001A540A">
        <w:rPr>
          <w:b w:val="0"/>
          <w:bCs/>
          <w:u w:val="single"/>
        </w:rPr>
        <w:t>Aortic aneurysm and dissection, and heart valve regurgitation/incompetence</w:t>
      </w:r>
    </w:p>
    <w:p w14:paraId="21E598E0" w14:textId="77777777" w:rsidR="001A540A" w:rsidRDefault="00000000" w:rsidP="001A540A">
      <w:pPr>
        <w:pStyle w:val="Heading2"/>
        <w:spacing w:after="240" w:line="360" w:lineRule="auto"/>
        <w:ind w:left="794" w:firstLine="0"/>
        <w:jc w:val="thaiDistribute"/>
        <w:rPr>
          <w:b w:val="0"/>
          <w:bCs/>
        </w:rPr>
      </w:pPr>
      <w:r w:rsidRPr="001A540A">
        <w:rPr>
          <w:b w:val="0"/>
          <w:bCs/>
        </w:rPr>
        <w:t>Epidemiologic studies report an increased risk of aortic aneurysm and dissection, particularly in elderly patients, and of aortic and mitral valve regurgitation after intake of fluoroquinolones. Cases of aortic aneurysm and dissection, sometimes complicated by rupture (including fatal ones), and of regurgitation/incompetence of any of the heart valves have been reported in patients receiving fluoroquinolones (see section 4.8).</w:t>
      </w:r>
    </w:p>
    <w:p w14:paraId="75E70DDD" w14:textId="1DFA2EE4" w:rsidR="00AE0FAF" w:rsidRPr="001A540A" w:rsidRDefault="00000000" w:rsidP="001A540A">
      <w:pPr>
        <w:pStyle w:val="Heading2"/>
        <w:spacing w:after="240" w:line="360" w:lineRule="auto"/>
        <w:ind w:left="794" w:firstLine="0"/>
        <w:jc w:val="thaiDistribute"/>
        <w:rPr>
          <w:b w:val="0"/>
          <w:bCs/>
          <w:u w:val="single"/>
        </w:rPr>
      </w:pPr>
      <w:r w:rsidRPr="001A540A">
        <w:rPr>
          <w:b w:val="0"/>
          <w:bCs/>
        </w:rPr>
        <w:t>Therefore, fluoroquinolones should only be used after careful benefit-risk assessment and after consideration of other therapeutic options in patients with positive family history of aneurysm disease or congenital heart valve disease, or in patients diagnosed with pre-existing aortic aneurysm and/or aortic dissection or heart valve disease, or in presence of other risk factors or conditions predisposing</w:t>
      </w:r>
    </w:p>
    <w:p w14:paraId="294616F9" w14:textId="494D6A8F" w:rsidR="00AE0FAF" w:rsidRDefault="00000000" w:rsidP="001A540A">
      <w:pPr>
        <w:pStyle w:val="ListParagraph"/>
        <w:numPr>
          <w:ilvl w:val="0"/>
          <w:numId w:val="12"/>
        </w:numPr>
        <w:spacing w:after="3" w:line="360" w:lineRule="auto"/>
        <w:ind w:right="13"/>
      </w:pPr>
      <w:r>
        <w:t>for both aortic aneurysm and dissection and heart valve regurgitation/incompetence (e.g. connective tissue disorders such as Marfan syndrome or, Ehlers-Danlos syndrome, , Turner</w:t>
      </w:r>
      <w:r w:rsidR="001A540A">
        <w:t xml:space="preserve"> </w:t>
      </w:r>
      <w:r>
        <w:t>syndrome, Behcet’s disease, hypertension, rheumatoid arthritis) or additionally</w:t>
      </w:r>
    </w:p>
    <w:p w14:paraId="5C50E631" w14:textId="77777777" w:rsidR="001A540A" w:rsidRPr="001A540A" w:rsidRDefault="00000000" w:rsidP="001A540A">
      <w:pPr>
        <w:pStyle w:val="ListParagraph"/>
        <w:numPr>
          <w:ilvl w:val="0"/>
          <w:numId w:val="12"/>
        </w:numPr>
        <w:spacing w:after="240" w:line="360" w:lineRule="auto"/>
        <w:ind w:left="1468" w:right="11" w:hanging="357"/>
        <w:contextualSpacing w:val="0"/>
      </w:pPr>
      <w:r>
        <w:lastRenderedPageBreak/>
        <w:t xml:space="preserve">for aortic aneurysm and dissection (e.g. vascular disorders such as Takayasu arteritis or giant cell arteritis, or known atherosclerosis, or Sjögren’s syndrome) or additionally </w:t>
      </w:r>
    </w:p>
    <w:p w14:paraId="2BE590D3" w14:textId="77777777" w:rsidR="001A540A" w:rsidRDefault="00000000" w:rsidP="001A540A">
      <w:pPr>
        <w:pStyle w:val="ListParagraph"/>
        <w:numPr>
          <w:ilvl w:val="0"/>
          <w:numId w:val="12"/>
        </w:numPr>
        <w:spacing w:after="240" w:line="360" w:lineRule="auto"/>
        <w:ind w:left="1468" w:right="11" w:hanging="357"/>
        <w:contextualSpacing w:val="0"/>
      </w:pPr>
      <w:r>
        <w:t>for heart valve regurgitation/incompetence (e.g. infective endocarditis).The risk of aortic aneurysm and dissection, and their rupture may also be increased in patients treated concurrently with systemic corticosteroids.</w:t>
      </w:r>
    </w:p>
    <w:p w14:paraId="13694D8D" w14:textId="77777777" w:rsidR="001A540A" w:rsidRDefault="00000000" w:rsidP="001A540A">
      <w:pPr>
        <w:spacing w:after="240" w:line="360" w:lineRule="auto"/>
        <w:ind w:left="759" w:right="11" w:hanging="11"/>
        <w:jc w:val="thaiDistribute"/>
      </w:pPr>
      <w:r>
        <w:t>In case of sudden abdominal, chest or back pain, patients should be advised to immediately consult a physician in an emergency department.</w:t>
      </w:r>
    </w:p>
    <w:p w14:paraId="10C70A70" w14:textId="77777777" w:rsidR="001A540A" w:rsidRDefault="00000000" w:rsidP="001A540A">
      <w:pPr>
        <w:spacing w:after="240" w:line="360" w:lineRule="auto"/>
        <w:ind w:left="759" w:right="11" w:hanging="11"/>
        <w:jc w:val="thaiDistribute"/>
      </w:pPr>
      <w:r>
        <w:t>Patients should be advised to seek immediate medical attention in case of acute dyspnoea, new onset of heart palpitations, or development of oedema of the abdomen or lower extremities.</w:t>
      </w:r>
    </w:p>
    <w:p w14:paraId="6D476D66" w14:textId="77777777" w:rsidR="001A540A" w:rsidRDefault="00000000" w:rsidP="001A540A">
      <w:pPr>
        <w:spacing w:after="240" w:line="360" w:lineRule="auto"/>
        <w:ind w:left="759" w:right="11" w:hanging="11"/>
        <w:jc w:val="thaiDistribute"/>
        <w:rPr>
          <w:iCs/>
        </w:rPr>
      </w:pPr>
      <w:r w:rsidRPr="001A540A">
        <w:rPr>
          <w:iCs/>
          <w:u w:val="single" w:color="000000"/>
        </w:rPr>
        <w:t>Prolonged, disabling and potentially irreversible serious adverse drug reactions</w:t>
      </w:r>
    </w:p>
    <w:p w14:paraId="6BECD462" w14:textId="77777777" w:rsidR="001A540A" w:rsidRDefault="00000000" w:rsidP="001A540A">
      <w:pPr>
        <w:spacing w:after="240" w:line="360" w:lineRule="auto"/>
        <w:ind w:left="759" w:right="11" w:hanging="11"/>
        <w:jc w:val="thaiDistribute"/>
        <w:rPr>
          <w:iCs/>
        </w:rPr>
      </w:pPr>
      <w:r>
        <w:t xml:space="preserve">Very rare cases of prolonged (continuing months or years), disabling and potentially irreversible serious adverse drug reactions affecting different, sometimes multiple, body systems (musculoskeletal, nervous, psychiatric and senses) have been reported in patients receiving quinolones and fluoroquinolones irrespective of their age and pre-existing risk factors. </w:t>
      </w:r>
      <w:r>
        <w:rPr>
          <w:color w:val="FF0000"/>
          <w:sz w:val="24"/>
        </w:rPr>
        <w:t xml:space="preserve">&lt;GENERIC NAME&gt; </w:t>
      </w:r>
      <w:r>
        <w:t>should be discontinued immediately at the first signs or symptoms of any serious adverse reaction and patients should be advised to contact their prescriber for advice.</w:t>
      </w:r>
    </w:p>
    <w:p w14:paraId="4ECFC6DE" w14:textId="77777777" w:rsidR="001A540A" w:rsidRDefault="00000000" w:rsidP="001A540A">
      <w:pPr>
        <w:spacing w:after="240" w:line="360" w:lineRule="auto"/>
        <w:ind w:left="759" w:right="11" w:hanging="11"/>
        <w:jc w:val="thaiDistribute"/>
        <w:rPr>
          <w:iCs/>
        </w:rPr>
      </w:pPr>
      <w:r w:rsidRPr="001A540A">
        <w:rPr>
          <w:iCs/>
          <w:u w:val="single" w:color="000000"/>
        </w:rPr>
        <w:t>Severe infections and mixed infections with Gram-positive and anaerobic pathogens</w:t>
      </w:r>
    </w:p>
    <w:p w14:paraId="4E29F014"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 xml:space="preserve">monotherapy is not suited for treatment of severe infections and infections that might be due to Gram-positive or anaerobic pathogens. In such infections </w:t>
      </w:r>
      <w:r>
        <w:rPr>
          <w:color w:val="FF0000"/>
          <w:sz w:val="24"/>
        </w:rPr>
        <w:t xml:space="preserve">&lt;GENERIC NAME&gt; </w:t>
      </w:r>
      <w:r>
        <w:t>must be coadministered with other appropriate antibacterial agents.</w:t>
      </w:r>
    </w:p>
    <w:p w14:paraId="204467EA" w14:textId="77777777" w:rsidR="001A540A" w:rsidRPr="001A540A" w:rsidRDefault="00000000" w:rsidP="001A540A">
      <w:pPr>
        <w:spacing w:after="240" w:line="360" w:lineRule="auto"/>
        <w:ind w:left="759" w:right="11" w:hanging="11"/>
        <w:jc w:val="thaiDistribute"/>
        <w:rPr>
          <w:iCs/>
        </w:rPr>
      </w:pPr>
      <w:r w:rsidRPr="001A540A">
        <w:rPr>
          <w:iCs/>
          <w:u w:val="single" w:color="000000"/>
        </w:rPr>
        <w:t>Streptococcal Infections (including Streptococcus pneumoniae)</w:t>
      </w:r>
    </w:p>
    <w:p w14:paraId="52592B24"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is not recommended for the treatment of streptococcal infections due to inadequate efficacy.</w:t>
      </w:r>
    </w:p>
    <w:p w14:paraId="39CE9AA3" w14:textId="77777777" w:rsidR="001A540A" w:rsidRDefault="001A540A">
      <w:pPr>
        <w:spacing w:after="160"/>
        <w:ind w:left="0" w:firstLine="0"/>
        <w:rPr>
          <w:color w:val="FF0000"/>
          <w:sz w:val="24"/>
        </w:rPr>
      </w:pPr>
      <w:r>
        <w:rPr>
          <w:color w:val="FF0000"/>
          <w:sz w:val="24"/>
        </w:rPr>
        <w:br w:type="page"/>
      </w:r>
    </w:p>
    <w:p w14:paraId="34537283" w14:textId="77777777" w:rsidR="001A540A" w:rsidRPr="001A540A" w:rsidRDefault="00000000" w:rsidP="001A540A">
      <w:pPr>
        <w:spacing w:after="240" w:line="360" w:lineRule="auto"/>
        <w:ind w:left="759" w:right="11" w:hanging="11"/>
        <w:jc w:val="thaiDistribute"/>
        <w:rPr>
          <w:iCs/>
        </w:rPr>
      </w:pPr>
      <w:r w:rsidRPr="001A540A">
        <w:rPr>
          <w:iCs/>
          <w:u w:val="single" w:color="000000"/>
        </w:rPr>
        <w:lastRenderedPageBreak/>
        <w:t>Genital tract infections</w:t>
      </w:r>
    </w:p>
    <w:p w14:paraId="12CE9A20" w14:textId="77777777" w:rsidR="001A540A" w:rsidRDefault="00000000" w:rsidP="001A540A">
      <w:pPr>
        <w:spacing w:after="240" w:line="360" w:lineRule="auto"/>
        <w:ind w:left="759" w:right="11" w:hanging="11"/>
        <w:jc w:val="thaiDistribute"/>
        <w:rPr>
          <w:iCs/>
        </w:rPr>
      </w:pPr>
      <w:r>
        <w:t xml:space="preserve">Epididymo-orchitis and pelvic inflammatory diseases may be caused by fluoroquinolone-resistant </w:t>
      </w:r>
      <w:r>
        <w:rPr>
          <w:i/>
        </w:rPr>
        <w:t xml:space="preserve">Neisseria gonorrhoeae </w:t>
      </w:r>
      <w:r>
        <w:t>isolates.</w:t>
      </w:r>
    </w:p>
    <w:p w14:paraId="05472595" w14:textId="77777777" w:rsidR="001A540A" w:rsidRDefault="00000000" w:rsidP="001A540A">
      <w:pPr>
        <w:spacing w:after="240" w:line="360" w:lineRule="auto"/>
        <w:ind w:left="759" w:right="11" w:hanging="11"/>
        <w:jc w:val="thaiDistribute"/>
        <w:rPr>
          <w:iCs/>
        </w:rPr>
      </w:pPr>
      <w:r>
        <w:t xml:space="preserve">For epididymo-orchitis and pelvic inflammatory diseases, empirical </w:t>
      </w:r>
      <w:r>
        <w:rPr>
          <w:color w:val="FF0000"/>
          <w:sz w:val="24"/>
        </w:rPr>
        <w:t xml:space="preserve">&lt;GENERIC NAME&gt; </w:t>
      </w:r>
      <w:r>
        <w:t xml:space="preserve">should only be considered in combination with another appropriate antibacterial agent (e.g. a cephalosporin) unless </w:t>
      </w:r>
      <w:r>
        <w:rPr>
          <w:color w:val="FF0000"/>
          <w:sz w:val="24"/>
        </w:rPr>
        <w:t>&lt;GENERIC NAME&gt;</w:t>
      </w:r>
      <w:r>
        <w:t xml:space="preserve">-resistant </w:t>
      </w:r>
      <w:r>
        <w:rPr>
          <w:i/>
        </w:rPr>
        <w:t xml:space="preserve">Neisseria gonorrhoeae </w:t>
      </w:r>
      <w:r>
        <w:t>can be excluded. If clinical improvement is not achieved after 3 days of treatment, the therapy should be reconsidered.</w:t>
      </w:r>
    </w:p>
    <w:p w14:paraId="25F77B82" w14:textId="77777777" w:rsidR="001A540A" w:rsidRPr="001A540A" w:rsidRDefault="00000000" w:rsidP="001A540A">
      <w:pPr>
        <w:spacing w:after="240" w:line="360" w:lineRule="auto"/>
        <w:ind w:left="759" w:right="11" w:hanging="11"/>
        <w:jc w:val="thaiDistribute"/>
        <w:rPr>
          <w:iCs/>
          <w:u w:val="single" w:color="000000"/>
        </w:rPr>
      </w:pPr>
      <w:r w:rsidRPr="001A540A">
        <w:rPr>
          <w:iCs/>
          <w:u w:val="single" w:color="000000"/>
        </w:rPr>
        <w:t>Urinary tract infections</w:t>
      </w:r>
    </w:p>
    <w:p w14:paraId="2C4D5312" w14:textId="77777777" w:rsidR="001A540A" w:rsidRDefault="00000000" w:rsidP="001A540A">
      <w:pPr>
        <w:spacing w:after="240" w:line="360" w:lineRule="auto"/>
        <w:ind w:left="759" w:right="11" w:hanging="11"/>
        <w:jc w:val="thaiDistribute"/>
        <w:rPr>
          <w:iCs/>
        </w:rPr>
      </w:pPr>
      <w:r>
        <w:t xml:space="preserve">Resistance to fluoroquinolones of </w:t>
      </w:r>
      <w:r>
        <w:rPr>
          <w:i/>
        </w:rPr>
        <w:t xml:space="preserve">Escherichia coli </w:t>
      </w:r>
      <w:r>
        <w:t xml:space="preserve">– the most common pathogen involved in urinary tract infections – varies across the European Union. Prescribers are advised to take into account the local prevalence of resistance in </w:t>
      </w:r>
      <w:r>
        <w:rPr>
          <w:i/>
        </w:rPr>
        <w:t xml:space="preserve">Escherichia coli </w:t>
      </w:r>
      <w:r>
        <w:t>to fluoroquinolones.</w:t>
      </w:r>
    </w:p>
    <w:p w14:paraId="6A46CCAC" w14:textId="77777777" w:rsidR="001A540A" w:rsidRPr="001A540A" w:rsidRDefault="00000000" w:rsidP="001A540A">
      <w:pPr>
        <w:spacing w:after="240" w:line="360" w:lineRule="auto"/>
        <w:ind w:left="759" w:right="11" w:hanging="11"/>
        <w:jc w:val="thaiDistribute"/>
        <w:rPr>
          <w:iCs/>
        </w:rPr>
      </w:pPr>
      <w:r w:rsidRPr="001A540A">
        <w:rPr>
          <w:iCs/>
          <w:u w:val="single" w:color="000000"/>
        </w:rPr>
        <w:t>Intra-abdominal infections</w:t>
      </w:r>
    </w:p>
    <w:p w14:paraId="68C55635" w14:textId="77777777" w:rsidR="001A540A" w:rsidRDefault="00000000" w:rsidP="001A540A">
      <w:pPr>
        <w:spacing w:after="240" w:line="360" w:lineRule="auto"/>
        <w:ind w:left="759" w:right="11" w:hanging="11"/>
        <w:jc w:val="thaiDistribute"/>
        <w:rPr>
          <w:iCs/>
        </w:rPr>
      </w:pPr>
      <w:r>
        <w:t xml:space="preserve">There are limited data on the efficacy of </w:t>
      </w:r>
      <w:r>
        <w:rPr>
          <w:color w:val="FF0000"/>
          <w:sz w:val="24"/>
        </w:rPr>
        <w:t xml:space="preserve">&lt;GENERIC NAME&gt; </w:t>
      </w:r>
      <w:r>
        <w:t>in the treatment of post-surgical intraabdominal infections.</w:t>
      </w:r>
    </w:p>
    <w:p w14:paraId="0C94F58A" w14:textId="77777777" w:rsidR="001A540A" w:rsidRPr="001A540A" w:rsidRDefault="00000000" w:rsidP="001A540A">
      <w:pPr>
        <w:spacing w:after="240" w:line="360" w:lineRule="auto"/>
        <w:ind w:left="759" w:right="11" w:hanging="11"/>
        <w:jc w:val="thaiDistribute"/>
        <w:rPr>
          <w:iCs/>
        </w:rPr>
      </w:pPr>
      <w:r w:rsidRPr="001A540A">
        <w:rPr>
          <w:iCs/>
          <w:u w:val="single" w:color="000000"/>
        </w:rPr>
        <w:t>Travellers’ diarrhoea</w:t>
      </w:r>
    </w:p>
    <w:p w14:paraId="6DC9AFD0" w14:textId="77777777" w:rsidR="001A540A" w:rsidRDefault="00000000" w:rsidP="001A540A">
      <w:pPr>
        <w:spacing w:after="240" w:line="360" w:lineRule="auto"/>
        <w:ind w:left="759" w:right="11" w:hanging="11"/>
        <w:jc w:val="thaiDistribute"/>
        <w:rPr>
          <w:iCs/>
        </w:rPr>
      </w:pPr>
      <w:r>
        <w:t xml:space="preserve">The choice of </w:t>
      </w:r>
      <w:r>
        <w:rPr>
          <w:color w:val="FF0000"/>
          <w:sz w:val="24"/>
        </w:rPr>
        <w:t xml:space="preserve">&lt;GENERIC NAME&gt; </w:t>
      </w:r>
      <w:r>
        <w:t xml:space="preserve">should take into account information on resistance to </w:t>
      </w:r>
      <w:r>
        <w:rPr>
          <w:color w:val="FF0000"/>
          <w:sz w:val="24"/>
        </w:rPr>
        <w:t xml:space="preserve">&lt;GENERIC NAME&gt; </w:t>
      </w:r>
      <w:r>
        <w:t>in relevant pathogens in the countries visited.</w:t>
      </w:r>
    </w:p>
    <w:p w14:paraId="0128B7EC" w14:textId="77777777" w:rsidR="001A540A" w:rsidRPr="001A540A" w:rsidRDefault="00000000" w:rsidP="001A540A">
      <w:pPr>
        <w:spacing w:after="240" w:line="360" w:lineRule="auto"/>
        <w:ind w:left="759" w:right="11" w:hanging="11"/>
        <w:jc w:val="thaiDistribute"/>
        <w:rPr>
          <w:iCs/>
        </w:rPr>
      </w:pPr>
      <w:r w:rsidRPr="001A540A">
        <w:rPr>
          <w:iCs/>
          <w:u w:val="single" w:color="000000"/>
        </w:rPr>
        <w:t>Infections of the bones and joints</w:t>
      </w:r>
    </w:p>
    <w:p w14:paraId="6D6A82D4"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should be used in combination with other antimicrobial agents depending on the results of the microbiological documentation.</w:t>
      </w:r>
    </w:p>
    <w:p w14:paraId="28C9DB3E" w14:textId="77777777" w:rsidR="001A540A" w:rsidRDefault="00000000" w:rsidP="001A540A">
      <w:pPr>
        <w:spacing w:after="240" w:line="360" w:lineRule="auto"/>
        <w:ind w:left="759" w:right="11" w:hanging="11"/>
        <w:jc w:val="thaiDistribute"/>
        <w:rPr>
          <w:iCs/>
        </w:rPr>
      </w:pPr>
      <w:r>
        <w:rPr>
          <w:i/>
          <w:u w:val="single" w:color="000000"/>
        </w:rPr>
        <w:t>Inhalational anthrax</w:t>
      </w:r>
    </w:p>
    <w:p w14:paraId="5664067D" w14:textId="77777777" w:rsidR="001A540A" w:rsidRDefault="00000000" w:rsidP="001A540A">
      <w:pPr>
        <w:spacing w:after="240" w:line="360" w:lineRule="auto"/>
        <w:ind w:left="759" w:right="11" w:hanging="11"/>
        <w:jc w:val="thaiDistribute"/>
        <w:rPr>
          <w:iCs/>
        </w:rPr>
      </w:pPr>
      <w:r>
        <w:t>Use in humans is based on in-vitro susceptibility data and on animal experimental data together with limited human data. Treating physicians should refer to national and /or international consensus documents regarding the treatment of anthrax.</w:t>
      </w:r>
    </w:p>
    <w:p w14:paraId="2FFC1A93" w14:textId="77777777" w:rsidR="001A540A" w:rsidRDefault="00000000" w:rsidP="001A540A">
      <w:pPr>
        <w:spacing w:after="240" w:line="360" w:lineRule="auto"/>
        <w:ind w:left="759" w:right="11" w:hanging="11"/>
        <w:jc w:val="thaiDistribute"/>
        <w:rPr>
          <w:iCs/>
        </w:rPr>
      </w:pPr>
      <w:r>
        <w:rPr>
          <w:i/>
          <w:u w:val="single" w:color="000000"/>
        </w:rPr>
        <w:lastRenderedPageBreak/>
        <w:t>Paediatric population</w:t>
      </w:r>
    </w:p>
    <w:p w14:paraId="1BCB30ED" w14:textId="77777777" w:rsidR="001A540A" w:rsidRDefault="00000000" w:rsidP="001A540A">
      <w:pPr>
        <w:spacing w:after="240" w:line="360" w:lineRule="auto"/>
        <w:ind w:left="759" w:right="11" w:hanging="11"/>
        <w:jc w:val="thaiDistribute"/>
        <w:rPr>
          <w:iCs/>
        </w:rPr>
      </w:pPr>
      <w:r>
        <w:t xml:space="preserve">The use of </w:t>
      </w:r>
      <w:r>
        <w:rPr>
          <w:color w:val="FF0000"/>
          <w:sz w:val="24"/>
        </w:rPr>
        <w:t xml:space="preserve">&lt;GENERIC NAME&gt; </w:t>
      </w:r>
      <w:r>
        <w:t>in children and adolescents should follow available official guidance.</w:t>
      </w:r>
    </w:p>
    <w:p w14:paraId="73D6A51E"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treatment should be initiated only by physicians who are experienced in the treatment of cystic fibrosis and/or severe infections in children and adolescents.</w:t>
      </w:r>
    </w:p>
    <w:p w14:paraId="717926D1" w14:textId="77777777" w:rsidR="001A540A" w:rsidRDefault="00000000" w:rsidP="001A540A">
      <w:pPr>
        <w:spacing w:after="240" w:line="360" w:lineRule="auto"/>
        <w:ind w:left="759" w:right="11" w:hanging="11"/>
        <w:jc w:val="thaiDistribute"/>
        <w:rPr>
          <w:iCs/>
        </w:rPr>
      </w:pPr>
      <w:r>
        <w:t>Ciprofloxacin has been shown to cause arthropathy in weight-bearing joints of immature animals. Safety data from a randomised double-blind study on ciprofloxacin use in children (ciprofloxacin: n=335, mean age = 6.3 years; comparators: n=349, mean age = 6.2 years; age range = 1 to 17 years) revealed an incidence of suspected drug-related arthropathy (discerned from joint-related clinical signs and symptoms) by Day +42 of 7.2% and 4.6%. Respectively, an incidence of drug-related arthropathy by 1-year follow-up was 9.0% and 5.7%. The increase of suspected drug-related arthropathy cases over time was not statistically significant between groups. Treatment should be initiated only after a careful benefit/risk evaluation, due to possible adverse events related to joints and/or surrounding tissue.</w:t>
      </w:r>
    </w:p>
    <w:p w14:paraId="6822B8D2" w14:textId="77777777" w:rsidR="001A540A" w:rsidRDefault="00000000" w:rsidP="001A540A">
      <w:pPr>
        <w:spacing w:after="240" w:line="360" w:lineRule="auto"/>
        <w:ind w:left="759" w:right="11" w:hanging="11"/>
        <w:jc w:val="thaiDistribute"/>
        <w:rPr>
          <w:iCs/>
        </w:rPr>
      </w:pPr>
      <w:r w:rsidRPr="001A540A">
        <w:rPr>
          <w:iCs/>
          <w:u w:val="single" w:color="000000"/>
        </w:rPr>
        <w:t>Broncho-pulmonary infections in cystic fibrosis</w:t>
      </w:r>
    </w:p>
    <w:p w14:paraId="21031F41" w14:textId="77777777" w:rsidR="001A540A" w:rsidRDefault="00000000" w:rsidP="001A540A">
      <w:pPr>
        <w:spacing w:after="240" w:line="360" w:lineRule="auto"/>
        <w:ind w:left="759" w:right="11" w:hanging="11"/>
        <w:jc w:val="thaiDistribute"/>
        <w:rPr>
          <w:iCs/>
        </w:rPr>
      </w:pPr>
      <w:r>
        <w:t>Clinical trials have included children and adolescents aged 5-17 years. More limited experience is available in treating children between 1 and 5 years of age.</w:t>
      </w:r>
    </w:p>
    <w:p w14:paraId="71F4F90F" w14:textId="77777777" w:rsidR="001A540A" w:rsidRDefault="00000000" w:rsidP="001A540A">
      <w:pPr>
        <w:spacing w:after="240" w:line="360" w:lineRule="auto"/>
        <w:ind w:left="759" w:right="11" w:hanging="11"/>
        <w:jc w:val="thaiDistribute"/>
        <w:rPr>
          <w:iCs/>
        </w:rPr>
      </w:pPr>
      <w:r w:rsidRPr="001A540A">
        <w:rPr>
          <w:iCs/>
          <w:u w:val="single" w:color="000000"/>
        </w:rPr>
        <w:t>Complicated urinary tract infections and acute pyelonephritis</w:t>
      </w:r>
    </w:p>
    <w:p w14:paraId="48818BA9"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treatment of urinary tract infections should be considered when other treatments cannot be used, and should be based on the results of the microbiological documentation. Clinical trials have included children and adolescents aged 1-17 years.</w:t>
      </w:r>
    </w:p>
    <w:p w14:paraId="5C134151" w14:textId="77777777" w:rsidR="001A540A" w:rsidRDefault="00000000" w:rsidP="001A540A">
      <w:pPr>
        <w:spacing w:after="240" w:line="360" w:lineRule="auto"/>
        <w:ind w:left="759" w:right="11" w:hanging="11"/>
        <w:jc w:val="thaiDistribute"/>
        <w:rPr>
          <w:iCs/>
        </w:rPr>
      </w:pPr>
      <w:r w:rsidRPr="001A540A">
        <w:rPr>
          <w:iCs/>
          <w:u w:val="single" w:color="000000"/>
        </w:rPr>
        <w:t>Other specific severe infections</w:t>
      </w:r>
    </w:p>
    <w:p w14:paraId="656A4677" w14:textId="77777777" w:rsidR="001A540A" w:rsidRDefault="00000000" w:rsidP="001A540A">
      <w:pPr>
        <w:spacing w:after="240" w:line="360" w:lineRule="auto"/>
        <w:ind w:left="759" w:right="11" w:hanging="11"/>
        <w:jc w:val="thaiDistribute"/>
        <w:rPr>
          <w:iCs/>
        </w:rPr>
      </w:pPr>
      <w:r>
        <w:t xml:space="preserve">Other severe infections in accordance with official guidance, or after careful benefit-risk evaluation when other treatments cannot be used, or after failure to conventional therapy and when the microbiological documentation can justify a </w:t>
      </w:r>
      <w:r>
        <w:rPr>
          <w:color w:val="FF0000"/>
          <w:sz w:val="24"/>
        </w:rPr>
        <w:t xml:space="preserve">&lt;GENERIC NAME&gt; </w:t>
      </w:r>
      <w:r>
        <w:t>use.</w:t>
      </w:r>
    </w:p>
    <w:p w14:paraId="12E273D4" w14:textId="77777777" w:rsidR="001A540A" w:rsidRDefault="00000000" w:rsidP="001A540A">
      <w:pPr>
        <w:spacing w:after="240" w:line="360" w:lineRule="auto"/>
        <w:ind w:left="759" w:right="11" w:hanging="11"/>
        <w:jc w:val="thaiDistribute"/>
        <w:rPr>
          <w:iCs/>
        </w:rPr>
      </w:pPr>
      <w:r>
        <w:lastRenderedPageBreak/>
        <w:t xml:space="preserve">The use of </w:t>
      </w:r>
      <w:r>
        <w:rPr>
          <w:color w:val="FF0000"/>
          <w:sz w:val="24"/>
        </w:rPr>
        <w:t xml:space="preserve">&lt;GENERIC NAME&gt; </w:t>
      </w:r>
      <w:r>
        <w:t>for specific severe infections other than those mentioned above has not been evaluated in clinical trials and the clinical experience is limited. Consequently, caution is advised when treating patients with these infections.</w:t>
      </w:r>
    </w:p>
    <w:p w14:paraId="58C47279" w14:textId="77777777" w:rsidR="001A540A" w:rsidRDefault="00000000" w:rsidP="001A540A">
      <w:pPr>
        <w:spacing w:after="240" w:line="360" w:lineRule="auto"/>
        <w:ind w:left="759" w:right="11" w:hanging="11"/>
        <w:jc w:val="thaiDistribute"/>
        <w:rPr>
          <w:iCs/>
        </w:rPr>
      </w:pPr>
      <w:r w:rsidRPr="001A540A">
        <w:rPr>
          <w:iCs/>
          <w:u w:val="single" w:color="000000"/>
        </w:rPr>
        <w:t>Hypersensitivity</w:t>
      </w:r>
    </w:p>
    <w:p w14:paraId="24584CDD" w14:textId="77777777" w:rsidR="001A540A" w:rsidRDefault="00000000" w:rsidP="001A540A">
      <w:pPr>
        <w:spacing w:after="240" w:line="360" w:lineRule="auto"/>
        <w:ind w:left="759" w:right="11" w:hanging="11"/>
        <w:jc w:val="thaiDistribute"/>
        <w:rPr>
          <w:iCs/>
        </w:rPr>
      </w:pPr>
      <w:r>
        <w:t>Hypersensitivity and allergic reactions, including anaphylaxis and anaphylactoid reactions, may occur following a single dose (see section 4.8) and may be life-threatening. If such reaction occurs,</w:t>
      </w:r>
      <w:r w:rsidR="001A540A">
        <w:rPr>
          <w:iCs/>
        </w:rPr>
        <w:t xml:space="preserve"> </w:t>
      </w:r>
      <w:r>
        <w:rPr>
          <w:color w:val="FF0000"/>
          <w:sz w:val="24"/>
        </w:rPr>
        <w:t xml:space="preserve">&lt;GENERIC NAME&gt; </w:t>
      </w:r>
      <w:r>
        <w:t>should be discontinued and an adequate medical treatment is required.</w:t>
      </w:r>
    </w:p>
    <w:p w14:paraId="156EFFF0" w14:textId="77777777" w:rsidR="001A540A" w:rsidRDefault="00000000" w:rsidP="001A540A">
      <w:pPr>
        <w:spacing w:after="240" w:line="360" w:lineRule="auto"/>
        <w:ind w:left="759" w:right="11" w:hanging="11"/>
        <w:jc w:val="thaiDistribute"/>
        <w:rPr>
          <w:iCs/>
        </w:rPr>
      </w:pPr>
      <w:r w:rsidRPr="001A540A">
        <w:rPr>
          <w:iCs/>
          <w:u w:val="single" w:color="000000"/>
        </w:rPr>
        <w:t>Musculoskeletal System</w:t>
      </w:r>
    </w:p>
    <w:p w14:paraId="1279982A"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should generally not be used in patients with a history of tendon</w:t>
      </w:r>
      <w:r w:rsidR="001A540A">
        <w:t xml:space="preserve"> </w:t>
      </w:r>
      <w:r>
        <w:t xml:space="preserve">disease/disorder related to quinolone treatment. Nevertheless, in very rare instances, after microbiological documentation of the causative organism and evaluation of the risk/benefit balance, </w:t>
      </w:r>
      <w:r>
        <w:rPr>
          <w:color w:val="FF0000"/>
          <w:sz w:val="24"/>
        </w:rPr>
        <w:t xml:space="preserve">&lt;GENERIC NAME&gt; </w:t>
      </w:r>
      <w:r>
        <w:t xml:space="preserve">may be prescribed to these patients for the treatment of certain severe infections, particularly in the event of failure of the standard therapy or bacterial resistance, where the microbiological data may justify the use of </w:t>
      </w:r>
      <w:r>
        <w:rPr>
          <w:color w:val="FF0000"/>
          <w:sz w:val="24"/>
        </w:rPr>
        <w:t>&lt;GENERIC NAME&gt;</w:t>
      </w:r>
      <w:r>
        <w:t>.</w:t>
      </w:r>
    </w:p>
    <w:p w14:paraId="5A4356AA" w14:textId="77777777" w:rsidR="001A540A" w:rsidRDefault="00000000" w:rsidP="001A540A">
      <w:pPr>
        <w:spacing w:after="240" w:line="360" w:lineRule="auto"/>
        <w:ind w:left="759" w:right="11" w:hanging="11"/>
        <w:jc w:val="thaiDistribute"/>
        <w:rPr>
          <w:iCs/>
        </w:rPr>
      </w:pPr>
      <w:r>
        <w:rPr>
          <w:color w:val="FF0000"/>
          <w:sz w:val="24"/>
        </w:rPr>
        <w:t xml:space="preserve">&lt;GENERIC NAME&gt; </w:t>
      </w:r>
      <w:r>
        <w:t>should be used with caution in patients with myasthenia gravis, because symptoms can be exacerbated (see section 4.8).</w:t>
      </w:r>
    </w:p>
    <w:p w14:paraId="731D225C" w14:textId="77777777" w:rsidR="001A540A" w:rsidRDefault="00000000" w:rsidP="001A540A">
      <w:pPr>
        <w:spacing w:after="240" w:line="360" w:lineRule="auto"/>
        <w:ind w:left="759" w:right="11" w:hanging="11"/>
        <w:jc w:val="thaiDistribute"/>
        <w:rPr>
          <w:iCs/>
          <w:u w:val="single"/>
        </w:rPr>
      </w:pPr>
      <w:r w:rsidRPr="001A540A">
        <w:rPr>
          <w:iCs/>
          <w:u w:val="single" w:color="000000"/>
        </w:rPr>
        <w:t>Tendinitis and tendon rupture</w:t>
      </w:r>
    </w:p>
    <w:p w14:paraId="46A2A20D" w14:textId="77777777" w:rsidR="001A540A" w:rsidRDefault="00000000" w:rsidP="001A540A">
      <w:pPr>
        <w:spacing w:after="240" w:line="360" w:lineRule="auto"/>
        <w:ind w:left="759" w:right="11" w:hanging="11"/>
        <w:jc w:val="thaiDistribute"/>
        <w:rPr>
          <w:iCs/>
          <w:u w:val="single"/>
        </w:rPr>
      </w:pPr>
      <w:r>
        <w:t>Tendinitis and tendon rupture (especially but not limited to Achilles tendon), sometimes bilateral, may occur as early as within 48 hours of starting treatment with quinolones and fluoroquinolones and have been reported to occur even up to several months after discontinuation of treatment. The risk of tendinitis and tendon rupture is increased in older patients, patients with renal impairment, patients with solid organ transplants, and those treated concurrently with corticosteroids. Therefore, concomitant use of corticosteroids should be avoided.</w:t>
      </w:r>
    </w:p>
    <w:p w14:paraId="7E32EF7D" w14:textId="77777777" w:rsidR="001A540A" w:rsidRDefault="00000000" w:rsidP="001A540A">
      <w:pPr>
        <w:spacing w:after="240" w:line="360" w:lineRule="auto"/>
        <w:ind w:left="759" w:right="11" w:hanging="11"/>
        <w:jc w:val="thaiDistribute"/>
      </w:pPr>
      <w:r>
        <w:t xml:space="preserve">At the first sign of tendinitis (e.g. painful swelling, inflammation) the treatment with </w:t>
      </w:r>
      <w:r>
        <w:rPr>
          <w:color w:val="FF0000"/>
          <w:sz w:val="24"/>
        </w:rPr>
        <w:t xml:space="preserve">&lt;GENERIC NAME&gt; </w:t>
      </w:r>
      <w:r>
        <w:t xml:space="preserve">treatment should be discontinued and alternative treatment should </w:t>
      </w:r>
      <w:r>
        <w:lastRenderedPageBreak/>
        <w:t xml:space="preserve">be considered. The affected limb(s) should be appropriately treated (e.g. immobilisation). Corticosteroids should not be used if signs of tendinopathy occur. </w:t>
      </w:r>
    </w:p>
    <w:p w14:paraId="2A62AB4A" w14:textId="77777777" w:rsidR="001A540A" w:rsidRDefault="00000000" w:rsidP="001A540A">
      <w:pPr>
        <w:spacing w:after="240" w:line="360" w:lineRule="auto"/>
        <w:ind w:left="759" w:right="11" w:hanging="11"/>
        <w:jc w:val="thaiDistribute"/>
        <w:rPr>
          <w:iCs/>
          <w:u w:val="single"/>
        </w:rPr>
      </w:pPr>
      <w:r>
        <w:rPr>
          <w:u w:val="single" w:color="000000"/>
        </w:rPr>
        <w:t>Vision disorders</w:t>
      </w:r>
      <w:r w:rsidR="001A540A">
        <w:rPr>
          <w:iCs/>
          <w:u w:val="single"/>
        </w:rPr>
        <w:t xml:space="preserve"> </w:t>
      </w:r>
    </w:p>
    <w:p w14:paraId="2CCA19E3" w14:textId="77777777" w:rsidR="001A540A" w:rsidRDefault="00000000" w:rsidP="001A540A">
      <w:pPr>
        <w:spacing w:after="240" w:line="360" w:lineRule="auto"/>
        <w:ind w:left="759" w:right="11" w:hanging="11"/>
        <w:jc w:val="thaiDistribute"/>
        <w:rPr>
          <w:iCs/>
          <w:u w:val="single"/>
        </w:rPr>
      </w:pPr>
      <w:r>
        <w:t>If vision becomes impaired or any effects on the eyes are experienced, an eye specialist should be consulted immediately.</w:t>
      </w:r>
    </w:p>
    <w:p w14:paraId="03F01E36" w14:textId="77777777" w:rsidR="001A540A" w:rsidRDefault="00000000" w:rsidP="001A540A">
      <w:pPr>
        <w:spacing w:after="240" w:line="360" w:lineRule="auto"/>
        <w:ind w:left="759" w:right="11" w:hanging="11"/>
        <w:jc w:val="thaiDistribute"/>
        <w:rPr>
          <w:iCs/>
          <w:u w:val="single"/>
        </w:rPr>
      </w:pPr>
      <w:r w:rsidRPr="001A540A">
        <w:rPr>
          <w:iCs/>
          <w:u w:val="single" w:color="000000"/>
        </w:rPr>
        <w:t>Photosensitivity</w:t>
      </w:r>
    </w:p>
    <w:p w14:paraId="63427BD4" w14:textId="77777777" w:rsidR="001A540A" w:rsidRDefault="00000000" w:rsidP="001A540A">
      <w:pPr>
        <w:spacing w:after="240" w:line="360" w:lineRule="auto"/>
        <w:ind w:left="759" w:right="11" w:hanging="11"/>
        <w:jc w:val="thaiDistribute"/>
        <w:rPr>
          <w:iCs/>
          <w:u w:val="single"/>
        </w:rPr>
      </w:pPr>
      <w:r>
        <w:rPr>
          <w:color w:val="FF0000"/>
          <w:sz w:val="24"/>
        </w:rPr>
        <w:t xml:space="preserve">&lt;GENERIC NAME&gt; </w:t>
      </w:r>
      <w:r>
        <w:t>has been shown to cause photosensitivity reactions. Patients taking</w:t>
      </w:r>
      <w:r w:rsidR="001A540A">
        <w:rPr>
          <w:iCs/>
          <w:u w:val="single"/>
        </w:rPr>
        <w:t xml:space="preserve"> </w:t>
      </w:r>
      <w:r>
        <w:rPr>
          <w:color w:val="FF0000"/>
          <w:sz w:val="24"/>
        </w:rPr>
        <w:t xml:space="preserve">&lt;GENERIC NAME&gt; </w:t>
      </w:r>
      <w:r>
        <w:t>should be advised to avoid direct exposure to either extensive sunlight or UV irradiation during treatment (see section 4.8).</w:t>
      </w:r>
    </w:p>
    <w:p w14:paraId="1D028ED8" w14:textId="77777777" w:rsidR="001A540A" w:rsidRDefault="00000000" w:rsidP="001A540A">
      <w:pPr>
        <w:spacing w:after="240" w:line="360" w:lineRule="auto"/>
        <w:ind w:left="759" w:right="11" w:hanging="11"/>
        <w:jc w:val="thaiDistribute"/>
        <w:rPr>
          <w:iCs/>
          <w:u w:val="single"/>
        </w:rPr>
      </w:pPr>
      <w:r w:rsidRPr="001A540A">
        <w:rPr>
          <w:iCs/>
          <w:u w:val="single" w:color="000000"/>
        </w:rPr>
        <w:t>Central Nervous System</w:t>
      </w:r>
    </w:p>
    <w:p w14:paraId="22C803F3" w14:textId="77777777" w:rsidR="001A540A" w:rsidRDefault="00000000" w:rsidP="001A540A">
      <w:pPr>
        <w:spacing w:after="240" w:line="360" w:lineRule="auto"/>
        <w:ind w:left="759" w:right="11" w:hanging="11"/>
        <w:jc w:val="thaiDistribute"/>
        <w:rPr>
          <w:iCs/>
          <w:u w:val="single"/>
        </w:rPr>
      </w:pPr>
      <w:r>
        <w:rPr>
          <w:color w:val="FF0000"/>
          <w:sz w:val="24"/>
        </w:rPr>
        <w:t xml:space="preserve">&lt;GENERIC NAME&gt; </w:t>
      </w:r>
      <w:r>
        <w:t xml:space="preserve">like other quinolones are known to trigger seizures or lower the seizure threshold. Cases of status epilepticus have been reported. </w:t>
      </w:r>
      <w:r>
        <w:rPr>
          <w:color w:val="FF0000"/>
          <w:sz w:val="24"/>
        </w:rPr>
        <w:t xml:space="preserve">&lt;GENERIC NAME&gt; </w:t>
      </w:r>
      <w:r>
        <w:t xml:space="preserve">should be used with caution in patients with CNS disorders which may be predisposed to seizure. If seizures occur </w:t>
      </w:r>
      <w:r>
        <w:rPr>
          <w:color w:val="FF0000"/>
          <w:sz w:val="24"/>
        </w:rPr>
        <w:t xml:space="preserve">&lt;GENERIC NAME&gt; </w:t>
      </w:r>
      <w:r>
        <w:t xml:space="preserve">should be discontinued (see section 4.8). Psychiatric reactions may occur even after first administration of </w:t>
      </w:r>
      <w:r>
        <w:rPr>
          <w:color w:val="FF0000"/>
          <w:sz w:val="24"/>
        </w:rPr>
        <w:t>&lt;GENERIC NAME&gt;</w:t>
      </w:r>
      <w:r>
        <w:t xml:space="preserve">. In rare cases, depression or psychosis can progress to suicidal ideations/thoughts culminating in attempted suicide or completed suicide. . In the occurrence of such cases, </w:t>
      </w:r>
      <w:r>
        <w:rPr>
          <w:color w:val="FF0000"/>
          <w:sz w:val="24"/>
        </w:rPr>
        <w:t xml:space="preserve">&lt;GENERIC NAME&gt; </w:t>
      </w:r>
      <w:r>
        <w:t>should be discontinued.</w:t>
      </w:r>
    </w:p>
    <w:p w14:paraId="17A200EE" w14:textId="77777777" w:rsidR="001A540A" w:rsidRDefault="00000000" w:rsidP="001A540A">
      <w:pPr>
        <w:spacing w:after="240" w:line="360" w:lineRule="auto"/>
        <w:ind w:left="759" w:right="11" w:hanging="11"/>
        <w:jc w:val="thaiDistribute"/>
        <w:rPr>
          <w:iCs/>
          <w:u w:val="single"/>
        </w:rPr>
      </w:pPr>
      <w:r w:rsidRPr="001A540A">
        <w:rPr>
          <w:iCs/>
          <w:u w:val="single" w:color="000000"/>
        </w:rPr>
        <w:t>Peripheral neuropathy</w:t>
      </w:r>
    </w:p>
    <w:p w14:paraId="10047312" w14:textId="77777777" w:rsidR="001A540A" w:rsidRDefault="00000000" w:rsidP="001A540A">
      <w:pPr>
        <w:spacing w:after="240" w:line="360" w:lineRule="auto"/>
        <w:ind w:left="759" w:right="11" w:hanging="11"/>
        <w:jc w:val="thaiDistribute"/>
        <w:rPr>
          <w:iCs/>
          <w:u w:val="single"/>
        </w:rPr>
      </w:pPr>
      <w:r>
        <w:t xml:space="preserve">Cases of sensory or sensorimotor polyneuropathy resulting in paraesthesia, hypaesthesia, dysesthesia, or weakness have been reported in patients receiving quinolones and fluoroquinolones. Patients under treatment with </w:t>
      </w:r>
      <w:r>
        <w:rPr>
          <w:color w:val="FF0000"/>
          <w:sz w:val="24"/>
        </w:rPr>
        <w:t xml:space="preserve">&lt;GENERIC NAME&gt; </w:t>
      </w:r>
      <w:r>
        <w:t>should be advised to inform their doctor prior to continuing treatment if symptoms of neuropathy such as pain, burning, tingling, numbness, or weakness develop in order to prevent the development of potentially irreversible condition (see section 4.8).</w:t>
      </w:r>
    </w:p>
    <w:p w14:paraId="65E07993" w14:textId="77777777" w:rsidR="001A540A" w:rsidRDefault="001A540A">
      <w:pPr>
        <w:spacing w:after="160"/>
        <w:ind w:left="0" w:firstLine="0"/>
        <w:rPr>
          <w:iCs/>
          <w:u w:val="single"/>
        </w:rPr>
      </w:pPr>
      <w:r>
        <w:rPr>
          <w:iCs/>
          <w:u w:val="single"/>
        </w:rPr>
        <w:br w:type="page"/>
      </w:r>
    </w:p>
    <w:p w14:paraId="6BC20966" w14:textId="77777777" w:rsidR="001A540A" w:rsidRDefault="00000000" w:rsidP="001A540A">
      <w:pPr>
        <w:spacing w:after="240" w:line="360" w:lineRule="auto"/>
        <w:ind w:left="759" w:right="11" w:hanging="11"/>
        <w:jc w:val="thaiDistribute"/>
        <w:rPr>
          <w:iCs/>
          <w:u w:val="single"/>
        </w:rPr>
      </w:pPr>
      <w:r w:rsidRPr="001A540A">
        <w:rPr>
          <w:iCs/>
          <w:u w:val="single" w:color="000000"/>
        </w:rPr>
        <w:lastRenderedPageBreak/>
        <w:t>Cardiac disorders</w:t>
      </w:r>
    </w:p>
    <w:p w14:paraId="5DADADC8" w14:textId="4DB31F3B" w:rsidR="00AE0FAF" w:rsidRPr="001A540A" w:rsidRDefault="00000000" w:rsidP="001A540A">
      <w:pPr>
        <w:spacing w:after="240" w:line="360" w:lineRule="auto"/>
        <w:ind w:left="759" w:right="11" w:hanging="11"/>
        <w:jc w:val="thaiDistribute"/>
        <w:rPr>
          <w:iCs/>
          <w:u w:val="single"/>
        </w:rPr>
      </w:pPr>
      <w:r>
        <w:t xml:space="preserve">Caution should be taken when using fluoroquinolones, including </w:t>
      </w:r>
      <w:r>
        <w:rPr>
          <w:color w:val="FF0000"/>
          <w:sz w:val="24"/>
        </w:rPr>
        <w:t>&lt;GENERIC NAME&gt;</w:t>
      </w:r>
      <w:r>
        <w:t>, in patients with known risk factors for prolongation of the QT interval such as, for example:</w:t>
      </w:r>
    </w:p>
    <w:p w14:paraId="6AF0A978" w14:textId="77777777" w:rsidR="00AE0FAF" w:rsidRDefault="00000000" w:rsidP="001A540A">
      <w:pPr>
        <w:numPr>
          <w:ilvl w:val="0"/>
          <w:numId w:val="13"/>
        </w:numPr>
        <w:spacing w:after="6" w:line="360" w:lineRule="auto"/>
        <w:ind w:right="13"/>
        <w:jc w:val="thaiDistribute"/>
      </w:pPr>
      <w:r>
        <w:t>congenital long QT syndrome</w:t>
      </w:r>
    </w:p>
    <w:p w14:paraId="5C128674" w14:textId="77777777" w:rsidR="001A540A" w:rsidRDefault="00000000" w:rsidP="001A540A">
      <w:pPr>
        <w:numPr>
          <w:ilvl w:val="0"/>
          <w:numId w:val="13"/>
        </w:numPr>
        <w:spacing w:after="2" w:line="360" w:lineRule="auto"/>
        <w:ind w:right="13"/>
        <w:jc w:val="thaiDistribute"/>
      </w:pPr>
      <w:r>
        <w:t>concomitant use of drugs that are known to prolong the QT interval (e.g. Class IA and III</w:t>
      </w:r>
    </w:p>
    <w:p w14:paraId="48BBCB9E" w14:textId="65ED4F92" w:rsidR="00AE0FAF" w:rsidRDefault="00000000" w:rsidP="001A540A">
      <w:pPr>
        <w:numPr>
          <w:ilvl w:val="0"/>
          <w:numId w:val="13"/>
        </w:numPr>
        <w:spacing w:after="2" w:line="360" w:lineRule="auto"/>
        <w:ind w:right="13"/>
        <w:jc w:val="thaiDistribute"/>
      </w:pPr>
      <w:r>
        <w:t>antiarrhythmics, tricyclic antidepressants, macrolides, antipsychotics)</w:t>
      </w:r>
    </w:p>
    <w:p w14:paraId="1257A1A0" w14:textId="77777777" w:rsidR="001A540A" w:rsidRDefault="00000000" w:rsidP="001A540A">
      <w:pPr>
        <w:numPr>
          <w:ilvl w:val="0"/>
          <w:numId w:val="13"/>
        </w:numPr>
        <w:spacing w:after="0" w:line="360" w:lineRule="auto"/>
        <w:ind w:left="1105" w:right="11" w:hanging="357"/>
        <w:jc w:val="thaiDistribute"/>
      </w:pPr>
      <w:r>
        <w:t xml:space="preserve">uncorrected electrolyte imbalance (e.g. hypokalaemia, hypomagnesaemia) </w:t>
      </w:r>
    </w:p>
    <w:p w14:paraId="7454CACF" w14:textId="77777777" w:rsidR="001A540A" w:rsidRDefault="00000000" w:rsidP="001A540A">
      <w:pPr>
        <w:numPr>
          <w:ilvl w:val="0"/>
          <w:numId w:val="13"/>
        </w:numPr>
        <w:spacing w:after="240" w:line="360" w:lineRule="auto"/>
        <w:ind w:left="1105" w:right="11" w:hanging="357"/>
        <w:jc w:val="thaiDistribute"/>
      </w:pPr>
      <w:r>
        <w:t>cardiac disease (e.g. heart failure, myocardial infarction, bradycardia)</w:t>
      </w:r>
    </w:p>
    <w:p w14:paraId="29C78EE9" w14:textId="77777777" w:rsidR="001A540A" w:rsidRDefault="00000000" w:rsidP="001A540A">
      <w:pPr>
        <w:spacing w:after="240" w:line="360" w:lineRule="auto"/>
        <w:ind w:left="748" w:right="11" w:firstLine="0"/>
        <w:jc w:val="thaiDistribute"/>
      </w:pPr>
      <w:r>
        <w:t xml:space="preserve">Elderly patients and women may be more sensitive to QTc-prolonging medications. Therefore, caution should be taken when using fluoroquinolones, including </w:t>
      </w:r>
      <w:r w:rsidRPr="001A540A">
        <w:rPr>
          <w:color w:val="FF0000"/>
          <w:sz w:val="24"/>
        </w:rPr>
        <w:t>&lt;GENERIC NAME&gt;</w:t>
      </w:r>
      <w:r>
        <w:t>, in these populations</w:t>
      </w:r>
      <w:r w:rsidR="001A540A">
        <w:t xml:space="preserve"> </w:t>
      </w:r>
      <w:r>
        <w:t>(See section 4.2 Elderly patients, section 4.5, section 4.8, section 4.9).</w:t>
      </w:r>
    </w:p>
    <w:p w14:paraId="42987DC0" w14:textId="77777777" w:rsidR="001A540A" w:rsidRDefault="00000000" w:rsidP="001A540A">
      <w:pPr>
        <w:spacing w:after="240" w:line="360" w:lineRule="auto"/>
        <w:ind w:left="748" w:right="11" w:firstLine="0"/>
        <w:jc w:val="thaiDistribute"/>
        <w:rPr>
          <w:u w:val="single"/>
        </w:rPr>
      </w:pPr>
      <w:r w:rsidRPr="001A540A">
        <w:rPr>
          <w:u w:val="single"/>
        </w:rPr>
        <w:t>Hypoglycemia</w:t>
      </w:r>
    </w:p>
    <w:p w14:paraId="0D434EF4" w14:textId="77777777" w:rsidR="001A540A" w:rsidRDefault="00000000" w:rsidP="001A540A">
      <w:pPr>
        <w:spacing w:after="240" w:line="360" w:lineRule="auto"/>
        <w:ind w:left="748" w:right="11" w:firstLine="0"/>
        <w:jc w:val="thaiDistribute"/>
        <w:rPr>
          <w:u w:val="single"/>
        </w:rPr>
      </w:pPr>
      <w:r>
        <w:t>As with other quinolones, hypoglycemia has been reported most often in diabetic patients, predominantly in the elderly population. In all diabetic patients, careful monitoring of blood glucose is recommended (see section 4.8).</w:t>
      </w:r>
    </w:p>
    <w:p w14:paraId="650AB90E" w14:textId="77777777" w:rsidR="001A540A" w:rsidRPr="001A540A" w:rsidRDefault="00000000" w:rsidP="001A540A">
      <w:pPr>
        <w:spacing w:after="240" w:line="360" w:lineRule="auto"/>
        <w:ind w:left="748" w:right="11" w:firstLine="0"/>
        <w:jc w:val="thaiDistribute"/>
        <w:rPr>
          <w:iCs/>
          <w:u w:val="single"/>
        </w:rPr>
      </w:pPr>
      <w:r w:rsidRPr="001A540A">
        <w:rPr>
          <w:iCs/>
          <w:u w:val="single" w:color="000000"/>
        </w:rPr>
        <w:t>Dysglycaemia</w:t>
      </w:r>
    </w:p>
    <w:p w14:paraId="097349DD" w14:textId="77777777" w:rsidR="001A540A" w:rsidRDefault="00000000" w:rsidP="001A540A">
      <w:pPr>
        <w:spacing w:after="240" w:line="360" w:lineRule="auto"/>
        <w:ind w:left="748" w:right="11" w:firstLine="0"/>
        <w:jc w:val="thaiDistribute"/>
        <w:rPr>
          <w:u w:val="single"/>
        </w:rPr>
      </w:pPr>
      <w:r>
        <w:t>As with all quinolones, disturbances in blood glucose, including both hypoglycaemia and hyperglycaemia have been reported (see section 4.8), usually in diabetic patients receiving concomitant treatment with an oral hypoglycaemic agent (e.g., glibenclamide) or with insulin. Cases of hypoglycaemic coma have been reported. In diabetic patients, careful monitoring of blood glucose is recommended.</w:t>
      </w:r>
    </w:p>
    <w:p w14:paraId="7EAD80EE" w14:textId="77777777" w:rsidR="001A540A" w:rsidRPr="001A540A" w:rsidRDefault="00000000" w:rsidP="001A540A">
      <w:pPr>
        <w:spacing w:after="240" w:line="360" w:lineRule="auto"/>
        <w:ind w:left="748" w:right="11" w:firstLine="0"/>
        <w:jc w:val="thaiDistribute"/>
        <w:rPr>
          <w:iCs/>
          <w:u w:val="single"/>
        </w:rPr>
      </w:pPr>
      <w:r w:rsidRPr="001A540A">
        <w:rPr>
          <w:iCs/>
          <w:u w:val="single" w:color="000000"/>
        </w:rPr>
        <w:t>Gastrointestinal System</w:t>
      </w:r>
    </w:p>
    <w:p w14:paraId="763C0EC2" w14:textId="77777777" w:rsidR="001A540A" w:rsidRDefault="00000000" w:rsidP="001A540A">
      <w:pPr>
        <w:spacing w:after="240" w:line="360" w:lineRule="auto"/>
        <w:ind w:left="748" w:right="11" w:firstLine="0"/>
        <w:jc w:val="thaiDistribute"/>
        <w:rPr>
          <w:u w:val="single"/>
        </w:rPr>
      </w:pPr>
      <w:r>
        <w:t xml:space="preserve">The occurrence of severe and persistent diarrhoea during or after treatment (including several weeks after treatment) may indicate an antibiotic-associated colitis (life-threatening with possible fatal outcome), requiring immediate treatment (see section 4.8). In such </w:t>
      </w:r>
      <w:r>
        <w:lastRenderedPageBreak/>
        <w:t xml:space="preserve">cases, </w:t>
      </w:r>
      <w:r>
        <w:rPr>
          <w:color w:val="FF0000"/>
          <w:sz w:val="24"/>
        </w:rPr>
        <w:t xml:space="preserve">&lt;GENERIC NAME&gt; </w:t>
      </w:r>
      <w:r>
        <w:t>should immediately be discontinued, and an appropriate therapy initiated. Anti-peristaltic drugs are contraindicated in this situation.</w:t>
      </w:r>
    </w:p>
    <w:p w14:paraId="24FA890D" w14:textId="77777777" w:rsidR="001A540A" w:rsidRDefault="00000000" w:rsidP="001A540A">
      <w:pPr>
        <w:spacing w:after="240" w:line="360" w:lineRule="auto"/>
        <w:ind w:left="748" w:right="11" w:firstLine="0"/>
        <w:jc w:val="thaiDistribute"/>
        <w:rPr>
          <w:iCs/>
          <w:u w:val="single"/>
        </w:rPr>
      </w:pPr>
      <w:r w:rsidRPr="001A540A">
        <w:rPr>
          <w:iCs/>
          <w:u w:val="single" w:color="000000"/>
        </w:rPr>
        <w:t>Renal and urinary system</w:t>
      </w:r>
    </w:p>
    <w:p w14:paraId="31744715" w14:textId="77777777" w:rsidR="001A540A" w:rsidRDefault="00000000" w:rsidP="001A540A">
      <w:pPr>
        <w:spacing w:after="240" w:line="360" w:lineRule="auto"/>
        <w:ind w:left="748" w:right="11" w:firstLine="0"/>
        <w:jc w:val="thaiDistribute"/>
      </w:pPr>
      <w:r>
        <w:t xml:space="preserve">Crystalluria related to the use of </w:t>
      </w:r>
      <w:r>
        <w:rPr>
          <w:color w:val="FF0000"/>
          <w:sz w:val="24"/>
        </w:rPr>
        <w:t xml:space="preserve">&lt;GENERIC NAME&gt; </w:t>
      </w:r>
      <w:r>
        <w:t xml:space="preserve">has been reported (see section 4.8). Patients receiving </w:t>
      </w:r>
      <w:r>
        <w:rPr>
          <w:color w:val="FF0000"/>
          <w:sz w:val="24"/>
        </w:rPr>
        <w:t xml:space="preserve">&lt;GENERIC NAME&gt; </w:t>
      </w:r>
      <w:r>
        <w:t>should be well hydrated and excessive alkalinity of the urine should be avoided.</w:t>
      </w:r>
    </w:p>
    <w:p w14:paraId="4ACB6414" w14:textId="77777777" w:rsidR="001A540A" w:rsidRDefault="00000000" w:rsidP="001A540A">
      <w:pPr>
        <w:spacing w:after="240" w:line="360" w:lineRule="auto"/>
        <w:ind w:left="748" w:right="11" w:firstLine="0"/>
        <w:jc w:val="thaiDistribute"/>
        <w:rPr>
          <w:iCs/>
          <w:u w:val="single"/>
        </w:rPr>
      </w:pPr>
      <w:r w:rsidRPr="001A540A">
        <w:rPr>
          <w:u w:val="single"/>
        </w:rPr>
        <w:t>Impaired renal function</w:t>
      </w:r>
    </w:p>
    <w:p w14:paraId="3C370032" w14:textId="77777777" w:rsidR="001A540A" w:rsidRDefault="00000000" w:rsidP="001A540A">
      <w:pPr>
        <w:spacing w:after="240" w:line="360" w:lineRule="auto"/>
        <w:ind w:left="748" w:right="11" w:firstLine="0"/>
        <w:jc w:val="thaiDistribute"/>
        <w:rPr>
          <w:iCs/>
          <w:u w:val="single"/>
        </w:rPr>
      </w:pPr>
      <w:r>
        <w:t xml:space="preserve">Since </w:t>
      </w:r>
      <w:r>
        <w:rPr>
          <w:color w:val="FF0000"/>
          <w:sz w:val="24"/>
        </w:rPr>
        <w:t xml:space="preserve">&lt;GENERIC NAME&gt; </w:t>
      </w:r>
      <w:r>
        <w:t xml:space="preserve">is largely excreted unchanged via renal pathway dose adjustment is needed in patients with impaired renal function as described in section 4.2 to avoid an increase in adverse drug reactions due to accumulation of </w:t>
      </w:r>
      <w:r>
        <w:rPr>
          <w:color w:val="FF0000"/>
          <w:sz w:val="24"/>
        </w:rPr>
        <w:t>&lt;GENERIC NAME&gt;</w:t>
      </w:r>
      <w:r>
        <w:t>.</w:t>
      </w:r>
    </w:p>
    <w:p w14:paraId="60A69381" w14:textId="77777777" w:rsidR="001A540A" w:rsidRDefault="00000000" w:rsidP="001A540A">
      <w:pPr>
        <w:spacing w:after="240" w:line="360" w:lineRule="auto"/>
        <w:ind w:left="748" w:right="11" w:firstLine="0"/>
        <w:jc w:val="thaiDistribute"/>
        <w:rPr>
          <w:iCs/>
          <w:u w:val="single"/>
        </w:rPr>
      </w:pPr>
      <w:r w:rsidRPr="001A540A">
        <w:rPr>
          <w:iCs/>
          <w:u w:val="single" w:color="000000"/>
        </w:rPr>
        <w:t>Hepatobiliary system</w:t>
      </w:r>
    </w:p>
    <w:p w14:paraId="5B9DD276" w14:textId="77777777" w:rsidR="001A540A" w:rsidRDefault="00000000" w:rsidP="001A540A">
      <w:pPr>
        <w:spacing w:after="240" w:line="360" w:lineRule="auto"/>
        <w:ind w:left="748" w:right="11" w:firstLine="0"/>
        <w:jc w:val="thaiDistribute"/>
        <w:rPr>
          <w:iCs/>
          <w:u w:val="single"/>
        </w:rPr>
      </w:pPr>
      <w:r>
        <w:t xml:space="preserve">Cases of hepatic necrosis and life-threatening hepatic failure have been reported with </w:t>
      </w:r>
      <w:r>
        <w:rPr>
          <w:color w:val="FF0000"/>
          <w:sz w:val="24"/>
        </w:rPr>
        <w:t xml:space="preserve">&lt;GENERIC NAME&gt; </w:t>
      </w:r>
      <w:r>
        <w:t>(see section 4.8). In the event of any signs and symptoms of hepatic disease (such as anorexia, jaundice, dark urine, pruritus, or tender abdomen), treatment should be discontinued.</w:t>
      </w:r>
    </w:p>
    <w:p w14:paraId="1E9AD4A3" w14:textId="77777777" w:rsidR="001A540A" w:rsidRPr="001A540A" w:rsidRDefault="00000000" w:rsidP="001A540A">
      <w:pPr>
        <w:spacing w:after="240" w:line="360" w:lineRule="auto"/>
        <w:ind w:left="748" w:right="11" w:firstLine="0"/>
        <w:jc w:val="thaiDistribute"/>
        <w:rPr>
          <w:iCs/>
          <w:u w:val="single"/>
        </w:rPr>
      </w:pPr>
      <w:r w:rsidRPr="001A540A">
        <w:rPr>
          <w:iCs/>
          <w:u w:val="single" w:color="000000"/>
        </w:rPr>
        <w:t>Glucose-6-phosphate dehydrogenase deficiency</w:t>
      </w:r>
    </w:p>
    <w:p w14:paraId="1AC93503" w14:textId="77777777" w:rsidR="001A540A" w:rsidRDefault="00000000" w:rsidP="001A540A">
      <w:pPr>
        <w:spacing w:after="240" w:line="360" w:lineRule="auto"/>
        <w:ind w:left="748" w:right="11" w:firstLine="0"/>
        <w:jc w:val="thaiDistribute"/>
        <w:rPr>
          <w:iCs/>
          <w:u w:val="single"/>
        </w:rPr>
      </w:pPr>
      <w:r>
        <w:t xml:space="preserve">Haemolytic reactions have been reported with </w:t>
      </w:r>
      <w:r>
        <w:rPr>
          <w:color w:val="FF0000"/>
          <w:sz w:val="24"/>
        </w:rPr>
        <w:t xml:space="preserve">&lt;GENERIC NAME&gt; </w:t>
      </w:r>
      <w:r>
        <w:t xml:space="preserve">in patients with glucose-6-phosphate dehydrogenase deficiency. </w:t>
      </w:r>
      <w:r>
        <w:rPr>
          <w:color w:val="FF0000"/>
          <w:sz w:val="24"/>
        </w:rPr>
        <w:t xml:space="preserve">&lt;GENERIC NAME&gt; </w:t>
      </w:r>
      <w:r>
        <w:t>should be avoided in these patients unless the potential benefit is considered to outweigh the possible risk. In this case, potential occurrence of haemolysis should be monitored.</w:t>
      </w:r>
    </w:p>
    <w:p w14:paraId="6EC54C5C" w14:textId="77777777" w:rsidR="001A540A" w:rsidRDefault="00000000" w:rsidP="001A540A">
      <w:pPr>
        <w:spacing w:after="240" w:line="360" w:lineRule="auto"/>
        <w:ind w:left="748" w:right="11" w:firstLine="0"/>
        <w:jc w:val="thaiDistribute"/>
        <w:rPr>
          <w:iCs/>
          <w:u w:val="single"/>
        </w:rPr>
      </w:pPr>
      <w:r w:rsidRPr="001A540A">
        <w:rPr>
          <w:iCs/>
          <w:u w:val="single" w:color="000000"/>
        </w:rPr>
        <w:t>Resistance</w:t>
      </w:r>
    </w:p>
    <w:p w14:paraId="7EA3D2B1" w14:textId="77777777" w:rsidR="001A540A" w:rsidRDefault="00000000" w:rsidP="001A540A">
      <w:pPr>
        <w:spacing w:after="240" w:line="360" w:lineRule="auto"/>
        <w:ind w:left="748" w:right="11" w:firstLine="0"/>
        <w:jc w:val="thaiDistribute"/>
        <w:rPr>
          <w:iCs/>
          <w:u w:val="single"/>
        </w:rPr>
      </w:pPr>
      <w:r>
        <w:t xml:space="preserve">During or following a course of treatment with </w:t>
      </w:r>
      <w:r>
        <w:rPr>
          <w:color w:val="FF0000"/>
          <w:sz w:val="24"/>
        </w:rPr>
        <w:t xml:space="preserve">&lt;GENERIC NAME&gt; </w:t>
      </w:r>
      <w:r>
        <w:t xml:space="preserve">bacteria that demonstrate resistance to </w:t>
      </w:r>
      <w:r>
        <w:rPr>
          <w:color w:val="FF0000"/>
          <w:sz w:val="24"/>
        </w:rPr>
        <w:t xml:space="preserve">&lt;GENERIC NAME&gt; </w:t>
      </w:r>
      <w:r>
        <w:t xml:space="preserve">may be isolated, with or without a clinically apparent superinfection. There may be a particular risk of selecting for </w:t>
      </w:r>
      <w:r>
        <w:rPr>
          <w:color w:val="FF0000"/>
          <w:sz w:val="24"/>
        </w:rPr>
        <w:t>&lt;GENERIC NAME&gt;</w:t>
      </w:r>
      <w:r>
        <w:t>-resistant bacteria during extended durations of treatment</w:t>
      </w:r>
      <w:r w:rsidR="001A540A">
        <w:rPr>
          <w:iCs/>
          <w:u w:val="single"/>
        </w:rPr>
        <w:t xml:space="preserve"> </w:t>
      </w:r>
      <w:r>
        <w:t xml:space="preserve">and when </w:t>
      </w:r>
      <w:r>
        <w:lastRenderedPageBreak/>
        <w:t xml:space="preserve">treating nosocomial infections and/or infections caused by </w:t>
      </w:r>
      <w:r>
        <w:rPr>
          <w:i/>
        </w:rPr>
        <w:t xml:space="preserve">Staphylococcus </w:t>
      </w:r>
      <w:r>
        <w:t xml:space="preserve">and </w:t>
      </w:r>
      <w:r>
        <w:rPr>
          <w:i/>
        </w:rPr>
        <w:t xml:space="preserve">Pseudomonas </w:t>
      </w:r>
      <w:r>
        <w:t>species.</w:t>
      </w:r>
    </w:p>
    <w:p w14:paraId="3A9C8191" w14:textId="77777777" w:rsidR="001A540A" w:rsidRDefault="00000000" w:rsidP="001A540A">
      <w:pPr>
        <w:spacing w:after="240" w:line="360" w:lineRule="auto"/>
        <w:ind w:left="748" w:right="11" w:firstLine="0"/>
        <w:jc w:val="thaiDistribute"/>
        <w:rPr>
          <w:iCs/>
          <w:u w:val="single"/>
        </w:rPr>
      </w:pPr>
      <w:r w:rsidRPr="001A540A">
        <w:rPr>
          <w:iCs/>
          <w:u w:val="single" w:color="000000"/>
        </w:rPr>
        <w:t>Cytochrome P450</w:t>
      </w:r>
    </w:p>
    <w:p w14:paraId="35C0D065" w14:textId="77777777" w:rsidR="001A540A" w:rsidRDefault="00000000" w:rsidP="001A540A">
      <w:pPr>
        <w:spacing w:after="240" w:line="360" w:lineRule="auto"/>
        <w:ind w:left="748" w:right="11" w:firstLine="0"/>
        <w:jc w:val="thaiDistribute"/>
        <w:rPr>
          <w:iCs/>
          <w:u w:val="single"/>
        </w:rPr>
      </w:pPr>
      <w:r>
        <w:rPr>
          <w:color w:val="FF0000"/>
          <w:sz w:val="24"/>
        </w:rPr>
        <w:t xml:space="preserve">&lt;GENERIC NAME&gt; </w:t>
      </w:r>
      <w:r>
        <w:t xml:space="preserve">inhibits CYP1A2 and thus may cause increased serum concentration of concomitantly administered substances metabolised by this enzyme (e.g. theophylline, clozapine, olanzapine, ropinirole, tizanidine, duloxetine). Co-administration of </w:t>
      </w:r>
      <w:r>
        <w:rPr>
          <w:color w:val="FF0000"/>
          <w:sz w:val="24"/>
        </w:rPr>
        <w:t xml:space="preserve">&lt;GENERIC NAME&gt; </w:t>
      </w:r>
      <w:r>
        <w:t>and tizanidine is contraindicated. Therefore, patients taking these substances concomitantly with</w:t>
      </w:r>
      <w:r w:rsidR="001A540A">
        <w:rPr>
          <w:iCs/>
        </w:rPr>
        <w:t xml:space="preserve"> </w:t>
      </w:r>
      <w:r>
        <w:rPr>
          <w:color w:val="FF0000"/>
          <w:sz w:val="24"/>
        </w:rPr>
        <w:t xml:space="preserve">&lt;GENERIC NAME&gt; </w:t>
      </w:r>
      <w:r>
        <w:t>should be monitored closely for clinical signs of overdose, and determination of serum concentrations (e.g. of theophylline) may be necessary (see section 4.5).</w:t>
      </w:r>
    </w:p>
    <w:p w14:paraId="6CE2C273" w14:textId="77777777" w:rsidR="001A540A" w:rsidRDefault="00000000" w:rsidP="001A540A">
      <w:pPr>
        <w:spacing w:after="240" w:line="360" w:lineRule="auto"/>
        <w:ind w:left="748" w:right="11" w:firstLine="0"/>
        <w:jc w:val="thaiDistribute"/>
        <w:rPr>
          <w:iCs/>
          <w:u w:val="single" w:color="000000"/>
        </w:rPr>
      </w:pPr>
      <w:r w:rsidRPr="001A540A">
        <w:rPr>
          <w:iCs/>
          <w:u w:val="single" w:color="000000"/>
        </w:rPr>
        <w:t>Methotrexate</w:t>
      </w:r>
    </w:p>
    <w:p w14:paraId="7A4CFDD4" w14:textId="77777777" w:rsidR="001A540A" w:rsidRDefault="00000000" w:rsidP="001A540A">
      <w:pPr>
        <w:spacing w:after="240" w:line="360" w:lineRule="auto"/>
        <w:ind w:left="748" w:right="11" w:firstLine="0"/>
        <w:jc w:val="thaiDistribute"/>
        <w:rPr>
          <w:iCs/>
          <w:u w:val="single"/>
        </w:rPr>
      </w:pPr>
      <w:r>
        <w:t xml:space="preserve">The concomitant use of </w:t>
      </w:r>
      <w:r>
        <w:rPr>
          <w:color w:val="FF0000"/>
          <w:sz w:val="24"/>
        </w:rPr>
        <w:t xml:space="preserve">&lt;GENERIC NAME&gt; </w:t>
      </w:r>
      <w:r>
        <w:t>with methotrexate is not recommended (see section</w:t>
      </w:r>
      <w:r w:rsidR="001A540A">
        <w:rPr>
          <w:iCs/>
        </w:rPr>
        <w:t xml:space="preserve"> </w:t>
      </w:r>
      <w:r>
        <w:t>4.5).</w:t>
      </w:r>
    </w:p>
    <w:p w14:paraId="68E74BFF" w14:textId="77777777" w:rsidR="001A540A" w:rsidRDefault="00000000" w:rsidP="001A540A">
      <w:pPr>
        <w:spacing w:after="240" w:line="360" w:lineRule="auto"/>
        <w:ind w:left="748" w:right="11" w:firstLine="0"/>
        <w:jc w:val="thaiDistribute"/>
        <w:rPr>
          <w:iCs/>
          <w:u w:val="single"/>
        </w:rPr>
      </w:pPr>
      <w:r w:rsidRPr="001A540A">
        <w:rPr>
          <w:iCs/>
          <w:u w:val="single" w:color="000000"/>
        </w:rPr>
        <w:t>Interaction with tests</w:t>
      </w:r>
    </w:p>
    <w:p w14:paraId="2CA9578C" w14:textId="77777777" w:rsidR="001A540A" w:rsidRDefault="00000000" w:rsidP="001A540A">
      <w:pPr>
        <w:spacing w:after="240" w:line="360" w:lineRule="auto"/>
        <w:ind w:left="748" w:right="11" w:firstLine="0"/>
        <w:jc w:val="thaiDistribute"/>
        <w:rPr>
          <w:iCs/>
          <w:u w:val="single"/>
        </w:rPr>
      </w:pPr>
      <w:r>
        <w:t xml:space="preserve">The </w:t>
      </w:r>
      <w:r>
        <w:rPr>
          <w:i/>
        </w:rPr>
        <w:t xml:space="preserve">in-vitro </w:t>
      </w:r>
      <w:r>
        <w:t xml:space="preserve">activity of </w:t>
      </w:r>
      <w:r>
        <w:rPr>
          <w:color w:val="FF0000"/>
          <w:sz w:val="24"/>
        </w:rPr>
        <w:t xml:space="preserve">&lt;GENERIC NAME&gt; </w:t>
      </w:r>
      <w:r>
        <w:t xml:space="preserve">against </w:t>
      </w:r>
      <w:r>
        <w:rPr>
          <w:i/>
        </w:rPr>
        <w:t xml:space="preserve">Mycobacterium tuberculosis </w:t>
      </w:r>
      <w:r>
        <w:t xml:space="preserve">might give false negative bacteriological test results in specimens from patients currently taking </w:t>
      </w:r>
      <w:r>
        <w:rPr>
          <w:color w:val="FF0000"/>
          <w:sz w:val="24"/>
        </w:rPr>
        <w:t>&lt;GENERIC</w:t>
      </w:r>
      <w:r w:rsidR="001A540A">
        <w:rPr>
          <w:iCs/>
        </w:rPr>
        <w:t xml:space="preserve"> </w:t>
      </w:r>
      <w:r>
        <w:rPr>
          <w:color w:val="FF0000"/>
          <w:sz w:val="24"/>
        </w:rPr>
        <w:t>NAME&gt;</w:t>
      </w:r>
      <w:r>
        <w:t>.</w:t>
      </w:r>
    </w:p>
    <w:p w14:paraId="54FA9D08" w14:textId="77777777" w:rsidR="001A540A" w:rsidRDefault="00000000" w:rsidP="001A540A">
      <w:pPr>
        <w:spacing w:after="240" w:line="360" w:lineRule="auto"/>
        <w:ind w:left="748" w:right="11" w:firstLine="0"/>
        <w:jc w:val="thaiDistribute"/>
        <w:rPr>
          <w:iCs/>
          <w:u w:val="single"/>
        </w:rPr>
      </w:pPr>
      <w:r w:rsidRPr="001A540A">
        <w:rPr>
          <w:iCs/>
          <w:u w:val="single" w:color="000000"/>
        </w:rPr>
        <w:t>Injection Site Reaction</w:t>
      </w:r>
    </w:p>
    <w:p w14:paraId="6DB9C21D" w14:textId="77777777" w:rsidR="001A540A" w:rsidRDefault="00000000" w:rsidP="001A540A">
      <w:pPr>
        <w:spacing w:after="240" w:line="360" w:lineRule="auto"/>
        <w:ind w:left="748" w:right="11" w:firstLine="0"/>
        <w:jc w:val="thaiDistribute"/>
        <w:rPr>
          <w:iCs/>
          <w:u w:val="single"/>
        </w:rPr>
      </w:pPr>
      <w:r>
        <w:t xml:space="preserve">Local intravenous site reactions have been reported with the intravenous administration of </w:t>
      </w:r>
      <w:r>
        <w:rPr>
          <w:color w:val="FF0000"/>
          <w:sz w:val="24"/>
        </w:rPr>
        <w:t>&lt;GENERIC NAME&gt;</w:t>
      </w:r>
      <w:r>
        <w:t>. These reactions are more frequent if the infusion time is 30 minutes or less.</w:t>
      </w:r>
      <w:r w:rsidR="001A540A">
        <w:rPr>
          <w:iCs/>
          <w:u w:val="single"/>
        </w:rPr>
        <w:t xml:space="preserve"> </w:t>
      </w:r>
      <w:r>
        <w:t>These may appear as local skin reactions which resolve rapidly upon completion of the infusion.</w:t>
      </w:r>
    </w:p>
    <w:p w14:paraId="0B2E5EF0" w14:textId="77777777" w:rsidR="001A540A" w:rsidRDefault="00000000" w:rsidP="001A540A">
      <w:pPr>
        <w:spacing w:after="240" w:line="360" w:lineRule="auto"/>
        <w:ind w:left="748" w:right="11" w:firstLine="0"/>
        <w:jc w:val="thaiDistribute"/>
        <w:rPr>
          <w:iCs/>
          <w:u w:val="single"/>
        </w:rPr>
      </w:pPr>
      <w:r>
        <w:t>Subsequent intravenous administration is not contraindicated unless the reactions recur or worsen.</w:t>
      </w:r>
    </w:p>
    <w:p w14:paraId="59036542" w14:textId="77777777" w:rsidR="001A540A" w:rsidRDefault="001A540A">
      <w:pPr>
        <w:spacing w:after="160"/>
        <w:ind w:left="0" w:firstLine="0"/>
        <w:rPr>
          <w:iCs/>
          <w:u w:val="single" w:color="000000"/>
        </w:rPr>
      </w:pPr>
      <w:r>
        <w:rPr>
          <w:iCs/>
          <w:u w:val="single" w:color="000000"/>
        </w:rPr>
        <w:br w:type="page"/>
      </w:r>
    </w:p>
    <w:p w14:paraId="4C95BD49" w14:textId="77777777" w:rsidR="001A540A" w:rsidRDefault="00000000" w:rsidP="001A540A">
      <w:pPr>
        <w:spacing w:after="240" w:line="360" w:lineRule="auto"/>
        <w:ind w:left="748" w:right="11" w:firstLine="0"/>
        <w:jc w:val="thaiDistribute"/>
        <w:rPr>
          <w:iCs/>
          <w:u w:val="single"/>
        </w:rPr>
      </w:pPr>
      <w:r w:rsidRPr="001A540A">
        <w:rPr>
          <w:iCs/>
          <w:u w:val="single" w:color="000000"/>
        </w:rPr>
        <w:lastRenderedPageBreak/>
        <w:t>Sodium</w:t>
      </w:r>
    </w:p>
    <w:p w14:paraId="72D042C1" w14:textId="77777777" w:rsidR="001A540A" w:rsidRDefault="00000000" w:rsidP="001A540A">
      <w:pPr>
        <w:spacing w:after="240" w:line="360" w:lineRule="auto"/>
        <w:ind w:left="748" w:right="11" w:firstLine="0"/>
        <w:jc w:val="thaiDistribute"/>
        <w:rPr>
          <w:iCs/>
          <w:u w:val="single"/>
        </w:rPr>
      </w:pPr>
      <w:r>
        <w:t xml:space="preserve">This medicinal product contains </w:t>
      </w:r>
      <w:r w:rsidR="001A540A" w:rsidRPr="001A540A">
        <w:rPr>
          <w:color w:val="FF0000"/>
        </w:rPr>
        <w:t>&lt;REGARDING THE APPROVAL&gt;</w:t>
      </w:r>
      <w:r w:rsidR="001A540A" w:rsidRPr="001A540A">
        <w:rPr>
          <w:color w:val="FF0000"/>
        </w:rPr>
        <w:t xml:space="preserve"> </w:t>
      </w:r>
      <w:r>
        <w:t>sodium per dose</w:t>
      </w:r>
      <w:r>
        <w:rPr>
          <w:sz w:val="16"/>
        </w:rPr>
        <w:t xml:space="preserve">, </w:t>
      </w:r>
      <w:r>
        <w:t>equivalent to 35.39% of the WHO recommended daily intake for sodium for adults.</w:t>
      </w:r>
    </w:p>
    <w:p w14:paraId="1AF092FB" w14:textId="77777777" w:rsidR="001A540A" w:rsidRDefault="00000000" w:rsidP="001A540A">
      <w:pPr>
        <w:spacing w:after="240" w:line="360" w:lineRule="auto"/>
        <w:ind w:left="748" w:right="11" w:firstLine="0"/>
        <w:jc w:val="thaiDistribute"/>
        <w:rPr>
          <w:iCs/>
          <w:u w:val="single"/>
        </w:rPr>
      </w:pPr>
      <w:r>
        <w:t>The maximum daily dose of this product is equivalent to 106.16 % of the WHO recommended maximum daily intake for sodium for adults.</w:t>
      </w:r>
    </w:p>
    <w:p w14:paraId="2C5D5407" w14:textId="77777777" w:rsidR="001A540A" w:rsidRDefault="00000000" w:rsidP="001A540A">
      <w:pPr>
        <w:spacing w:after="240" w:line="360" w:lineRule="auto"/>
        <w:ind w:left="748" w:right="11" w:firstLine="0"/>
        <w:jc w:val="thaiDistribute"/>
        <w:rPr>
          <w:iCs/>
          <w:u w:val="single"/>
        </w:rPr>
      </w:pPr>
      <w:r>
        <w:t>Appropriate consideration should be taken when administering this product to children.</w:t>
      </w:r>
    </w:p>
    <w:p w14:paraId="6AA86A23" w14:textId="7196418B" w:rsidR="00AE0FAF" w:rsidRPr="001A540A" w:rsidRDefault="00000000" w:rsidP="001A540A">
      <w:pPr>
        <w:spacing w:after="240" w:line="360" w:lineRule="auto"/>
        <w:ind w:left="748" w:right="11" w:firstLine="0"/>
        <w:jc w:val="thaiDistribute"/>
        <w:rPr>
          <w:iCs/>
          <w:u w:val="single"/>
        </w:rPr>
      </w:pPr>
      <w:r>
        <w:rPr>
          <w:color w:val="FF0000"/>
          <w:sz w:val="24"/>
        </w:rPr>
        <w:t xml:space="preserve">&lt;GENERIC NAME&gt; </w:t>
      </w:r>
      <w:r>
        <w:t>is considered high in sodium. This should be particularly taken into account for those on a low sodium diet.</w:t>
      </w:r>
    </w:p>
    <w:p w14:paraId="5B8D20E0" w14:textId="77777777" w:rsidR="001A540A" w:rsidRPr="001A540A" w:rsidRDefault="00000000" w:rsidP="001A540A">
      <w:pPr>
        <w:pStyle w:val="ListParagraph"/>
        <w:numPr>
          <w:ilvl w:val="1"/>
          <w:numId w:val="7"/>
        </w:numPr>
        <w:spacing w:after="1" w:line="545" w:lineRule="auto"/>
        <w:ind w:right="723"/>
      </w:pPr>
      <w:r w:rsidRPr="001A540A">
        <w:rPr>
          <w:b/>
        </w:rPr>
        <w:t xml:space="preserve">Interaction with other medicinal products and other forms of interaction </w:t>
      </w:r>
      <w:r w:rsidRPr="001A540A">
        <w:rPr>
          <w:iCs/>
          <w:u w:color="000000"/>
        </w:rPr>
        <w:t>Effects of other products on ciprofloxacin</w:t>
      </w:r>
      <w:r w:rsidRPr="001A540A">
        <w:rPr>
          <w:i/>
          <w:u w:color="000000"/>
        </w:rPr>
        <w:t>:</w:t>
      </w:r>
    </w:p>
    <w:p w14:paraId="700914BC" w14:textId="77777777" w:rsidR="001A540A" w:rsidRDefault="00000000" w:rsidP="001A540A">
      <w:pPr>
        <w:pStyle w:val="ListParagraph"/>
        <w:spacing w:after="0" w:line="545" w:lineRule="auto"/>
        <w:ind w:left="794" w:right="726" w:firstLine="0"/>
        <w:contextualSpacing w:val="0"/>
        <w:rPr>
          <w:u w:val="single"/>
        </w:rPr>
      </w:pPr>
      <w:r w:rsidRPr="001A540A">
        <w:rPr>
          <w:u w:val="single"/>
        </w:rPr>
        <w:t>Drugs known to prolong QT interval</w:t>
      </w:r>
    </w:p>
    <w:p w14:paraId="02F4A2EC" w14:textId="77777777" w:rsidR="001A540A" w:rsidRDefault="00000000" w:rsidP="001A540A">
      <w:pPr>
        <w:pStyle w:val="ListParagraph"/>
        <w:spacing w:after="240" w:line="360" w:lineRule="auto"/>
        <w:ind w:left="794" w:right="726" w:firstLine="0"/>
        <w:contextualSpacing w:val="0"/>
        <w:jc w:val="thaiDistribute"/>
      </w:pPr>
      <w:r>
        <w:rPr>
          <w:color w:val="FF0000"/>
          <w:sz w:val="24"/>
        </w:rPr>
        <w:t>&lt;GENERIC NAME&gt;</w:t>
      </w:r>
      <w:r>
        <w:t>, like other fluoroquinolones, should be used with caution in patients receiving drugs known to prolong QT interval (e.g. Class IA and III anti-arrhythmics, tricyclic antidepressants, macrolides, antipsychotics) (see section</w:t>
      </w:r>
      <w:r w:rsidR="001A540A">
        <w:t xml:space="preserve"> </w:t>
      </w:r>
      <w:r>
        <w:t>4.4).</w:t>
      </w:r>
    </w:p>
    <w:p w14:paraId="63215757"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Probenecid</w:t>
      </w:r>
    </w:p>
    <w:p w14:paraId="52C2C68F" w14:textId="77777777" w:rsidR="001A540A" w:rsidRDefault="00000000" w:rsidP="001A540A">
      <w:pPr>
        <w:pStyle w:val="ListParagraph"/>
        <w:spacing w:after="240" w:line="360" w:lineRule="auto"/>
        <w:ind w:left="794" w:right="726" w:firstLine="0"/>
        <w:contextualSpacing w:val="0"/>
        <w:jc w:val="thaiDistribute"/>
      </w:pPr>
      <w:r>
        <w:t xml:space="preserve">Probenecid interferes with renal secretion of </w:t>
      </w:r>
      <w:r>
        <w:rPr>
          <w:color w:val="FF0000"/>
          <w:sz w:val="24"/>
        </w:rPr>
        <w:t>&lt;GENERIC NAME&gt;</w:t>
      </w:r>
      <w:r>
        <w:t xml:space="preserve">. Co-administration of probenecid and </w:t>
      </w:r>
      <w:r>
        <w:rPr>
          <w:color w:val="FF0000"/>
          <w:sz w:val="24"/>
        </w:rPr>
        <w:t xml:space="preserve">&lt;GENERIC NAME&gt; </w:t>
      </w:r>
      <w:r>
        <w:t xml:space="preserve">increases </w:t>
      </w:r>
      <w:r>
        <w:rPr>
          <w:color w:val="FF0000"/>
          <w:sz w:val="24"/>
        </w:rPr>
        <w:t xml:space="preserve">&lt;GENERIC NAME&gt; </w:t>
      </w:r>
      <w:r>
        <w:t>serum concentrations.</w:t>
      </w:r>
    </w:p>
    <w:p w14:paraId="2B5A67F5" w14:textId="77777777" w:rsidR="001A540A" w:rsidRDefault="00000000" w:rsidP="001A540A">
      <w:pPr>
        <w:pStyle w:val="ListParagraph"/>
        <w:spacing w:after="240" w:line="360" w:lineRule="auto"/>
        <w:ind w:left="794" w:right="726" w:firstLine="0"/>
        <w:contextualSpacing w:val="0"/>
        <w:jc w:val="thaiDistribute"/>
        <w:rPr>
          <w:rFonts w:cs="Times New Roman"/>
          <w:iCs/>
          <w:u w:color="000000"/>
        </w:rPr>
      </w:pPr>
      <w:r w:rsidRPr="001A540A">
        <w:rPr>
          <w:rFonts w:cs="Times New Roman"/>
          <w:iCs/>
          <w:u w:color="000000"/>
        </w:rPr>
        <w:t>Effects of ciprofloxacin on other medicinal products:</w:t>
      </w:r>
    </w:p>
    <w:p w14:paraId="050972B2"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Tizanidine</w:t>
      </w:r>
    </w:p>
    <w:p w14:paraId="35F7C5A2" w14:textId="77777777" w:rsidR="001A540A" w:rsidRDefault="00000000" w:rsidP="001A540A">
      <w:pPr>
        <w:pStyle w:val="ListParagraph"/>
        <w:spacing w:after="240" w:line="360" w:lineRule="auto"/>
        <w:ind w:left="794" w:right="726" w:firstLine="0"/>
        <w:contextualSpacing w:val="0"/>
        <w:jc w:val="thaiDistribute"/>
      </w:pPr>
      <w:r>
        <w:t xml:space="preserve">Tizanidine must not be administered together with ciprofloxacin (see section 4.3). In a clinical study with healthy subjects, there was an increase in serum tizanidine concentration (Cmax increase: 7-fold, range: 4 to 21-fold; AUC increase: 10-fold, range: 6 to 24-fold) when given concomitantly with ciprofloxacin. Increased </w:t>
      </w:r>
      <w:r>
        <w:lastRenderedPageBreak/>
        <w:t>serum tizanidine concentration is associated with a potentiated hypotensive and sedative effect.</w:t>
      </w:r>
    </w:p>
    <w:p w14:paraId="66AD67DD"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Methotrexate</w:t>
      </w:r>
    </w:p>
    <w:p w14:paraId="1D50BC1D" w14:textId="77777777" w:rsidR="001A540A" w:rsidRDefault="00000000" w:rsidP="001A540A">
      <w:pPr>
        <w:pStyle w:val="ListParagraph"/>
        <w:spacing w:after="240" w:line="360" w:lineRule="auto"/>
        <w:ind w:left="794" w:right="726" w:firstLine="0"/>
        <w:contextualSpacing w:val="0"/>
        <w:jc w:val="thaiDistribute"/>
      </w:pPr>
      <w:r>
        <w:t>Renal tubular transport of methotrexate may be inhibited by concomitant administration of ciprofloxacin, potentially leading to increased plasma levels of methotrexate and increased risk of methotrexate-associated toxic reactions. The concomitant use is not recommended (see section 4.4).</w:t>
      </w:r>
    </w:p>
    <w:p w14:paraId="6593B6DD"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Theophylline</w:t>
      </w:r>
    </w:p>
    <w:p w14:paraId="4A98564E" w14:textId="77777777" w:rsidR="001A540A" w:rsidRDefault="00000000" w:rsidP="001A540A">
      <w:pPr>
        <w:pStyle w:val="ListParagraph"/>
        <w:spacing w:after="240" w:line="360" w:lineRule="auto"/>
        <w:ind w:left="794" w:right="726" w:firstLine="0"/>
        <w:contextualSpacing w:val="0"/>
        <w:jc w:val="thaiDistribute"/>
      </w:pPr>
      <w:r>
        <w:t>Concurrent administration of ciprofloxacin and theophylline can cause an undesirable increase in serum theophylline concentration. This can lead to theophylline-induced side effects that may rarely be life threatening or fatal. During the combination, serum theophylline concentrations should be checked and the theophylline dose reduced as necessary (see section 4.4).</w:t>
      </w:r>
    </w:p>
    <w:p w14:paraId="3ABEACF8"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Other xanthine derivatives</w:t>
      </w:r>
    </w:p>
    <w:p w14:paraId="19AAC805" w14:textId="77777777" w:rsidR="001A540A" w:rsidRDefault="00000000" w:rsidP="001A540A">
      <w:pPr>
        <w:pStyle w:val="ListParagraph"/>
        <w:spacing w:after="240" w:line="360" w:lineRule="auto"/>
        <w:ind w:left="794" w:right="726" w:firstLine="0"/>
        <w:contextualSpacing w:val="0"/>
        <w:jc w:val="thaiDistribute"/>
      </w:pPr>
      <w:r>
        <w:t>On concurrent administration of ciprofloxacin and caffeine or pentoxifylline (oxpentifylline), raised serum concentrations of these xanthine derivatives were reported.</w:t>
      </w:r>
    </w:p>
    <w:p w14:paraId="7A717EAD"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Phenytoin</w:t>
      </w:r>
    </w:p>
    <w:p w14:paraId="543C2E7C" w14:textId="77777777" w:rsidR="001A540A" w:rsidRDefault="00000000" w:rsidP="001A540A">
      <w:pPr>
        <w:pStyle w:val="ListParagraph"/>
        <w:spacing w:after="240" w:line="360" w:lineRule="auto"/>
        <w:ind w:left="794" w:right="726" w:firstLine="0"/>
        <w:contextualSpacing w:val="0"/>
        <w:jc w:val="thaiDistribute"/>
      </w:pPr>
      <w:r>
        <w:t>Simultaneous administration of ciprofloxacin and phenytoin may result in increased or reduced serum levels of phenytoin such that monitoring of drug levels is recommended.</w:t>
      </w:r>
    </w:p>
    <w:p w14:paraId="4788990D"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Cyclosporin</w:t>
      </w:r>
    </w:p>
    <w:p w14:paraId="11CD51BF" w14:textId="77777777" w:rsidR="001A540A" w:rsidRDefault="00000000" w:rsidP="001A540A">
      <w:pPr>
        <w:pStyle w:val="ListParagraph"/>
        <w:spacing w:after="240" w:line="360" w:lineRule="auto"/>
        <w:ind w:left="794" w:right="726" w:firstLine="0"/>
        <w:contextualSpacing w:val="0"/>
        <w:jc w:val="thaiDistribute"/>
      </w:pPr>
      <w:r>
        <w:t>A transient rise in the concentration of serum creatinine was observed when ciprofloxacin and cyclosporin containing medicinal products were administered simultaneously. Therefore, it is frequently (twice a week) necessary to control the serum creatinine concentrations in these patients.</w:t>
      </w:r>
    </w:p>
    <w:p w14:paraId="6F454751" w14:textId="77777777" w:rsidR="001A540A" w:rsidRDefault="001A540A">
      <w:pPr>
        <w:spacing w:after="160"/>
        <w:ind w:left="0" w:firstLine="0"/>
        <w:rPr>
          <w:rFonts w:cs="Angsana New"/>
        </w:rPr>
      </w:pPr>
      <w:r>
        <w:br w:type="page"/>
      </w:r>
    </w:p>
    <w:p w14:paraId="3D613495"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lastRenderedPageBreak/>
        <w:t>Vitamin K antagonists</w:t>
      </w:r>
    </w:p>
    <w:p w14:paraId="702B9C83" w14:textId="77777777" w:rsidR="001A540A" w:rsidRDefault="00000000" w:rsidP="001A540A">
      <w:pPr>
        <w:pStyle w:val="ListParagraph"/>
        <w:spacing w:after="240" w:line="360" w:lineRule="auto"/>
        <w:ind w:left="794" w:right="726" w:firstLine="0"/>
        <w:contextualSpacing w:val="0"/>
        <w:jc w:val="thaiDistribute"/>
      </w:pPr>
      <w:r>
        <w:t>Simultaneous administration of ciprofloxacin with a vitamin K antagonist may augment its anticoagulant effects. The risk may vary with the underlying infection, age and general status of the patient so that the contribution of ciprofloxacin to the increase in INR (international normalised ratio) is difficult to assess. The INR should be monitored frequently during and shortly after coadministration of ciprofloxacin with a vitamin K antagonist (e.g., warfarin, acenocoumarol, phenprocoumon, or fluindione).</w:t>
      </w:r>
    </w:p>
    <w:p w14:paraId="3FD46DF9" w14:textId="77777777" w:rsidR="001A540A" w:rsidRP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Duloxetine</w:t>
      </w:r>
    </w:p>
    <w:p w14:paraId="190FC26C" w14:textId="77777777" w:rsidR="001A540A" w:rsidRDefault="00000000" w:rsidP="001A540A">
      <w:pPr>
        <w:pStyle w:val="ListParagraph"/>
        <w:spacing w:after="240" w:line="360" w:lineRule="auto"/>
        <w:ind w:left="794" w:right="726" w:firstLine="0"/>
        <w:contextualSpacing w:val="0"/>
        <w:jc w:val="thaiDistribute"/>
      </w:pPr>
      <w:r>
        <w:t>In clinical studies, it was demonstrated that concomitant use of duloxetine with strong inhibitors of the CYP450 1A2 isozyme such as fluvoxamine, may result in an increase of AUC and Cmax of duloxetine. Although no clinical data are available on a possible interaction with ciprofloxacin, similar effects can be expected upon concomitant administration (see section 4.4).</w:t>
      </w:r>
    </w:p>
    <w:p w14:paraId="6533485E" w14:textId="77777777" w:rsidR="001A540A" w:rsidRP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Ropinirole</w:t>
      </w:r>
    </w:p>
    <w:p w14:paraId="57CFEB86" w14:textId="77777777" w:rsidR="001A540A" w:rsidRDefault="00000000" w:rsidP="001A540A">
      <w:pPr>
        <w:pStyle w:val="ListParagraph"/>
        <w:spacing w:after="240" w:line="360" w:lineRule="auto"/>
        <w:ind w:left="794" w:right="726" w:firstLine="0"/>
        <w:contextualSpacing w:val="0"/>
        <w:jc w:val="thaiDistribute"/>
      </w:pPr>
      <w:r>
        <w:t>It was shown in a clinical study that concomitant use of ropinirole with ciprofloxacin, a moderate inhibitor of the CYP450 1A2 isozyme, results in an increase of Cmax and AUC of ropinirole by 60% and 84%, respectively. Monitoring of ropinirole-related side effects and dose adjustment as appropriate is recommended during and shortly after co-administration with ciprofloxacin (see section 4.4).</w:t>
      </w:r>
    </w:p>
    <w:p w14:paraId="446E8F98" w14:textId="77777777" w:rsidR="001A540A" w:rsidRP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Lidocaine</w:t>
      </w:r>
    </w:p>
    <w:p w14:paraId="6DDA4AF0" w14:textId="77777777" w:rsidR="001A540A" w:rsidRDefault="00000000" w:rsidP="001A540A">
      <w:pPr>
        <w:pStyle w:val="ListParagraph"/>
        <w:spacing w:after="240" w:line="360" w:lineRule="auto"/>
        <w:ind w:left="794" w:right="726" w:firstLine="0"/>
        <w:contextualSpacing w:val="0"/>
        <w:jc w:val="thaiDistribute"/>
      </w:pPr>
      <w:r>
        <w:t>It was demonstrated in healthy subjects that concomitant use of lidocaine containing medicinal products with ciprofloxacin, a moderate inhibitor of CYP450 1A2 isozyme, reduces clearance of intravenous lidocaine by 22%. Although lidocaine treatment was well tolerated, a possible interaction with ciprofloxacin associated with side effects may occur upon concomitant administration.</w:t>
      </w:r>
    </w:p>
    <w:p w14:paraId="711EDDE5" w14:textId="77777777" w:rsidR="001A540A" w:rsidRDefault="001A540A">
      <w:pPr>
        <w:spacing w:after="160"/>
        <w:ind w:left="0" w:firstLine="0"/>
        <w:rPr>
          <w:iCs/>
          <w:u w:val="single" w:color="000000"/>
        </w:rPr>
      </w:pPr>
      <w:r>
        <w:rPr>
          <w:iCs/>
          <w:u w:val="single" w:color="000000"/>
        </w:rPr>
        <w:br w:type="page"/>
      </w:r>
    </w:p>
    <w:p w14:paraId="0D647906"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lastRenderedPageBreak/>
        <w:t>Clozapine</w:t>
      </w:r>
    </w:p>
    <w:p w14:paraId="47FB4307" w14:textId="77777777" w:rsidR="001A540A" w:rsidRDefault="00000000" w:rsidP="001A540A">
      <w:pPr>
        <w:pStyle w:val="ListParagraph"/>
        <w:spacing w:after="240" w:line="360" w:lineRule="auto"/>
        <w:ind w:left="794" w:right="726" w:firstLine="0"/>
        <w:contextualSpacing w:val="0"/>
        <w:jc w:val="thaiDistribute"/>
      </w:pPr>
      <w:r>
        <w:t>Following concomitant administration of 250 mg ciprofloxacin with clozapine for 7 days, serum concentrations of clozapine and N-desmethylclozapine were increased by 29% and 31%, respectively. Clinical surveillance and appropriate adjustment of clozapine dosage during and shortly after coadministration with ciprofloxacin are advised (see section 4.4).</w:t>
      </w:r>
    </w:p>
    <w:p w14:paraId="47AD1556" w14:textId="77777777" w:rsidR="001A540A" w:rsidRDefault="00000000" w:rsidP="001A540A">
      <w:pPr>
        <w:pStyle w:val="ListParagraph"/>
        <w:spacing w:after="240" w:line="360" w:lineRule="auto"/>
        <w:ind w:left="794" w:right="726" w:firstLine="0"/>
        <w:contextualSpacing w:val="0"/>
        <w:jc w:val="thaiDistribute"/>
        <w:rPr>
          <w:rFonts w:cs="Times New Roman"/>
          <w:iCs/>
          <w:u w:val="single" w:color="000000"/>
        </w:rPr>
      </w:pPr>
      <w:r w:rsidRPr="001A540A">
        <w:rPr>
          <w:rFonts w:cs="Times New Roman"/>
          <w:iCs/>
          <w:u w:val="single" w:color="000000"/>
        </w:rPr>
        <w:t>Sildenafil</w:t>
      </w:r>
    </w:p>
    <w:p w14:paraId="0B7E1AC3" w14:textId="3A180CBA" w:rsidR="00AE0FAF" w:rsidRPr="001A540A" w:rsidRDefault="00000000" w:rsidP="001A540A">
      <w:pPr>
        <w:pStyle w:val="ListParagraph"/>
        <w:spacing w:after="240" w:line="360" w:lineRule="auto"/>
        <w:ind w:left="794" w:right="726" w:firstLine="0"/>
        <w:contextualSpacing w:val="0"/>
        <w:jc w:val="thaiDistribute"/>
        <w:rPr>
          <w:iCs/>
        </w:rPr>
      </w:pPr>
      <w:r>
        <w:t>Cmax and AUC of sildenafil were increased approximately twofold in healthy subjects after an oral dose of 50 mg given concomitantly with 500 mg ciprofloxacin. Therefore, caution should be used prescribing ciprofloxacin concomitantly with sildenafil taking into consideration the risks and the benefits.</w:t>
      </w:r>
    </w:p>
    <w:p w14:paraId="6E0E55C8" w14:textId="77777777" w:rsidR="001A540A" w:rsidRPr="001A540A" w:rsidRDefault="00000000" w:rsidP="001A540A">
      <w:pPr>
        <w:pStyle w:val="ListParagraph"/>
        <w:numPr>
          <w:ilvl w:val="1"/>
          <w:numId w:val="7"/>
        </w:numPr>
        <w:tabs>
          <w:tab w:val="center" w:pos="2520"/>
        </w:tabs>
        <w:spacing w:after="240" w:line="264" w:lineRule="auto"/>
        <w:ind w:left="788" w:hanging="431"/>
        <w:contextualSpacing w:val="0"/>
      </w:pPr>
      <w:r w:rsidRPr="001A540A">
        <w:rPr>
          <w:b/>
        </w:rPr>
        <w:t>Fertility, pregnancy and lactation</w:t>
      </w:r>
    </w:p>
    <w:p w14:paraId="5F18D33B" w14:textId="77777777" w:rsidR="001A540A" w:rsidRPr="00B96E65" w:rsidRDefault="00000000" w:rsidP="00B96E65">
      <w:pPr>
        <w:pStyle w:val="ListParagraph"/>
        <w:tabs>
          <w:tab w:val="center" w:pos="2520"/>
        </w:tabs>
        <w:spacing w:after="240" w:line="264" w:lineRule="auto"/>
        <w:ind w:left="794" w:firstLine="0"/>
        <w:contextualSpacing w:val="0"/>
        <w:jc w:val="thaiDistribute"/>
        <w:rPr>
          <w:sz w:val="28"/>
          <w:szCs w:val="28"/>
          <w:u w:val="single"/>
        </w:rPr>
      </w:pPr>
      <w:r w:rsidRPr="00B96E65">
        <w:rPr>
          <w:sz w:val="28"/>
          <w:szCs w:val="28"/>
          <w:u w:val="single"/>
        </w:rPr>
        <w:t>Pregnancy</w:t>
      </w:r>
    </w:p>
    <w:p w14:paraId="2CF1987F" w14:textId="77777777" w:rsidR="001A540A" w:rsidRPr="00B96E65" w:rsidRDefault="00000000" w:rsidP="00B96E65">
      <w:pPr>
        <w:pStyle w:val="ListParagraph"/>
        <w:tabs>
          <w:tab w:val="center" w:pos="2520"/>
        </w:tabs>
        <w:spacing w:after="240" w:line="360" w:lineRule="auto"/>
        <w:ind w:left="794" w:firstLine="0"/>
        <w:contextualSpacing w:val="0"/>
        <w:jc w:val="thaiDistribute"/>
        <w:rPr>
          <w:sz w:val="28"/>
          <w:szCs w:val="28"/>
        </w:rPr>
      </w:pPr>
      <w:r w:rsidRPr="00B96E65">
        <w:rPr>
          <w:sz w:val="28"/>
          <w:szCs w:val="28"/>
        </w:rPr>
        <w:t xml:space="preserve">The data that are available on administration of </w:t>
      </w:r>
      <w:r w:rsidRPr="00B96E65">
        <w:rPr>
          <w:color w:val="FF0000"/>
          <w:sz w:val="28"/>
          <w:szCs w:val="28"/>
        </w:rPr>
        <w:t xml:space="preserve">&lt;GENERIC NAME&gt; </w:t>
      </w:r>
      <w:r w:rsidRPr="00B96E65">
        <w:rPr>
          <w:sz w:val="28"/>
          <w:szCs w:val="28"/>
        </w:rPr>
        <w:t xml:space="preserve">to pregnant women indicates no malformative or feto/neonatal toxicity of </w:t>
      </w:r>
      <w:r w:rsidRPr="00B96E65">
        <w:rPr>
          <w:color w:val="FF0000"/>
          <w:sz w:val="28"/>
          <w:szCs w:val="28"/>
        </w:rPr>
        <w:t>&lt;GENERIC NAME&gt;</w:t>
      </w:r>
      <w:r w:rsidRPr="00B96E65">
        <w:rPr>
          <w:sz w:val="28"/>
          <w:szCs w:val="28"/>
        </w:rPr>
        <w:t>. Animal studies do not indicate direct or indirect harmful effects with respect to reproductive toxicity. In juvenile and prenatal animals exposed to quinolones, effects on immature cartilage have been observed, thus, it cannot be excluded that the drug could cause damage to articular cartilage in the human immature organism / foetus (see section 5.3).</w:t>
      </w:r>
    </w:p>
    <w:p w14:paraId="12613E9E" w14:textId="77777777" w:rsidR="001A540A" w:rsidRPr="00B96E65" w:rsidRDefault="00000000" w:rsidP="00B96E65">
      <w:pPr>
        <w:pStyle w:val="ListParagraph"/>
        <w:tabs>
          <w:tab w:val="center" w:pos="2520"/>
        </w:tabs>
        <w:spacing w:after="240" w:line="360" w:lineRule="auto"/>
        <w:ind w:left="794" w:firstLine="0"/>
        <w:contextualSpacing w:val="0"/>
        <w:jc w:val="thaiDistribute"/>
        <w:rPr>
          <w:sz w:val="28"/>
          <w:szCs w:val="28"/>
        </w:rPr>
      </w:pPr>
      <w:r w:rsidRPr="00B96E65">
        <w:rPr>
          <w:sz w:val="28"/>
          <w:szCs w:val="28"/>
        </w:rPr>
        <w:t xml:space="preserve">As a precautionary measure, it is preferable to avoid the use of </w:t>
      </w:r>
      <w:r w:rsidRPr="00B96E65">
        <w:rPr>
          <w:color w:val="FF0000"/>
          <w:sz w:val="28"/>
          <w:szCs w:val="28"/>
        </w:rPr>
        <w:t xml:space="preserve">&lt;GENERIC NAME&gt; </w:t>
      </w:r>
      <w:r w:rsidRPr="00B96E65">
        <w:rPr>
          <w:sz w:val="28"/>
          <w:szCs w:val="28"/>
        </w:rPr>
        <w:t>during pregnancy.</w:t>
      </w:r>
    </w:p>
    <w:p w14:paraId="5560AD58" w14:textId="77777777" w:rsidR="00B96E65" w:rsidRDefault="00B96E65">
      <w:pPr>
        <w:spacing w:after="160"/>
        <w:ind w:left="0" w:firstLine="0"/>
        <w:rPr>
          <w:rFonts w:cs="Angsana New"/>
          <w:sz w:val="28"/>
          <w:szCs w:val="28"/>
          <w:u w:val="single"/>
        </w:rPr>
      </w:pPr>
      <w:r>
        <w:rPr>
          <w:sz w:val="28"/>
          <w:szCs w:val="28"/>
          <w:u w:val="single"/>
        </w:rPr>
        <w:br w:type="page"/>
      </w:r>
    </w:p>
    <w:p w14:paraId="12B32BA6" w14:textId="6DC90F66" w:rsidR="001A540A" w:rsidRPr="00B96E65" w:rsidRDefault="00000000" w:rsidP="00B96E65">
      <w:pPr>
        <w:pStyle w:val="ListParagraph"/>
        <w:tabs>
          <w:tab w:val="center" w:pos="2520"/>
        </w:tabs>
        <w:spacing w:after="240" w:line="360" w:lineRule="auto"/>
        <w:ind w:left="794" w:firstLine="0"/>
        <w:contextualSpacing w:val="0"/>
        <w:jc w:val="thaiDistribute"/>
        <w:rPr>
          <w:sz w:val="28"/>
          <w:szCs w:val="28"/>
          <w:u w:val="single"/>
        </w:rPr>
      </w:pPr>
      <w:r w:rsidRPr="00B96E65">
        <w:rPr>
          <w:sz w:val="28"/>
          <w:szCs w:val="28"/>
          <w:u w:val="single"/>
        </w:rPr>
        <w:lastRenderedPageBreak/>
        <w:t>Breast-feeding</w:t>
      </w:r>
    </w:p>
    <w:p w14:paraId="4EF3814D" w14:textId="77777777" w:rsidR="00B96E65" w:rsidRPr="00B96E65" w:rsidRDefault="00000000" w:rsidP="00B96E65">
      <w:pPr>
        <w:pStyle w:val="ListParagraph"/>
        <w:tabs>
          <w:tab w:val="center" w:pos="2520"/>
        </w:tabs>
        <w:spacing w:after="240" w:line="360" w:lineRule="auto"/>
        <w:ind w:left="794" w:firstLine="0"/>
        <w:contextualSpacing w:val="0"/>
        <w:jc w:val="thaiDistribute"/>
        <w:rPr>
          <w:b/>
          <w:bCs/>
          <w:sz w:val="28"/>
          <w:szCs w:val="28"/>
        </w:rPr>
      </w:pPr>
      <w:r w:rsidRPr="00B96E65">
        <w:rPr>
          <w:color w:val="FF0000"/>
          <w:sz w:val="28"/>
          <w:szCs w:val="28"/>
        </w:rPr>
        <w:t xml:space="preserve">&lt;GENERIC NAME&gt; </w:t>
      </w:r>
      <w:r w:rsidRPr="00B96E65">
        <w:rPr>
          <w:sz w:val="28"/>
          <w:szCs w:val="28"/>
        </w:rPr>
        <w:t xml:space="preserve">is excreted in breast milk. Due to the potential risk of articular damage, </w:t>
      </w:r>
      <w:r w:rsidRPr="00B96E65">
        <w:rPr>
          <w:color w:val="FF0000"/>
          <w:sz w:val="28"/>
          <w:szCs w:val="28"/>
        </w:rPr>
        <w:t xml:space="preserve">&lt;GENERIC NAME&gt; </w:t>
      </w:r>
      <w:r w:rsidRPr="00B96E65">
        <w:rPr>
          <w:sz w:val="28"/>
          <w:szCs w:val="28"/>
        </w:rPr>
        <w:t>should not be used during breast-feeding.</w:t>
      </w:r>
    </w:p>
    <w:p w14:paraId="0F9A8B50" w14:textId="77777777" w:rsidR="00B96E65" w:rsidRPr="00B96E65" w:rsidRDefault="00000000" w:rsidP="00B96E65">
      <w:pPr>
        <w:pStyle w:val="ListParagraph"/>
        <w:numPr>
          <w:ilvl w:val="1"/>
          <w:numId w:val="7"/>
        </w:numPr>
        <w:tabs>
          <w:tab w:val="center" w:pos="2520"/>
        </w:tabs>
        <w:spacing w:after="240" w:line="360" w:lineRule="auto"/>
        <w:contextualSpacing w:val="0"/>
        <w:jc w:val="thaiDistribute"/>
        <w:rPr>
          <w:b/>
          <w:bCs/>
          <w:sz w:val="28"/>
          <w:szCs w:val="28"/>
          <w:u w:val="single"/>
        </w:rPr>
      </w:pPr>
      <w:r w:rsidRPr="00B96E65">
        <w:rPr>
          <w:b/>
          <w:bCs/>
          <w:sz w:val="28"/>
          <w:szCs w:val="32"/>
        </w:rPr>
        <w:t>Effects on ability to drive and use machines</w:t>
      </w:r>
      <w:r w:rsidR="001A540A" w:rsidRPr="00B96E65">
        <w:rPr>
          <w:b/>
          <w:bCs/>
          <w:sz w:val="28"/>
          <w:szCs w:val="32"/>
        </w:rPr>
        <w:t xml:space="preserve"> </w:t>
      </w:r>
    </w:p>
    <w:p w14:paraId="1977756C" w14:textId="77777777" w:rsidR="00B96E65" w:rsidRDefault="001A540A" w:rsidP="00B96E65">
      <w:pPr>
        <w:pStyle w:val="ListParagraph"/>
        <w:tabs>
          <w:tab w:val="center" w:pos="2520"/>
        </w:tabs>
        <w:spacing w:after="240" w:line="360" w:lineRule="auto"/>
        <w:ind w:left="792" w:firstLine="0"/>
        <w:contextualSpacing w:val="0"/>
        <w:jc w:val="thaiDistribute"/>
        <w:rPr>
          <w:bCs/>
          <w:sz w:val="28"/>
          <w:szCs w:val="32"/>
        </w:rPr>
      </w:pPr>
      <w:r w:rsidRPr="00B96E65">
        <w:rPr>
          <w:bCs/>
          <w:sz w:val="28"/>
          <w:szCs w:val="32"/>
        </w:rPr>
        <w:t>Due to its neurological effects, &lt;GENERIC NAME&gt; may affect reaction time. Thus, the ability to drive or to operate machinery may be impaired.</w:t>
      </w:r>
    </w:p>
    <w:p w14:paraId="008E7F6B" w14:textId="77777777" w:rsidR="00B96E65" w:rsidRPr="00B96E65" w:rsidRDefault="00000000" w:rsidP="00B96E65">
      <w:pPr>
        <w:pStyle w:val="ListParagraph"/>
        <w:numPr>
          <w:ilvl w:val="1"/>
          <w:numId w:val="7"/>
        </w:numPr>
        <w:tabs>
          <w:tab w:val="center" w:pos="2520"/>
        </w:tabs>
        <w:spacing w:after="240" w:line="360" w:lineRule="auto"/>
        <w:contextualSpacing w:val="0"/>
        <w:jc w:val="thaiDistribute"/>
        <w:rPr>
          <w:b/>
          <w:bCs/>
          <w:sz w:val="28"/>
          <w:szCs w:val="28"/>
          <w:u w:val="single"/>
        </w:rPr>
      </w:pPr>
      <w:r w:rsidRPr="00B96E65">
        <w:rPr>
          <w:b/>
          <w:bCs/>
          <w:sz w:val="28"/>
          <w:szCs w:val="28"/>
        </w:rPr>
        <w:t>Undesirable effects</w:t>
      </w:r>
    </w:p>
    <w:p w14:paraId="2AFC94F9" w14:textId="77777777" w:rsidR="00B96E65" w:rsidRPr="00B96E65" w:rsidRDefault="00000000" w:rsidP="00B96E65">
      <w:pPr>
        <w:pStyle w:val="ListParagraph"/>
        <w:tabs>
          <w:tab w:val="center" w:pos="2520"/>
        </w:tabs>
        <w:spacing w:after="240" w:line="360" w:lineRule="auto"/>
        <w:ind w:left="792" w:firstLine="0"/>
        <w:contextualSpacing w:val="0"/>
        <w:jc w:val="thaiDistribute"/>
        <w:rPr>
          <w:bCs/>
          <w:sz w:val="28"/>
          <w:szCs w:val="32"/>
        </w:rPr>
      </w:pPr>
      <w:r w:rsidRPr="00B96E65">
        <w:rPr>
          <w:bCs/>
          <w:sz w:val="28"/>
          <w:szCs w:val="32"/>
        </w:rPr>
        <w:t>The most commonly reported adverse drug reactions (ADRs) are nausea, diarrhoea, vomiting, transient increase in transaminases, rash, and injection and infusion site reactions.</w:t>
      </w:r>
    </w:p>
    <w:p w14:paraId="17835659" w14:textId="5FB4826E" w:rsidR="00AE0FAF" w:rsidRPr="00B96E65" w:rsidRDefault="00000000" w:rsidP="00B96E65">
      <w:pPr>
        <w:pStyle w:val="ListParagraph"/>
        <w:tabs>
          <w:tab w:val="center" w:pos="2520"/>
        </w:tabs>
        <w:spacing w:after="240" w:line="360" w:lineRule="auto"/>
        <w:ind w:left="792" w:firstLine="0"/>
        <w:contextualSpacing w:val="0"/>
        <w:jc w:val="thaiDistribute"/>
        <w:rPr>
          <w:bCs/>
          <w:sz w:val="28"/>
          <w:szCs w:val="28"/>
          <w:u w:val="single"/>
        </w:rPr>
      </w:pPr>
      <w:r w:rsidRPr="00B96E65">
        <w:rPr>
          <w:bCs/>
          <w:sz w:val="28"/>
          <w:szCs w:val="32"/>
        </w:rPr>
        <w:t xml:space="preserve">ADRs derived from clinical studies and post-marketing surveillance with </w:t>
      </w:r>
      <w:r w:rsidRPr="00B96E65">
        <w:rPr>
          <w:bCs/>
          <w:color w:val="FF0000"/>
          <w:sz w:val="28"/>
          <w:szCs w:val="32"/>
        </w:rPr>
        <w:t>&lt;GENERIC</w:t>
      </w:r>
      <w:r w:rsidR="001A540A" w:rsidRPr="00B96E65">
        <w:rPr>
          <w:bCs/>
          <w:color w:val="FF0000"/>
          <w:sz w:val="28"/>
          <w:szCs w:val="32"/>
        </w:rPr>
        <w:t xml:space="preserve"> </w:t>
      </w:r>
      <w:r w:rsidRPr="00B96E65">
        <w:rPr>
          <w:bCs/>
          <w:color w:val="FF0000"/>
          <w:sz w:val="28"/>
          <w:szCs w:val="32"/>
        </w:rPr>
        <w:t xml:space="preserve">NAME&gt; </w:t>
      </w:r>
      <w:r w:rsidRPr="00B96E65">
        <w:rPr>
          <w:bCs/>
          <w:sz w:val="28"/>
          <w:szCs w:val="32"/>
        </w:rPr>
        <w:t xml:space="preserve">(oral, intravenous and sequential therapy) sorted by categories of frequency are listed below. The frequency analysis takes into account data from both oral and intravenous administration of </w:t>
      </w:r>
      <w:r w:rsidRPr="00B96E65">
        <w:rPr>
          <w:bCs/>
          <w:color w:val="FF0000"/>
          <w:sz w:val="28"/>
          <w:szCs w:val="32"/>
        </w:rPr>
        <w:t>&lt;GENERIC NAME&gt;</w:t>
      </w:r>
      <w:r w:rsidRPr="00B96E65">
        <w:rPr>
          <w:bCs/>
          <w:sz w:val="28"/>
          <w:szCs w:val="32"/>
        </w:rPr>
        <w:t>.</w:t>
      </w:r>
    </w:p>
    <w:tbl>
      <w:tblPr>
        <w:tblStyle w:val="TableGrid"/>
        <w:tblW w:w="9460" w:type="dxa"/>
        <w:tblInd w:w="-93" w:type="dxa"/>
        <w:tblCellMar>
          <w:top w:w="105" w:type="dxa"/>
          <w:left w:w="108" w:type="dxa"/>
          <w:bottom w:w="0" w:type="dxa"/>
          <w:right w:w="52" w:type="dxa"/>
        </w:tblCellMar>
        <w:tblLook w:val="04A0" w:firstRow="1" w:lastRow="0" w:firstColumn="1" w:lastColumn="0" w:noHBand="0" w:noVBand="1"/>
      </w:tblPr>
      <w:tblGrid>
        <w:gridCol w:w="1538"/>
        <w:gridCol w:w="1253"/>
        <w:gridCol w:w="1437"/>
        <w:gridCol w:w="1930"/>
        <w:gridCol w:w="1686"/>
        <w:gridCol w:w="1616"/>
      </w:tblGrid>
      <w:tr w:rsidR="00B96E65" w:rsidRPr="00B96E65" w14:paraId="567C222E" w14:textId="77777777" w:rsidTr="00B96E65">
        <w:trPr>
          <w:cantSplit/>
          <w:trHeight w:val="814"/>
          <w:tblHeader/>
        </w:trPr>
        <w:tc>
          <w:tcPr>
            <w:tcW w:w="1538" w:type="dxa"/>
            <w:tcBorders>
              <w:top w:val="single" w:sz="8" w:space="0" w:color="000000"/>
              <w:left w:val="single" w:sz="8" w:space="0" w:color="000000"/>
              <w:bottom w:val="single" w:sz="8" w:space="0" w:color="000000"/>
              <w:right w:val="single" w:sz="8" w:space="0" w:color="000000"/>
            </w:tcBorders>
            <w:vAlign w:val="center"/>
          </w:tcPr>
          <w:p w14:paraId="42AC8123" w14:textId="77777777" w:rsidR="00B96E65" w:rsidRPr="00446391" w:rsidRDefault="00B96E65" w:rsidP="00B96E65">
            <w:pPr>
              <w:spacing w:after="28" w:line="259" w:lineRule="auto"/>
              <w:ind w:left="0" w:firstLine="0"/>
              <w:jc w:val="center"/>
              <w:rPr>
                <w:sz w:val="24"/>
                <w:szCs w:val="24"/>
              </w:rPr>
            </w:pPr>
            <w:r w:rsidRPr="00446391">
              <w:rPr>
                <w:b/>
                <w:sz w:val="24"/>
                <w:szCs w:val="24"/>
              </w:rPr>
              <w:t>System</w:t>
            </w:r>
          </w:p>
          <w:p w14:paraId="501891D9" w14:textId="6EE2FE3E" w:rsidR="00B96E65" w:rsidRPr="00446391" w:rsidRDefault="00B96E65" w:rsidP="00B96E65">
            <w:pPr>
              <w:spacing w:after="4" w:line="259" w:lineRule="auto"/>
              <w:ind w:left="0" w:firstLine="0"/>
              <w:jc w:val="center"/>
              <w:rPr>
                <w:b/>
                <w:sz w:val="24"/>
                <w:szCs w:val="24"/>
              </w:rPr>
            </w:pPr>
            <w:r w:rsidRPr="00446391">
              <w:rPr>
                <w:b/>
                <w:sz w:val="24"/>
                <w:szCs w:val="24"/>
              </w:rPr>
              <w:t>Organ Class</w:t>
            </w:r>
          </w:p>
        </w:tc>
        <w:tc>
          <w:tcPr>
            <w:tcW w:w="1253" w:type="dxa"/>
            <w:tcBorders>
              <w:top w:val="single" w:sz="8" w:space="0" w:color="000000"/>
              <w:left w:val="single" w:sz="8" w:space="0" w:color="000000"/>
              <w:bottom w:val="single" w:sz="8" w:space="0" w:color="000000"/>
              <w:right w:val="single" w:sz="8" w:space="0" w:color="000000"/>
            </w:tcBorders>
            <w:vAlign w:val="center"/>
          </w:tcPr>
          <w:p w14:paraId="15408B42" w14:textId="77777777" w:rsidR="00B96E65" w:rsidRPr="00446391" w:rsidRDefault="00B96E65" w:rsidP="00B96E65">
            <w:pPr>
              <w:spacing w:after="32" w:line="259" w:lineRule="auto"/>
              <w:ind w:left="5" w:firstLine="0"/>
              <w:jc w:val="center"/>
              <w:rPr>
                <w:sz w:val="24"/>
                <w:szCs w:val="24"/>
              </w:rPr>
            </w:pPr>
            <w:r w:rsidRPr="00446391">
              <w:rPr>
                <w:b/>
                <w:sz w:val="24"/>
                <w:szCs w:val="24"/>
              </w:rPr>
              <w:t>Common</w:t>
            </w:r>
          </w:p>
          <w:p w14:paraId="682B2AAE" w14:textId="77777777" w:rsidR="00B96E65" w:rsidRPr="00446391" w:rsidRDefault="00B96E65" w:rsidP="00B96E65">
            <w:pPr>
              <w:spacing w:after="39" w:line="259" w:lineRule="auto"/>
              <w:ind w:left="5" w:firstLine="0"/>
              <w:jc w:val="center"/>
              <w:rPr>
                <w:sz w:val="24"/>
                <w:szCs w:val="24"/>
              </w:rPr>
            </w:pPr>
            <w:r w:rsidRPr="00446391">
              <w:rPr>
                <w:rFonts w:eastAsia="Arial"/>
                <w:sz w:val="24"/>
                <w:szCs w:val="24"/>
              </w:rPr>
              <w:t xml:space="preserve">≥ </w:t>
            </w:r>
            <w:r w:rsidRPr="00446391">
              <w:rPr>
                <w:sz w:val="24"/>
                <w:szCs w:val="24"/>
              </w:rPr>
              <w:t>1/100 to</w:t>
            </w:r>
          </w:p>
          <w:p w14:paraId="59A00081" w14:textId="5B114EE5" w:rsidR="00B96E65" w:rsidRPr="00446391" w:rsidRDefault="00B96E65" w:rsidP="00B96E65">
            <w:pPr>
              <w:spacing w:after="160" w:line="259" w:lineRule="auto"/>
              <w:ind w:left="0" w:firstLine="0"/>
              <w:jc w:val="center"/>
              <w:rPr>
                <w:sz w:val="24"/>
                <w:szCs w:val="24"/>
              </w:rPr>
            </w:pPr>
            <w:r w:rsidRPr="00446391">
              <w:rPr>
                <w:sz w:val="24"/>
                <w:szCs w:val="24"/>
              </w:rPr>
              <w:t>&lt; 1/10</w:t>
            </w:r>
          </w:p>
        </w:tc>
        <w:tc>
          <w:tcPr>
            <w:tcW w:w="1437" w:type="dxa"/>
            <w:tcBorders>
              <w:top w:val="single" w:sz="8" w:space="0" w:color="000000"/>
              <w:left w:val="single" w:sz="8" w:space="0" w:color="000000"/>
              <w:bottom w:val="single" w:sz="8" w:space="0" w:color="000000"/>
              <w:right w:val="single" w:sz="8" w:space="0" w:color="000000"/>
            </w:tcBorders>
            <w:vAlign w:val="center"/>
          </w:tcPr>
          <w:p w14:paraId="420C806E" w14:textId="77777777" w:rsidR="00B96E65" w:rsidRPr="00446391" w:rsidRDefault="00B96E65" w:rsidP="00B96E65">
            <w:pPr>
              <w:spacing w:after="32" w:line="259" w:lineRule="auto"/>
              <w:ind w:left="5" w:firstLine="0"/>
              <w:jc w:val="center"/>
              <w:rPr>
                <w:sz w:val="24"/>
                <w:szCs w:val="24"/>
              </w:rPr>
            </w:pPr>
            <w:r w:rsidRPr="00446391">
              <w:rPr>
                <w:b/>
                <w:sz w:val="24"/>
                <w:szCs w:val="24"/>
              </w:rPr>
              <w:t>Uncommon</w:t>
            </w:r>
          </w:p>
          <w:p w14:paraId="74A7E29C" w14:textId="77777777" w:rsidR="00B96E65" w:rsidRPr="00446391" w:rsidRDefault="00B96E65" w:rsidP="00B96E65">
            <w:pPr>
              <w:spacing w:after="39" w:line="259" w:lineRule="auto"/>
              <w:ind w:left="5" w:firstLine="0"/>
              <w:jc w:val="center"/>
              <w:rPr>
                <w:sz w:val="24"/>
                <w:szCs w:val="24"/>
              </w:rPr>
            </w:pPr>
            <w:r w:rsidRPr="00446391">
              <w:rPr>
                <w:rFonts w:eastAsia="Arial"/>
                <w:sz w:val="24"/>
                <w:szCs w:val="24"/>
              </w:rPr>
              <w:t xml:space="preserve">≥ </w:t>
            </w:r>
            <w:r w:rsidRPr="00446391">
              <w:rPr>
                <w:sz w:val="24"/>
                <w:szCs w:val="24"/>
              </w:rPr>
              <w:t>1/1 000 to</w:t>
            </w:r>
          </w:p>
          <w:p w14:paraId="6A404A6C" w14:textId="67AD7507" w:rsidR="00B96E65" w:rsidRPr="00446391" w:rsidRDefault="00B96E65" w:rsidP="00B96E65">
            <w:pPr>
              <w:spacing w:after="0" w:line="259" w:lineRule="auto"/>
              <w:ind w:left="5" w:firstLine="0"/>
              <w:jc w:val="center"/>
              <w:rPr>
                <w:sz w:val="24"/>
                <w:szCs w:val="24"/>
              </w:rPr>
            </w:pPr>
            <w:r w:rsidRPr="00446391">
              <w:rPr>
                <w:sz w:val="24"/>
                <w:szCs w:val="24"/>
              </w:rPr>
              <w:t>&lt; 1/100</w:t>
            </w:r>
          </w:p>
        </w:tc>
        <w:tc>
          <w:tcPr>
            <w:tcW w:w="1930" w:type="dxa"/>
            <w:tcBorders>
              <w:top w:val="single" w:sz="8" w:space="0" w:color="000000"/>
              <w:left w:val="single" w:sz="8" w:space="0" w:color="000000"/>
              <w:bottom w:val="single" w:sz="8" w:space="0" w:color="000000"/>
              <w:right w:val="single" w:sz="8" w:space="0" w:color="000000"/>
            </w:tcBorders>
            <w:vAlign w:val="center"/>
          </w:tcPr>
          <w:p w14:paraId="046F7F37" w14:textId="77777777" w:rsidR="00B96E65" w:rsidRPr="00446391" w:rsidRDefault="00B96E65" w:rsidP="00B96E65">
            <w:pPr>
              <w:spacing w:after="32" w:line="259" w:lineRule="auto"/>
              <w:ind w:left="5" w:firstLine="0"/>
              <w:jc w:val="center"/>
              <w:rPr>
                <w:sz w:val="24"/>
                <w:szCs w:val="24"/>
              </w:rPr>
            </w:pPr>
            <w:r w:rsidRPr="00446391">
              <w:rPr>
                <w:b/>
                <w:sz w:val="24"/>
                <w:szCs w:val="24"/>
              </w:rPr>
              <w:t>Rare</w:t>
            </w:r>
          </w:p>
          <w:p w14:paraId="44700326" w14:textId="77777777" w:rsidR="00B96E65" w:rsidRPr="00446391" w:rsidRDefault="00B96E65" w:rsidP="00B96E65">
            <w:pPr>
              <w:spacing w:after="39" w:line="259" w:lineRule="auto"/>
              <w:ind w:left="5" w:firstLine="0"/>
              <w:jc w:val="center"/>
              <w:rPr>
                <w:sz w:val="24"/>
                <w:szCs w:val="24"/>
              </w:rPr>
            </w:pPr>
            <w:r w:rsidRPr="00446391">
              <w:rPr>
                <w:rFonts w:eastAsia="Arial"/>
                <w:sz w:val="24"/>
                <w:szCs w:val="24"/>
              </w:rPr>
              <w:t xml:space="preserve">≥ </w:t>
            </w:r>
            <w:r w:rsidRPr="00446391">
              <w:rPr>
                <w:sz w:val="24"/>
                <w:szCs w:val="24"/>
              </w:rPr>
              <w:t>1/10 000 to</w:t>
            </w:r>
          </w:p>
          <w:p w14:paraId="3F741136" w14:textId="18359C0E" w:rsidR="00B96E65" w:rsidRPr="00446391" w:rsidRDefault="00B96E65" w:rsidP="00B96E65">
            <w:pPr>
              <w:spacing w:after="0" w:line="259" w:lineRule="auto"/>
              <w:ind w:left="5" w:firstLine="0"/>
              <w:jc w:val="center"/>
              <w:rPr>
                <w:sz w:val="24"/>
                <w:szCs w:val="24"/>
              </w:rPr>
            </w:pPr>
            <w:r w:rsidRPr="00446391">
              <w:rPr>
                <w:sz w:val="24"/>
                <w:szCs w:val="24"/>
              </w:rPr>
              <w:t>&lt; 1/1 000</w:t>
            </w:r>
          </w:p>
        </w:tc>
        <w:tc>
          <w:tcPr>
            <w:tcW w:w="1686" w:type="dxa"/>
            <w:tcBorders>
              <w:top w:val="single" w:sz="8" w:space="0" w:color="000000"/>
              <w:left w:val="single" w:sz="8" w:space="0" w:color="000000"/>
              <w:bottom w:val="single" w:sz="8" w:space="0" w:color="000000"/>
              <w:right w:val="single" w:sz="8" w:space="0" w:color="000000"/>
            </w:tcBorders>
            <w:vAlign w:val="center"/>
          </w:tcPr>
          <w:p w14:paraId="5BB070FE" w14:textId="325FE6E8" w:rsidR="00B96E65" w:rsidRPr="00446391" w:rsidRDefault="00B96E65" w:rsidP="00B96E65">
            <w:pPr>
              <w:spacing w:after="31" w:line="259" w:lineRule="auto"/>
              <w:ind w:left="5" w:firstLine="0"/>
              <w:jc w:val="center"/>
              <w:rPr>
                <w:b/>
                <w:sz w:val="24"/>
                <w:szCs w:val="24"/>
              </w:rPr>
            </w:pPr>
            <w:r w:rsidRPr="00446391">
              <w:rPr>
                <w:b/>
                <w:sz w:val="24"/>
                <w:szCs w:val="24"/>
              </w:rPr>
              <w:t>Very Rare</w:t>
            </w:r>
          </w:p>
          <w:p w14:paraId="62C527BF" w14:textId="1AEBAB0D" w:rsidR="00B96E65" w:rsidRPr="00446391" w:rsidRDefault="00B96E65" w:rsidP="00B96E65">
            <w:pPr>
              <w:spacing w:after="3" w:line="234" w:lineRule="auto"/>
              <w:ind w:left="5" w:firstLine="0"/>
              <w:jc w:val="center"/>
              <w:rPr>
                <w:sz w:val="24"/>
                <w:szCs w:val="24"/>
              </w:rPr>
            </w:pPr>
            <w:r w:rsidRPr="00446391">
              <w:rPr>
                <w:sz w:val="24"/>
                <w:szCs w:val="24"/>
              </w:rPr>
              <w:t>&lt;1/10 000</w:t>
            </w:r>
          </w:p>
        </w:tc>
        <w:tc>
          <w:tcPr>
            <w:tcW w:w="1616" w:type="dxa"/>
            <w:tcBorders>
              <w:top w:val="single" w:sz="8" w:space="0" w:color="000000"/>
              <w:left w:val="single" w:sz="8" w:space="0" w:color="000000"/>
              <w:bottom w:val="single" w:sz="8" w:space="0" w:color="000000"/>
              <w:right w:val="single" w:sz="8" w:space="0" w:color="000000"/>
            </w:tcBorders>
            <w:vAlign w:val="center"/>
          </w:tcPr>
          <w:p w14:paraId="4092B024" w14:textId="5E0DBEFA" w:rsidR="00B96E65" w:rsidRPr="00446391" w:rsidRDefault="00B96E65" w:rsidP="00B96E65">
            <w:pPr>
              <w:spacing w:after="160" w:line="259" w:lineRule="auto"/>
              <w:ind w:left="0" w:firstLine="0"/>
              <w:jc w:val="center"/>
              <w:rPr>
                <w:sz w:val="24"/>
                <w:szCs w:val="24"/>
              </w:rPr>
            </w:pPr>
            <w:r w:rsidRPr="00446391">
              <w:rPr>
                <w:b/>
                <w:sz w:val="24"/>
                <w:szCs w:val="24"/>
              </w:rPr>
              <w:t>Frequency not known*</w:t>
            </w:r>
          </w:p>
        </w:tc>
      </w:tr>
      <w:tr w:rsidR="00B96E65" w:rsidRPr="00B96E65" w14:paraId="01BBBC64" w14:textId="77777777" w:rsidTr="00B96E65">
        <w:trPr>
          <w:trHeight w:val="586"/>
        </w:trPr>
        <w:tc>
          <w:tcPr>
            <w:tcW w:w="1538" w:type="dxa"/>
            <w:tcBorders>
              <w:top w:val="single" w:sz="8" w:space="0" w:color="000000"/>
              <w:left w:val="single" w:sz="8" w:space="0" w:color="000000"/>
              <w:bottom w:val="single" w:sz="8" w:space="0" w:color="000000"/>
              <w:right w:val="single" w:sz="8" w:space="0" w:color="000000"/>
            </w:tcBorders>
          </w:tcPr>
          <w:p w14:paraId="5B27CCB8" w14:textId="77777777" w:rsidR="00B96E65" w:rsidRPr="00B96E65" w:rsidRDefault="00B96E65" w:rsidP="00B96E65">
            <w:pPr>
              <w:spacing w:after="5" w:line="234" w:lineRule="auto"/>
              <w:ind w:left="0" w:right="34" w:firstLine="0"/>
              <w:rPr>
                <w:sz w:val="21"/>
                <w:szCs w:val="21"/>
              </w:rPr>
            </w:pPr>
            <w:r w:rsidRPr="00B96E65">
              <w:rPr>
                <w:b/>
                <w:sz w:val="21"/>
                <w:szCs w:val="21"/>
              </w:rPr>
              <w:t>Infections and</w:t>
            </w:r>
          </w:p>
          <w:p w14:paraId="539A06CA" w14:textId="20E59CEA" w:rsidR="00B96E65" w:rsidRPr="00B96E65" w:rsidRDefault="00B96E65" w:rsidP="00B96E65">
            <w:pPr>
              <w:spacing w:after="4" w:line="259" w:lineRule="auto"/>
              <w:ind w:left="0" w:firstLine="0"/>
              <w:rPr>
                <w:b/>
                <w:sz w:val="21"/>
                <w:szCs w:val="21"/>
              </w:rPr>
            </w:pPr>
            <w:r w:rsidRPr="00B96E65">
              <w:rPr>
                <w:b/>
                <w:sz w:val="21"/>
                <w:szCs w:val="21"/>
              </w:rPr>
              <w:t>Infestations</w:t>
            </w:r>
          </w:p>
        </w:tc>
        <w:tc>
          <w:tcPr>
            <w:tcW w:w="1253" w:type="dxa"/>
            <w:tcBorders>
              <w:top w:val="single" w:sz="8" w:space="0" w:color="000000"/>
              <w:left w:val="single" w:sz="8" w:space="0" w:color="000000"/>
              <w:bottom w:val="single" w:sz="8" w:space="0" w:color="000000"/>
              <w:right w:val="single" w:sz="8" w:space="0" w:color="000000"/>
            </w:tcBorders>
          </w:tcPr>
          <w:p w14:paraId="57035FF4"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3784F50C" w14:textId="23C19055" w:rsidR="00B96E65" w:rsidRPr="00B96E65" w:rsidRDefault="00B96E65" w:rsidP="00B96E65">
            <w:pPr>
              <w:spacing w:after="0" w:line="259" w:lineRule="auto"/>
              <w:ind w:left="5" w:firstLine="0"/>
              <w:rPr>
                <w:sz w:val="21"/>
                <w:szCs w:val="21"/>
              </w:rPr>
            </w:pPr>
            <w:r w:rsidRPr="00B96E65">
              <w:rPr>
                <w:sz w:val="21"/>
                <w:szCs w:val="21"/>
              </w:rPr>
              <w:t>Mycotic superinfectio ns</w:t>
            </w:r>
          </w:p>
        </w:tc>
        <w:tc>
          <w:tcPr>
            <w:tcW w:w="1930" w:type="dxa"/>
            <w:tcBorders>
              <w:top w:val="single" w:sz="8" w:space="0" w:color="000000"/>
              <w:left w:val="single" w:sz="8" w:space="0" w:color="000000"/>
              <w:bottom w:val="single" w:sz="8" w:space="0" w:color="000000"/>
              <w:right w:val="single" w:sz="8" w:space="0" w:color="000000"/>
            </w:tcBorders>
          </w:tcPr>
          <w:p w14:paraId="02B9AC4C" w14:textId="53CABFC1" w:rsidR="00B96E65" w:rsidRPr="00B96E65" w:rsidRDefault="00B96E65" w:rsidP="00B96E65">
            <w:pPr>
              <w:spacing w:after="0" w:line="259" w:lineRule="auto"/>
              <w:ind w:left="5" w:firstLine="0"/>
              <w:rPr>
                <w:sz w:val="21"/>
                <w:szCs w:val="21"/>
              </w:rPr>
            </w:pPr>
            <w:r w:rsidRPr="00B96E65">
              <w:rPr>
                <w:sz w:val="21"/>
                <w:szCs w:val="21"/>
              </w:rPr>
              <w:t>Antibiotic associated colitis (very rarely with possible fatal outcome) (see section 4.4)</w:t>
            </w:r>
          </w:p>
        </w:tc>
        <w:tc>
          <w:tcPr>
            <w:tcW w:w="1686" w:type="dxa"/>
            <w:tcBorders>
              <w:top w:val="single" w:sz="8" w:space="0" w:color="000000"/>
              <w:left w:val="single" w:sz="8" w:space="0" w:color="000000"/>
              <w:bottom w:val="single" w:sz="8" w:space="0" w:color="000000"/>
              <w:right w:val="single" w:sz="8" w:space="0" w:color="000000"/>
            </w:tcBorders>
          </w:tcPr>
          <w:p w14:paraId="28139868" w14:textId="77777777" w:rsidR="00B96E65" w:rsidRPr="00B96E65" w:rsidRDefault="00B96E65" w:rsidP="00B96E65">
            <w:pPr>
              <w:spacing w:after="3" w:line="234" w:lineRule="auto"/>
              <w:ind w:left="5" w:firstLine="0"/>
              <w:rPr>
                <w:sz w:val="21"/>
                <w:szCs w:val="21"/>
              </w:rPr>
            </w:pPr>
          </w:p>
        </w:tc>
        <w:tc>
          <w:tcPr>
            <w:tcW w:w="1616" w:type="dxa"/>
            <w:tcBorders>
              <w:top w:val="single" w:sz="8" w:space="0" w:color="000000"/>
              <w:left w:val="single" w:sz="8" w:space="0" w:color="000000"/>
              <w:bottom w:val="single" w:sz="8" w:space="0" w:color="000000"/>
              <w:right w:val="single" w:sz="8" w:space="0" w:color="000000"/>
            </w:tcBorders>
          </w:tcPr>
          <w:p w14:paraId="12CA9B7D" w14:textId="77777777" w:rsidR="00B96E65" w:rsidRPr="00B96E65" w:rsidRDefault="00B96E65" w:rsidP="00B96E65">
            <w:pPr>
              <w:spacing w:after="160" w:line="259" w:lineRule="auto"/>
              <w:ind w:left="0" w:firstLine="0"/>
              <w:rPr>
                <w:sz w:val="21"/>
                <w:szCs w:val="21"/>
              </w:rPr>
            </w:pPr>
          </w:p>
        </w:tc>
      </w:tr>
      <w:tr w:rsidR="00B96E65" w:rsidRPr="00B96E65" w14:paraId="3FBE8658" w14:textId="77777777" w:rsidTr="00B96E65">
        <w:trPr>
          <w:trHeight w:val="1720"/>
        </w:trPr>
        <w:tc>
          <w:tcPr>
            <w:tcW w:w="1538" w:type="dxa"/>
            <w:tcBorders>
              <w:top w:val="single" w:sz="8" w:space="0" w:color="000000"/>
              <w:left w:val="single" w:sz="8" w:space="0" w:color="000000"/>
              <w:bottom w:val="single" w:sz="8" w:space="0" w:color="000000"/>
              <w:right w:val="single" w:sz="8" w:space="0" w:color="000000"/>
            </w:tcBorders>
          </w:tcPr>
          <w:p w14:paraId="24944483" w14:textId="77777777" w:rsidR="00B96E65" w:rsidRPr="00B96E65" w:rsidRDefault="00B96E65" w:rsidP="00B96E65">
            <w:pPr>
              <w:spacing w:after="4" w:line="259" w:lineRule="auto"/>
              <w:ind w:left="0" w:firstLine="0"/>
              <w:rPr>
                <w:sz w:val="21"/>
                <w:szCs w:val="21"/>
              </w:rPr>
            </w:pPr>
            <w:r w:rsidRPr="00B96E65">
              <w:rPr>
                <w:b/>
                <w:sz w:val="21"/>
                <w:szCs w:val="21"/>
              </w:rPr>
              <w:lastRenderedPageBreak/>
              <w:t>Blood and</w:t>
            </w:r>
          </w:p>
          <w:p w14:paraId="6715278F" w14:textId="77777777" w:rsidR="00B96E65" w:rsidRPr="00B96E65" w:rsidRDefault="00B96E65" w:rsidP="00B96E65">
            <w:pPr>
              <w:spacing w:after="0" w:line="259" w:lineRule="auto"/>
              <w:ind w:left="0" w:firstLine="0"/>
              <w:rPr>
                <w:sz w:val="21"/>
                <w:szCs w:val="21"/>
              </w:rPr>
            </w:pPr>
            <w:r w:rsidRPr="00B96E65">
              <w:rPr>
                <w:b/>
                <w:sz w:val="21"/>
                <w:szCs w:val="21"/>
              </w:rPr>
              <w:t>Lymphatic</w:t>
            </w:r>
          </w:p>
          <w:p w14:paraId="319B8E37" w14:textId="77777777" w:rsidR="00B96E65" w:rsidRPr="00B96E65" w:rsidRDefault="00B96E65" w:rsidP="00B96E65">
            <w:pPr>
              <w:spacing w:after="0" w:line="259" w:lineRule="auto"/>
              <w:ind w:left="0" w:firstLine="0"/>
              <w:rPr>
                <w:sz w:val="21"/>
                <w:szCs w:val="21"/>
              </w:rPr>
            </w:pPr>
            <w:r w:rsidRPr="00B96E65">
              <w:rPr>
                <w:b/>
                <w:sz w:val="21"/>
                <w:szCs w:val="21"/>
              </w:rPr>
              <w:t>System</w:t>
            </w:r>
          </w:p>
          <w:p w14:paraId="37AB91B9" w14:textId="77777777" w:rsidR="00B96E65" w:rsidRPr="00B96E65" w:rsidRDefault="00B96E65" w:rsidP="00B96E65">
            <w:pPr>
              <w:spacing w:after="0" w:line="259" w:lineRule="auto"/>
              <w:ind w:left="0" w:firstLine="0"/>
              <w:rPr>
                <w:sz w:val="21"/>
                <w:szCs w:val="21"/>
              </w:rPr>
            </w:pPr>
            <w:r w:rsidRPr="00B96E65">
              <w:rPr>
                <w:b/>
                <w:sz w:val="21"/>
                <w:szCs w:val="21"/>
              </w:rPr>
              <w:t>Disorders</w:t>
            </w:r>
          </w:p>
        </w:tc>
        <w:tc>
          <w:tcPr>
            <w:tcW w:w="1253" w:type="dxa"/>
            <w:tcBorders>
              <w:top w:val="single" w:sz="8" w:space="0" w:color="000000"/>
              <w:left w:val="single" w:sz="8" w:space="0" w:color="000000"/>
              <w:bottom w:val="single" w:sz="8" w:space="0" w:color="000000"/>
              <w:right w:val="single" w:sz="8" w:space="0" w:color="000000"/>
            </w:tcBorders>
          </w:tcPr>
          <w:p w14:paraId="4C023375"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0B7CF3C3" w14:textId="77777777" w:rsidR="00B96E65" w:rsidRPr="00B96E65" w:rsidRDefault="00B96E65" w:rsidP="00B96E65">
            <w:pPr>
              <w:spacing w:after="0" w:line="259" w:lineRule="auto"/>
              <w:ind w:left="5" w:firstLine="0"/>
              <w:rPr>
                <w:sz w:val="21"/>
                <w:szCs w:val="21"/>
              </w:rPr>
            </w:pPr>
            <w:r w:rsidRPr="00B96E65">
              <w:rPr>
                <w:sz w:val="21"/>
                <w:szCs w:val="21"/>
              </w:rPr>
              <w:t>Eosinophilia</w:t>
            </w:r>
          </w:p>
        </w:tc>
        <w:tc>
          <w:tcPr>
            <w:tcW w:w="1930" w:type="dxa"/>
            <w:tcBorders>
              <w:top w:val="single" w:sz="8" w:space="0" w:color="000000"/>
              <w:left w:val="single" w:sz="8" w:space="0" w:color="000000"/>
              <w:bottom w:val="single" w:sz="8" w:space="0" w:color="000000"/>
              <w:right w:val="single" w:sz="8" w:space="0" w:color="000000"/>
            </w:tcBorders>
          </w:tcPr>
          <w:p w14:paraId="53A034AA" w14:textId="77777777" w:rsidR="00B96E65" w:rsidRPr="00B96E65" w:rsidRDefault="00B96E65" w:rsidP="00B96E65">
            <w:pPr>
              <w:spacing w:after="0" w:line="259" w:lineRule="auto"/>
              <w:ind w:left="5" w:firstLine="0"/>
              <w:rPr>
                <w:sz w:val="21"/>
                <w:szCs w:val="21"/>
              </w:rPr>
            </w:pPr>
            <w:r w:rsidRPr="00B96E65">
              <w:rPr>
                <w:sz w:val="21"/>
                <w:szCs w:val="21"/>
              </w:rPr>
              <w:t>Leukopenia</w:t>
            </w:r>
          </w:p>
          <w:p w14:paraId="441139C5" w14:textId="77777777" w:rsidR="00B96E65" w:rsidRPr="00B96E65" w:rsidRDefault="00B96E65" w:rsidP="00B96E65">
            <w:pPr>
              <w:spacing w:after="0" w:line="259" w:lineRule="auto"/>
              <w:ind w:left="5" w:firstLine="0"/>
              <w:rPr>
                <w:sz w:val="21"/>
                <w:szCs w:val="21"/>
              </w:rPr>
            </w:pPr>
            <w:r w:rsidRPr="00B96E65">
              <w:rPr>
                <w:sz w:val="21"/>
                <w:szCs w:val="21"/>
              </w:rPr>
              <w:t>Anaemia</w:t>
            </w:r>
          </w:p>
          <w:p w14:paraId="63E21680" w14:textId="77777777" w:rsidR="00B96E65" w:rsidRPr="00B96E65" w:rsidRDefault="00B96E65" w:rsidP="00B96E65">
            <w:pPr>
              <w:spacing w:after="0" w:line="259" w:lineRule="auto"/>
              <w:ind w:left="5" w:firstLine="0"/>
              <w:rPr>
                <w:sz w:val="21"/>
                <w:szCs w:val="21"/>
              </w:rPr>
            </w:pPr>
            <w:r w:rsidRPr="00B96E65">
              <w:rPr>
                <w:sz w:val="21"/>
                <w:szCs w:val="21"/>
              </w:rPr>
              <w:t>Neutropenia</w:t>
            </w:r>
          </w:p>
          <w:p w14:paraId="738627D4" w14:textId="77777777" w:rsidR="00B96E65" w:rsidRPr="00B96E65" w:rsidRDefault="00B96E65" w:rsidP="00B96E65">
            <w:pPr>
              <w:spacing w:after="18" w:line="237" w:lineRule="auto"/>
              <w:ind w:left="5" w:firstLine="0"/>
              <w:rPr>
                <w:sz w:val="21"/>
                <w:szCs w:val="21"/>
              </w:rPr>
            </w:pPr>
            <w:r w:rsidRPr="00B96E65">
              <w:rPr>
                <w:sz w:val="21"/>
                <w:szCs w:val="21"/>
              </w:rPr>
              <w:t>Leukocytosis Thrombocytopeni a</w:t>
            </w:r>
          </w:p>
          <w:p w14:paraId="7CB2EF77" w14:textId="77777777" w:rsidR="00B96E65" w:rsidRPr="00B96E65" w:rsidRDefault="00B96E65" w:rsidP="00B96E65">
            <w:pPr>
              <w:spacing w:after="0" w:line="259" w:lineRule="auto"/>
              <w:ind w:left="5" w:right="23" w:firstLine="0"/>
              <w:rPr>
                <w:sz w:val="21"/>
                <w:szCs w:val="21"/>
              </w:rPr>
            </w:pPr>
            <w:r w:rsidRPr="00B96E65">
              <w:rPr>
                <w:sz w:val="21"/>
                <w:szCs w:val="21"/>
              </w:rPr>
              <w:t>Thrombocytaemi a</w:t>
            </w:r>
          </w:p>
        </w:tc>
        <w:tc>
          <w:tcPr>
            <w:tcW w:w="1686" w:type="dxa"/>
            <w:tcBorders>
              <w:top w:val="single" w:sz="8" w:space="0" w:color="000000"/>
              <w:left w:val="single" w:sz="8" w:space="0" w:color="000000"/>
              <w:bottom w:val="single" w:sz="8" w:space="0" w:color="000000"/>
              <w:right w:val="single" w:sz="8" w:space="0" w:color="000000"/>
            </w:tcBorders>
          </w:tcPr>
          <w:p w14:paraId="7799A761" w14:textId="77777777" w:rsidR="00B96E65" w:rsidRPr="00B96E65" w:rsidRDefault="00B96E65" w:rsidP="00B96E65">
            <w:pPr>
              <w:spacing w:after="3" w:line="234" w:lineRule="auto"/>
              <w:ind w:left="5" w:firstLine="0"/>
              <w:rPr>
                <w:sz w:val="21"/>
                <w:szCs w:val="21"/>
              </w:rPr>
            </w:pPr>
            <w:r w:rsidRPr="00B96E65">
              <w:rPr>
                <w:sz w:val="21"/>
                <w:szCs w:val="21"/>
              </w:rPr>
              <w:t>Haemolytic anaemia</w:t>
            </w:r>
          </w:p>
          <w:p w14:paraId="5CB73DE1" w14:textId="77777777" w:rsidR="00B96E65" w:rsidRPr="00B96E65" w:rsidRDefault="00B96E65" w:rsidP="00B96E65">
            <w:pPr>
              <w:spacing w:after="0" w:line="259" w:lineRule="auto"/>
              <w:ind w:left="5" w:firstLine="0"/>
              <w:rPr>
                <w:sz w:val="21"/>
                <w:szCs w:val="21"/>
              </w:rPr>
            </w:pPr>
            <w:r w:rsidRPr="00B96E65">
              <w:rPr>
                <w:sz w:val="21"/>
                <w:szCs w:val="21"/>
              </w:rPr>
              <w:t>Agranulocytosis</w:t>
            </w:r>
          </w:p>
          <w:p w14:paraId="7CCDD480" w14:textId="77777777" w:rsidR="00B96E65" w:rsidRPr="00B96E65" w:rsidRDefault="00B96E65" w:rsidP="00B96E65">
            <w:pPr>
              <w:spacing w:after="0" w:line="259" w:lineRule="auto"/>
              <w:ind w:left="5" w:firstLine="0"/>
              <w:rPr>
                <w:sz w:val="21"/>
                <w:szCs w:val="21"/>
              </w:rPr>
            </w:pPr>
            <w:r w:rsidRPr="00B96E65">
              <w:rPr>
                <w:sz w:val="21"/>
                <w:szCs w:val="21"/>
              </w:rPr>
              <w:t>Pancytopenia</w:t>
            </w:r>
          </w:p>
          <w:p w14:paraId="7F5E24B0" w14:textId="77777777" w:rsidR="00B96E65" w:rsidRPr="00B96E65" w:rsidRDefault="00B96E65" w:rsidP="00B96E65">
            <w:pPr>
              <w:spacing w:after="25" w:line="259" w:lineRule="auto"/>
              <w:ind w:left="5" w:firstLine="0"/>
              <w:rPr>
                <w:sz w:val="21"/>
                <w:szCs w:val="21"/>
              </w:rPr>
            </w:pPr>
            <w:r w:rsidRPr="00B96E65">
              <w:rPr>
                <w:sz w:val="21"/>
                <w:szCs w:val="21"/>
              </w:rPr>
              <w:t>(life-threatening)</w:t>
            </w:r>
          </w:p>
          <w:p w14:paraId="59B26D3F" w14:textId="77777777" w:rsidR="00B96E65" w:rsidRPr="00B96E65" w:rsidRDefault="00B96E65" w:rsidP="00B96E65">
            <w:pPr>
              <w:spacing w:after="4" w:line="259" w:lineRule="auto"/>
              <w:ind w:left="5" w:firstLine="0"/>
              <w:rPr>
                <w:sz w:val="21"/>
                <w:szCs w:val="21"/>
              </w:rPr>
            </w:pPr>
            <w:r w:rsidRPr="00B96E65">
              <w:rPr>
                <w:sz w:val="21"/>
                <w:szCs w:val="21"/>
              </w:rPr>
              <w:t>Bone marrow</w:t>
            </w:r>
          </w:p>
          <w:p w14:paraId="2D15E6B9" w14:textId="77777777" w:rsidR="00B96E65" w:rsidRPr="00B96E65" w:rsidRDefault="00B96E65" w:rsidP="00B96E65">
            <w:pPr>
              <w:spacing w:after="0" w:line="259" w:lineRule="auto"/>
              <w:ind w:left="5" w:firstLine="0"/>
              <w:rPr>
                <w:sz w:val="21"/>
                <w:szCs w:val="21"/>
              </w:rPr>
            </w:pPr>
            <w:r w:rsidRPr="00B96E65">
              <w:rPr>
                <w:sz w:val="21"/>
                <w:szCs w:val="21"/>
              </w:rPr>
              <w:t>depression</w:t>
            </w:r>
          </w:p>
          <w:p w14:paraId="3C412312" w14:textId="77777777" w:rsidR="00B96E65" w:rsidRPr="00B96E65" w:rsidRDefault="00B96E65" w:rsidP="00B96E65">
            <w:pPr>
              <w:spacing w:after="0" w:line="259" w:lineRule="auto"/>
              <w:ind w:left="5" w:firstLine="0"/>
              <w:rPr>
                <w:sz w:val="21"/>
                <w:szCs w:val="21"/>
              </w:rPr>
            </w:pPr>
            <w:r w:rsidRPr="00B96E65">
              <w:rPr>
                <w:sz w:val="21"/>
                <w:szCs w:val="21"/>
              </w:rPr>
              <w:t>(lifethreatening)</w:t>
            </w:r>
          </w:p>
        </w:tc>
        <w:tc>
          <w:tcPr>
            <w:tcW w:w="1616" w:type="dxa"/>
            <w:tcBorders>
              <w:top w:val="single" w:sz="8" w:space="0" w:color="000000"/>
              <w:left w:val="single" w:sz="8" w:space="0" w:color="000000"/>
              <w:bottom w:val="single" w:sz="8" w:space="0" w:color="000000"/>
              <w:right w:val="single" w:sz="8" w:space="0" w:color="000000"/>
            </w:tcBorders>
          </w:tcPr>
          <w:p w14:paraId="29EB378B" w14:textId="77777777" w:rsidR="00B96E65" w:rsidRPr="00B96E65" w:rsidRDefault="00B96E65" w:rsidP="00B96E65">
            <w:pPr>
              <w:spacing w:after="160" w:line="259" w:lineRule="auto"/>
              <w:ind w:left="0" w:firstLine="0"/>
              <w:rPr>
                <w:sz w:val="21"/>
                <w:szCs w:val="21"/>
              </w:rPr>
            </w:pPr>
          </w:p>
        </w:tc>
      </w:tr>
      <w:tr w:rsidR="00B96E65" w:rsidRPr="00B96E65" w14:paraId="0EA1282A" w14:textId="77777777" w:rsidTr="00B96E65">
        <w:trPr>
          <w:trHeight w:val="1921"/>
        </w:trPr>
        <w:tc>
          <w:tcPr>
            <w:tcW w:w="1538" w:type="dxa"/>
            <w:tcBorders>
              <w:top w:val="single" w:sz="8" w:space="0" w:color="000000"/>
              <w:left w:val="single" w:sz="8" w:space="0" w:color="000000"/>
              <w:bottom w:val="single" w:sz="8" w:space="0" w:color="000000"/>
              <w:right w:val="single" w:sz="8" w:space="0" w:color="000000"/>
            </w:tcBorders>
          </w:tcPr>
          <w:p w14:paraId="0B34B650" w14:textId="77777777" w:rsidR="00B96E65" w:rsidRPr="00B96E65" w:rsidRDefault="00B96E65" w:rsidP="00B96E65">
            <w:pPr>
              <w:spacing w:after="0" w:line="259" w:lineRule="auto"/>
              <w:ind w:left="0" w:firstLine="0"/>
              <w:rPr>
                <w:sz w:val="21"/>
                <w:szCs w:val="21"/>
              </w:rPr>
            </w:pPr>
            <w:r w:rsidRPr="00B96E65">
              <w:rPr>
                <w:b/>
                <w:sz w:val="21"/>
                <w:szCs w:val="21"/>
              </w:rPr>
              <w:t>Immune</w:t>
            </w:r>
          </w:p>
          <w:p w14:paraId="0042D476" w14:textId="77777777" w:rsidR="00B96E65" w:rsidRPr="00B96E65" w:rsidRDefault="00B96E65" w:rsidP="00B96E65">
            <w:pPr>
              <w:spacing w:after="0" w:line="259" w:lineRule="auto"/>
              <w:ind w:left="0" w:firstLine="0"/>
              <w:rPr>
                <w:sz w:val="21"/>
                <w:szCs w:val="21"/>
              </w:rPr>
            </w:pPr>
            <w:r w:rsidRPr="00B96E65">
              <w:rPr>
                <w:b/>
                <w:sz w:val="21"/>
                <w:szCs w:val="21"/>
              </w:rPr>
              <w:t>System</w:t>
            </w:r>
          </w:p>
          <w:p w14:paraId="1EDD6B97" w14:textId="77777777" w:rsidR="00B96E65" w:rsidRPr="00B96E65" w:rsidRDefault="00B96E65" w:rsidP="00B96E65">
            <w:pPr>
              <w:spacing w:after="0" w:line="259" w:lineRule="auto"/>
              <w:ind w:left="0" w:firstLine="0"/>
              <w:rPr>
                <w:sz w:val="21"/>
                <w:szCs w:val="21"/>
              </w:rPr>
            </w:pPr>
            <w:r w:rsidRPr="00B96E65">
              <w:rPr>
                <w:b/>
                <w:sz w:val="21"/>
                <w:szCs w:val="21"/>
              </w:rPr>
              <w:t>Disorders</w:t>
            </w:r>
          </w:p>
        </w:tc>
        <w:tc>
          <w:tcPr>
            <w:tcW w:w="1253" w:type="dxa"/>
            <w:tcBorders>
              <w:top w:val="single" w:sz="8" w:space="0" w:color="000000"/>
              <w:left w:val="single" w:sz="8" w:space="0" w:color="000000"/>
              <w:bottom w:val="single" w:sz="8" w:space="0" w:color="000000"/>
              <w:right w:val="single" w:sz="8" w:space="0" w:color="000000"/>
            </w:tcBorders>
          </w:tcPr>
          <w:p w14:paraId="2F754697"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4121E2B3" w14:textId="77777777" w:rsidR="00B96E65" w:rsidRPr="00B96E65" w:rsidRDefault="00B96E65" w:rsidP="00B96E65">
            <w:pPr>
              <w:spacing w:after="160" w:line="259" w:lineRule="auto"/>
              <w:ind w:left="0" w:firstLine="0"/>
              <w:rPr>
                <w:sz w:val="21"/>
                <w:szCs w:val="21"/>
              </w:rPr>
            </w:pPr>
          </w:p>
        </w:tc>
        <w:tc>
          <w:tcPr>
            <w:tcW w:w="1930" w:type="dxa"/>
            <w:tcBorders>
              <w:top w:val="single" w:sz="8" w:space="0" w:color="000000"/>
              <w:left w:val="single" w:sz="8" w:space="0" w:color="000000"/>
              <w:bottom w:val="single" w:sz="8" w:space="0" w:color="000000"/>
              <w:right w:val="single" w:sz="8" w:space="0" w:color="000000"/>
            </w:tcBorders>
          </w:tcPr>
          <w:p w14:paraId="4C02D0AE" w14:textId="77777777" w:rsidR="00B96E65" w:rsidRPr="00B96E65" w:rsidRDefault="00B96E65" w:rsidP="00B96E65">
            <w:pPr>
              <w:spacing w:after="0" w:line="259" w:lineRule="auto"/>
              <w:ind w:left="5" w:firstLine="0"/>
              <w:rPr>
                <w:sz w:val="21"/>
                <w:szCs w:val="21"/>
              </w:rPr>
            </w:pPr>
            <w:r w:rsidRPr="00B96E65">
              <w:rPr>
                <w:sz w:val="21"/>
                <w:szCs w:val="21"/>
              </w:rPr>
              <w:t>Allergic reaction Allergic oedema / angiooedema</w:t>
            </w:r>
          </w:p>
        </w:tc>
        <w:tc>
          <w:tcPr>
            <w:tcW w:w="1686" w:type="dxa"/>
            <w:tcBorders>
              <w:top w:val="single" w:sz="8" w:space="0" w:color="000000"/>
              <w:left w:val="single" w:sz="8" w:space="0" w:color="000000"/>
              <w:bottom w:val="single" w:sz="8" w:space="0" w:color="000000"/>
              <w:right w:val="single" w:sz="8" w:space="0" w:color="000000"/>
            </w:tcBorders>
          </w:tcPr>
          <w:p w14:paraId="230C9361" w14:textId="77777777" w:rsidR="00B96E65" w:rsidRPr="00B96E65" w:rsidRDefault="00B96E65" w:rsidP="00B96E65">
            <w:pPr>
              <w:spacing w:after="0" w:line="257" w:lineRule="auto"/>
              <w:ind w:left="5" w:firstLine="0"/>
              <w:rPr>
                <w:sz w:val="21"/>
                <w:szCs w:val="21"/>
              </w:rPr>
            </w:pPr>
            <w:r w:rsidRPr="00B96E65">
              <w:rPr>
                <w:sz w:val="21"/>
                <w:szCs w:val="21"/>
              </w:rPr>
              <w:t>Anaphylactic reaction Anaphylactic shock</w:t>
            </w:r>
          </w:p>
          <w:p w14:paraId="347EC6DB" w14:textId="77777777" w:rsidR="00B96E65" w:rsidRPr="00B96E65" w:rsidRDefault="00B96E65" w:rsidP="00B96E65">
            <w:pPr>
              <w:spacing w:after="25" w:line="259" w:lineRule="auto"/>
              <w:ind w:left="5" w:firstLine="0"/>
              <w:rPr>
                <w:sz w:val="21"/>
                <w:szCs w:val="21"/>
              </w:rPr>
            </w:pPr>
            <w:r w:rsidRPr="00B96E65">
              <w:rPr>
                <w:sz w:val="21"/>
                <w:szCs w:val="21"/>
              </w:rPr>
              <w:t>(lifethreatening)</w:t>
            </w:r>
          </w:p>
          <w:p w14:paraId="7E9F987F" w14:textId="77777777" w:rsidR="00B96E65" w:rsidRPr="00B96E65" w:rsidRDefault="00B96E65" w:rsidP="00B96E65">
            <w:pPr>
              <w:spacing w:after="0" w:line="263" w:lineRule="auto"/>
              <w:ind w:left="5" w:firstLine="0"/>
              <w:rPr>
                <w:sz w:val="21"/>
                <w:szCs w:val="21"/>
              </w:rPr>
            </w:pPr>
            <w:r w:rsidRPr="00B96E65">
              <w:rPr>
                <w:sz w:val="21"/>
                <w:szCs w:val="21"/>
              </w:rPr>
              <w:t>(see section 4.4) Serum</w:t>
            </w:r>
          </w:p>
          <w:p w14:paraId="4BAA3147" w14:textId="77777777" w:rsidR="00B96E65" w:rsidRPr="00B96E65" w:rsidRDefault="00B96E65" w:rsidP="00B96E65">
            <w:pPr>
              <w:spacing w:after="0" w:line="259" w:lineRule="auto"/>
              <w:ind w:left="5" w:firstLine="0"/>
              <w:rPr>
                <w:sz w:val="21"/>
                <w:szCs w:val="21"/>
              </w:rPr>
            </w:pPr>
            <w:r w:rsidRPr="00B96E65">
              <w:rPr>
                <w:sz w:val="21"/>
                <w:szCs w:val="21"/>
              </w:rPr>
              <w:t>sicknesslike reaction</w:t>
            </w:r>
          </w:p>
        </w:tc>
        <w:tc>
          <w:tcPr>
            <w:tcW w:w="1616" w:type="dxa"/>
            <w:tcBorders>
              <w:top w:val="single" w:sz="8" w:space="0" w:color="000000"/>
              <w:left w:val="single" w:sz="8" w:space="0" w:color="000000"/>
              <w:bottom w:val="single" w:sz="8" w:space="0" w:color="000000"/>
              <w:right w:val="single" w:sz="8" w:space="0" w:color="000000"/>
            </w:tcBorders>
          </w:tcPr>
          <w:p w14:paraId="5B315545" w14:textId="77777777" w:rsidR="00B96E65" w:rsidRPr="00B96E65" w:rsidRDefault="00B96E65" w:rsidP="00B96E65">
            <w:pPr>
              <w:spacing w:after="160" w:line="259" w:lineRule="auto"/>
              <w:ind w:left="0" w:firstLine="0"/>
              <w:rPr>
                <w:sz w:val="21"/>
                <w:szCs w:val="21"/>
              </w:rPr>
            </w:pPr>
          </w:p>
        </w:tc>
      </w:tr>
      <w:tr w:rsidR="00B96E65" w:rsidRPr="00B96E65" w14:paraId="04BCDA76" w14:textId="77777777" w:rsidTr="00B96E65">
        <w:trPr>
          <w:trHeight w:val="723"/>
        </w:trPr>
        <w:tc>
          <w:tcPr>
            <w:tcW w:w="1538" w:type="dxa"/>
            <w:tcBorders>
              <w:top w:val="single" w:sz="8" w:space="0" w:color="000000"/>
              <w:left w:val="single" w:sz="8" w:space="0" w:color="000000"/>
              <w:bottom w:val="single" w:sz="8" w:space="0" w:color="000000"/>
              <w:right w:val="single" w:sz="8" w:space="0" w:color="000000"/>
            </w:tcBorders>
          </w:tcPr>
          <w:p w14:paraId="578E7C8B" w14:textId="77777777" w:rsidR="00B96E65" w:rsidRPr="00B96E65" w:rsidRDefault="00B96E65" w:rsidP="00B96E65">
            <w:pPr>
              <w:spacing w:after="0" w:line="259" w:lineRule="auto"/>
              <w:ind w:left="0" w:firstLine="0"/>
              <w:rPr>
                <w:sz w:val="21"/>
                <w:szCs w:val="21"/>
              </w:rPr>
            </w:pPr>
            <w:r w:rsidRPr="00B96E65">
              <w:rPr>
                <w:b/>
                <w:sz w:val="21"/>
                <w:szCs w:val="21"/>
              </w:rPr>
              <w:t>Metabolism and Nutrition Disorders</w:t>
            </w:r>
          </w:p>
        </w:tc>
        <w:tc>
          <w:tcPr>
            <w:tcW w:w="1253" w:type="dxa"/>
            <w:tcBorders>
              <w:top w:val="single" w:sz="8" w:space="0" w:color="000000"/>
              <w:left w:val="single" w:sz="8" w:space="0" w:color="000000"/>
              <w:bottom w:val="single" w:sz="8" w:space="0" w:color="000000"/>
              <w:right w:val="single" w:sz="8" w:space="0" w:color="000000"/>
            </w:tcBorders>
          </w:tcPr>
          <w:p w14:paraId="104CBD8F"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6B10E15A" w14:textId="77777777" w:rsidR="00B96E65" w:rsidRPr="00B96E65" w:rsidRDefault="00B96E65" w:rsidP="00B96E65">
            <w:pPr>
              <w:spacing w:after="0" w:line="259" w:lineRule="auto"/>
              <w:ind w:left="5" w:firstLine="0"/>
              <w:rPr>
                <w:sz w:val="21"/>
                <w:szCs w:val="21"/>
              </w:rPr>
            </w:pPr>
            <w:r w:rsidRPr="00B96E65">
              <w:rPr>
                <w:sz w:val="21"/>
                <w:szCs w:val="21"/>
              </w:rPr>
              <w:t>Decreased appetite</w:t>
            </w:r>
          </w:p>
        </w:tc>
        <w:tc>
          <w:tcPr>
            <w:tcW w:w="1930" w:type="dxa"/>
            <w:tcBorders>
              <w:top w:val="single" w:sz="8" w:space="0" w:color="000000"/>
              <w:left w:val="single" w:sz="8" w:space="0" w:color="000000"/>
              <w:bottom w:val="single" w:sz="8" w:space="0" w:color="000000"/>
              <w:right w:val="single" w:sz="8" w:space="0" w:color="000000"/>
            </w:tcBorders>
          </w:tcPr>
          <w:p w14:paraId="01A221B3" w14:textId="77777777" w:rsidR="00B96E65" w:rsidRPr="00B96E65" w:rsidRDefault="00B96E65" w:rsidP="00B96E65">
            <w:pPr>
              <w:spacing w:after="0" w:line="259" w:lineRule="auto"/>
              <w:ind w:left="5" w:firstLine="0"/>
              <w:rPr>
                <w:sz w:val="21"/>
                <w:szCs w:val="21"/>
              </w:rPr>
            </w:pPr>
            <w:r w:rsidRPr="00B96E65">
              <w:rPr>
                <w:sz w:val="21"/>
                <w:szCs w:val="21"/>
              </w:rPr>
              <w:t>Hyperglycaemia</w:t>
            </w:r>
          </w:p>
          <w:p w14:paraId="43F38800" w14:textId="77777777" w:rsidR="00B96E65" w:rsidRPr="00B96E65" w:rsidRDefault="00B96E65" w:rsidP="00B96E65">
            <w:pPr>
              <w:spacing w:after="25" w:line="259" w:lineRule="auto"/>
              <w:ind w:left="5" w:firstLine="0"/>
              <w:rPr>
                <w:sz w:val="21"/>
                <w:szCs w:val="21"/>
              </w:rPr>
            </w:pPr>
            <w:r w:rsidRPr="00B96E65">
              <w:rPr>
                <w:sz w:val="21"/>
                <w:szCs w:val="21"/>
              </w:rPr>
              <w:t>Hypoglycaemia</w:t>
            </w:r>
          </w:p>
          <w:p w14:paraId="70B535C6" w14:textId="77777777" w:rsidR="00B96E65" w:rsidRPr="00B96E65" w:rsidRDefault="00B96E65" w:rsidP="00B96E65">
            <w:pPr>
              <w:spacing w:after="0" w:line="259" w:lineRule="auto"/>
              <w:ind w:left="5" w:firstLine="0"/>
              <w:rPr>
                <w:sz w:val="21"/>
                <w:szCs w:val="21"/>
              </w:rPr>
            </w:pPr>
            <w:r w:rsidRPr="00B96E65">
              <w:rPr>
                <w:sz w:val="21"/>
                <w:szCs w:val="21"/>
              </w:rPr>
              <w:t>(see section 4.4)</w:t>
            </w:r>
          </w:p>
        </w:tc>
        <w:tc>
          <w:tcPr>
            <w:tcW w:w="1686" w:type="dxa"/>
            <w:tcBorders>
              <w:top w:val="single" w:sz="8" w:space="0" w:color="000000"/>
              <w:left w:val="single" w:sz="8" w:space="0" w:color="000000"/>
              <w:bottom w:val="single" w:sz="8" w:space="0" w:color="000000"/>
              <w:right w:val="single" w:sz="8" w:space="0" w:color="000000"/>
            </w:tcBorders>
          </w:tcPr>
          <w:p w14:paraId="72DCE70F" w14:textId="77777777" w:rsidR="00B96E65" w:rsidRPr="00B96E65" w:rsidRDefault="00B96E65" w:rsidP="00B96E65">
            <w:pPr>
              <w:spacing w:after="160" w:line="259" w:lineRule="auto"/>
              <w:ind w:left="0" w:firstLine="0"/>
              <w:rPr>
                <w:sz w:val="21"/>
                <w:szCs w:val="21"/>
              </w:rPr>
            </w:pPr>
          </w:p>
        </w:tc>
        <w:tc>
          <w:tcPr>
            <w:tcW w:w="1616" w:type="dxa"/>
            <w:tcBorders>
              <w:top w:val="single" w:sz="8" w:space="0" w:color="000000"/>
              <w:left w:val="single" w:sz="8" w:space="0" w:color="000000"/>
              <w:bottom w:val="single" w:sz="8" w:space="0" w:color="000000"/>
              <w:right w:val="single" w:sz="8" w:space="0" w:color="000000"/>
            </w:tcBorders>
          </w:tcPr>
          <w:p w14:paraId="1F992D80" w14:textId="77777777" w:rsidR="00B96E65" w:rsidRPr="00B96E65" w:rsidRDefault="00B96E65" w:rsidP="00B96E65">
            <w:pPr>
              <w:spacing w:after="25" w:line="259" w:lineRule="auto"/>
              <w:ind w:left="5" w:firstLine="0"/>
              <w:rPr>
                <w:sz w:val="21"/>
                <w:szCs w:val="21"/>
              </w:rPr>
            </w:pPr>
            <w:r w:rsidRPr="00B96E65">
              <w:rPr>
                <w:sz w:val="21"/>
                <w:szCs w:val="21"/>
              </w:rPr>
              <w:t>Hypoglycaemic</w:t>
            </w:r>
          </w:p>
          <w:p w14:paraId="52735580" w14:textId="48FE33D0" w:rsidR="00B96E65" w:rsidRPr="00B96E65" w:rsidRDefault="00B96E65" w:rsidP="00B96E65">
            <w:pPr>
              <w:tabs>
                <w:tab w:val="center" w:pos="243"/>
                <w:tab w:val="center" w:pos="1283"/>
              </w:tabs>
              <w:spacing w:after="31" w:line="259" w:lineRule="auto"/>
              <w:ind w:left="0" w:firstLine="0"/>
              <w:rPr>
                <w:sz w:val="21"/>
                <w:szCs w:val="21"/>
              </w:rPr>
            </w:pPr>
            <w:r w:rsidRPr="00B96E65">
              <w:rPr>
                <w:rFonts w:eastAsia="Calibri"/>
                <w:sz w:val="21"/>
                <w:szCs w:val="21"/>
              </w:rPr>
              <w:tab/>
            </w:r>
            <w:r w:rsidRPr="00B96E65">
              <w:rPr>
                <w:sz w:val="21"/>
                <w:szCs w:val="21"/>
              </w:rPr>
              <w:t>Coma (see</w:t>
            </w:r>
          </w:p>
          <w:p w14:paraId="2DA3ECB6" w14:textId="77777777" w:rsidR="00B96E65" w:rsidRPr="00B96E65" w:rsidRDefault="00B96E65" w:rsidP="00B96E65">
            <w:pPr>
              <w:spacing w:after="0" w:line="259" w:lineRule="auto"/>
              <w:ind w:left="5" w:firstLine="0"/>
              <w:rPr>
                <w:sz w:val="21"/>
                <w:szCs w:val="21"/>
              </w:rPr>
            </w:pPr>
            <w:r w:rsidRPr="00B96E65">
              <w:rPr>
                <w:sz w:val="21"/>
                <w:szCs w:val="21"/>
              </w:rPr>
              <w:t>section 4.4)</w:t>
            </w:r>
          </w:p>
        </w:tc>
      </w:tr>
      <w:tr w:rsidR="00B96E65" w:rsidRPr="00B96E65" w14:paraId="1A05E63D" w14:textId="77777777" w:rsidTr="00B96E65">
        <w:trPr>
          <w:trHeight w:val="1700"/>
        </w:trPr>
        <w:tc>
          <w:tcPr>
            <w:tcW w:w="1538" w:type="dxa"/>
            <w:tcBorders>
              <w:top w:val="single" w:sz="8" w:space="0" w:color="000000"/>
              <w:left w:val="single" w:sz="8" w:space="0" w:color="000000"/>
              <w:bottom w:val="single" w:sz="8" w:space="0" w:color="000000"/>
              <w:right w:val="single" w:sz="8" w:space="0" w:color="000000"/>
            </w:tcBorders>
          </w:tcPr>
          <w:p w14:paraId="019F2DD5" w14:textId="77777777" w:rsidR="00B96E65" w:rsidRPr="00B96E65" w:rsidRDefault="00B96E65" w:rsidP="00B96E65">
            <w:pPr>
              <w:spacing w:after="0" w:line="259" w:lineRule="auto"/>
              <w:ind w:left="0" w:firstLine="0"/>
              <w:rPr>
                <w:sz w:val="21"/>
                <w:szCs w:val="21"/>
              </w:rPr>
            </w:pPr>
            <w:r w:rsidRPr="00B96E65">
              <w:rPr>
                <w:b/>
                <w:sz w:val="21"/>
                <w:szCs w:val="21"/>
              </w:rPr>
              <w:t>Endocrine</w:t>
            </w:r>
          </w:p>
          <w:p w14:paraId="52ADF109" w14:textId="77777777" w:rsidR="00B96E65" w:rsidRPr="00B96E65" w:rsidRDefault="00B96E65" w:rsidP="00B96E65">
            <w:pPr>
              <w:spacing w:after="0" w:line="259" w:lineRule="auto"/>
              <w:ind w:left="0" w:firstLine="0"/>
              <w:rPr>
                <w:sz w:val="21"/>
                <w:szCs w:val="21"/>
              </w:rPr>
            </w:pPr>
            <w:r w:rsidRPr="00B96E65">
              <w:rPr>
                <w:b/>
                <w:sz w:val="21"/>
                <w:szCs w:val="21"/>
              </w:rPr>
              <w:t>Disorders</w:t>
            </w:r>
          </w:p>
        </w:tc>
        <w:tc>
          <w:tcPr>
            <w:tcW w:w="1253" w:type="dxa"/>
            <w:tcBorders>
              <w:top w:val="single" w:sz="8" w:space="0" w:color="000000"/>
              <w:left w:val="single" w:sz="8" w:space="0" w:color="000000"/>
              <w:bottom w:val="single" w:sz="8" w:space="0" w:color="000000"/>
              <w:right w:val="single" w:sz="8" w:space="0" w:color="000000"/>
            </w:tcBorders>
          </w:tcPr>
          <w:p w14:paraId="7604C9FF"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30C63E3D" w14:textId="77777777" w:rsidR="00B96E65" w:rsidRPr="00B96E65" w:rsidRDefault="00B96E65" w:rsidP="00B96E65">
            <w:pPr>
              <w:spacing w:after="160" w:line="259" w:lineRule="auto"/>
              <w:ind w:left="0" w:firstLine="0"/>
              <w:rPr>
                <w:sz w:val="21"/>
                <w:szCs w:val="21"/>
              </w:rPr>
            </w:pPr>
          </w:p>
        </w:tc>
        <w:tc>
          <w:tcPr>
            <w:tcW w:w="1930" w:type="dxa"/>
            <w:tcBorders>
              <w:top w:val="single" w:sz="8" w:space="0" w:color="000000"/>
              <w:left w:val="single" w:sz="8" w:space="0" w:color="000000"/>
              <w:bottom w:val="single" w:sz="8" w:space="0" w:color="000000"/>
              <w:right w:val="single" w:sz="8" w:space="0" w:color="000000"/>
            </w:tcBorders>
          </w:tcPr>
          <w:p w14:paraId="404E74B7" w14:textId="77777777" w:rsidR="00B96E65" w:rsidRPr="00B96E65" w:rsidRDefault="00B96E65" w:rsidP="00B96E65">
            <w:pPr>
              <w:spacing w:after="160" w:line="259" w:lineRule="auto"/>
              <w:ind w:left="0" w:firstLine="0"/>
              <w:rPr>
                <w:sz w:val="21"/>
                <w:szCs w:val="21"/>
              </w:rPr>
            </w:pPr>
          </w:p>
        </w:tc>
        <w:tc>
          <w:tcPr>
            <w:tcW w:w="1686" w:type="dxa"/>
            <w:tcBorders>
              <w:top w:val="single" w:sz="8" w:space="0" w:color="000000"/>
              <w:left w:val="single" w:sz="8" w:space="0" w:color="000000"/>
              <w:bottom w:val="single" w:sz="8" w:space="0" w:color="000000"/>
              <w:right w:val="single" w:sz="8" w:space="0" w:color="000000"/>
            </w:tcBorders>
          </w:tcPr>
          <w:p w14:paraId="1CE0600F" w14:textId="77777777" w:rsidR="00B96E65" w:rsidRPr="00B96E65" w:rsidRDefault="00B96E65" w:rsidP="00B96E65">
            <w:pPr>
              <w:spacing w:after="160" w:line="259" w:lineRule="auto"/>
              <w:ind w:left="0" w:firstLine="0"/>
              <w:rPr>
                <w:sz w:val="21"/>
                <w:szCs w:val="21"/>
              </w:rPr>
            </w:pPr>
          </w:p>
        </w:tc>
        <w:tc>
          <w:tcPr>
            <w:tcW w:w="1616" w:type="dxa"/>
            <w:tcBorders>
              <w:top w:val="single" w:sz="8" w:space="0" w:color="000000"/>
              <w:left w:val="single" w:sz="8" w:space="0" w:color="000000"/>
              <w:bottom w:val="single" w:sz="8" w:space="0" w:color="000000"/>
              <w:right w:val="single" w:sz="8" w:space="0" w:color="000000"/>
            </w:tcBorders>
          </w:tcPr>
          <w:p w14:paraId="66D1CF2D" w14:textId="75425253" w:rsidR="00B96E65" w:rsidRPr="00B96E65" w:rsidRDefault="00B96E65" w:rsidP="00B96E65">
            <w:pPr>
              <w:spacing w:after="0" w:line="259" w:lineRule="auto"/>
              <w:ind w:left="5" w:firstLine="0"/>
              <w:rPr>
                <w:sz w:val="21"/>
                <w:szCs w:val="21"/>
              </w:rPr>
            </w:pPr>
            <w:r w:rsidRPr="00B96E65">
              <w:rPr>
                <w:sz w:val="21"/>
                <w:szCs w:val="21"/>
              </w:rPr>
              <w:t>Syndrome of inappropriat of e secretion antidiuretic hormone (SIADH)</w:t>
            </w:r>
          </w:p>
        </w:tc>
      </w:tr>
      <w:tr w:rsidR="00B96E65" w:rsidRPr="00B96E65" w14:paraId="4E47464B" w14:textId="77777777" w:rsidTr="00B96E65">
        <w:trPr>
          <w:trHeight w:val="5320"/>
        </w:trPr>
        <w:tc>
          <w:tcPr>
            <w:tcW w:w="1538" w:type="dxa"/>
            <w:tcBorders>
              <w:top w:val="single" w:sz="8" w:space="0" w:color="000000"/>
              <w:left w:val="single" w:sz="8" w:space="0" w:color="000000"/>
              <w:bottom w:val="single" w:sz="8" w:space="0" w:color="000000"/>
              <w:right w:val="single" w:sz="8" w:space="0" w:color="000000"/>
            </w:tcBorders>
          </w:tcPr>
          <w:p w14:paraId="6F5E736C" w14:textId="77777777" w:rsidR="00B96E65" w:rsidRPr="00B96E65" w:rsidRDefault="00B96E65" w:rsidP="00B96E65">
            <w:pPr>
              <w:spacing w:after="0" w:line="259" w:lineRule="auto"/>
              <w:ind w:left="0" w:firstLine="0"/>
              <w:rPr>
                <w:sz w:val="21"/>
                <w:szCs w:val="21"/>
              </w:rPr>
            </w:pPr>
            <w:r w:rsidRPr="00B96E65">
              <w:rPr>
                <w:b/>
                <w:sz w:val="21"/>
                <w:szCs w:val="21"/>
              </w:rPr>
              <w:lastRenderedPageBreak/>
              <w:t>Psychiatric</w:t>
            </w:r>
          </w:p>
          <w:p w14:paraId="157ED818" w14:textId="77777777" w:rsidR="00B96E65" w:rsidRPr="00B96E65" w:rsidRDefault="00B96E65" w:rsidP="00B96E65">
            <w:pPr>
              <w:spacing w:after="0" w:line="259" w:lineRule="auto"/>
              <w:ind w:left="0" w:firstLine="0"/>
              <w:rPr>
                <w:sz w:val="21"/>
                <w:szCs w:val="21"/>
              </w:rPr>
            </w:pPr>
            <w:r w:rsidRPr="00B96E65">
              <w:rPr>
                <w:b/>
                <w:sz w:val="21"/>
                <w:szCs w:val="21"/>
              </w:rPr>
              <w:t>Disorders*</w:t>
            </w:r>
          </w:p>
        </w:tc>
        <w:tc>
          <w:tcPr>
            <w:tcW w:w="1253" w:type="dxa"/>
            <w:tcBorders>
              <w:top w:val="single" w:sz="8" w:space="0" w:color="000000"/>
              <w:left w:val="single" w:sz="8" w:space="0" w:color="000000"/>
              <w:bottom w:val="single" w:sz="8" w:space="0" w:color="000000"/>
              <w:right w:val="single" w:sz="8" w:space="0" w:color="000000"/>
            </w:tcBorders>
          </w:tcPr>
          <w:p w14:paraId="3E34CCBD"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0A9F3519" w14:textId="77777777" w:rsidR="00B96E65" w:rsidRPr="00B96E65" w:rsidRDefault="00B96E65" w:rsidP="00B96E65">
            <w:pPr>
              <w:spacing w:after="5" w:line="234" w:lineRule="auto"/>
              <w:ind w:left="5" w:firstLine="0"/>
              <w:rPr>
                <w:sz w:val="21"/>
                <w:szCs w:val="21"/>
              </w:rPr>
            </w:pPr>
            <w:r w:rsidRPr="00B96E65">
              <w:rPr>
                <w:sz w:val="21"/>
                <w:szCs w:val="21"/>
              </w:rPr>
              <w:t>Psychomotor hyperactivity</w:t>
            </w:r>
          </w:p>
          <w:p w14:paraId="4BADD7B1" w14:textId="2ED17495" w:rsidR="00B96E65" w:rsidRPr="00B96E65" w:rsidRDefault="00B96E65" w:rsidP="00B96E65">
            <w:pPr>
              <w:spacing w:after="0" w:line="259" w:lineRule="auto"/>
              <w:ind w:left="5" w:firstLine="0"/>
              <w:rPr>
                <w:sz w:val="21"/>
                <w:szCs w:val="21"/>
              </w:rPr>
            </w:pPr>
            <w:r w:rsidRPr="00B96E65">
              <w:rPr>
                <w:sz w:val="21"/>
                <w:szCs w:val="21"/>
              </w:rPr>
              <w:t>/agitation</w:t>
            </w:r>
          </w:p>
        </w:tc>
        <w:tc>
          <w:tcPr>
            <w:tcW w:w="1930" w:type="dxa"/>
            <w:tcBorders>
              <w:top w:val="single" w:sz="8" w:space="0" w:color="000000"/>
              <w:left w:val="single" w:sz="8" w:space="0" w:color="000000"/>
              <w:bottom w:val="single" w:sz="8" w:space="0" w:color="000000"/>
              <w:right w:val="single" w:sz="8" w:space="0" w:color="000000"/>
            </w:tcBorders>
          </w:tcPr>
          <w:p w14:paraId="67388195" w14:textId="77777777" w:rsidR="00B96E65" w:rsidRPr="00B96E65" w:rsidRDefault="00B96E65" w:rsidP="00B96E65">
            <w:pPr>
              <w:spacing w:after="294" w:line="263" w:lineRule="auto"/>
              <w:ind w:left="5" w:firstLine="0"/>
              <w:rPr>
                <w:sz w:val="21"/>
                <w:szCs w:val="21"/>
              </w:rPr>
            </w:pPr>
            <w:r w:rsidRPr="00B96E65">
              <w:rPr>
                <w:sz w:val="21"/>
                <w:szCs w:val="21"/>
              </w:rPr>
              <w:t>Confusion and disorientation</w:t>
            </w:r>
          </w:p>
          <w:p w14:paraId="7DD01AA0" w14:textId="77777777" w:rsidR="00B96E65" w:rsidRPr="00B96E65" w:rsidRDefault="00B96E65" w:rsidP="00B96E65">
            <w:pPr>
              <w:spacing w:after="304" w:line="259" w:lineRule="auto"/>
              <w:ind w:left="5" w:firstLine="0"/>
              <w:rPr>
                <w:sz w:val="21"/>
                <w:szCs w:val="21"/>
              </w:rPr>
            </w:pPr>
            <w:r w:rsidRPr="00B96E65">
              <w:rPr>
                <w:sz w:val="21"/>
                <w:szCs w:val="21"/>
              </w:rPr>
              <w:t>Anxiety reaction</w:t>
            </w:r>
          </w:p>
          <w:p w14:paraId="339A62BD" w14:textId="77777777" w:rsidR="00B96E65" w:rsidRPr="00B96E65" w:rsidRDefault="00B96E65" w:rsidP="00B96E65">
            <w:pPr>
              <w:spacing w:after="274" w:line="259" w:lineRule="auto"/>
              <w:ind w:left="5" w:firstLine="0"/>
              <w:rPr>
                <w:sz w:val="21"/>
                <w:szCs w:val="21"/>
              </w:rPr>
            </w:pPr>
            <w:r w:rsidRPr="00B96E65">
              <w:rPr>
                <w:sz w:val="21"/>
                <w:szCs w:val="21"/>
              </w:rPr>
              <w:t>Abnormal dreams</w:t>
            </w:r>
          </w:p>
          <w:p w14:paraId="44CAB4D1" w14:textId="77777777" w:rsidR="00B96E65" w:rsidRPr="00B96E65" w:rsidRDefault="00B96E65" w:rsidP="00B96E65">
            <w:pPr>
              <w:spacing w:after="284" w:line="252" w:lineRule="auto"/>
              <w:ind w:left="5" w:firstLine="0"/>
              <w:rPr>
                <w:sz w:val="21"/>
                <w:szCs w:val="21"/>
              </w:rPr>
            </w:pPr>
            <w:r w:rsidRPr="00B96E65">
              <w:rPr>
                <w:sz w:val="21"/>
                <w:szCs w:val="21"/>
              </w:rPr>
              <w:t>Depression (potentially culminating in suicidal ideations/thought s or suicide attempts and completed suicide) (see section 4.4)</w:t>
            </w:r>
          </w:p>
          <w:p w14:paraId="2F878CB2" w14:textId="77777777" w:rsidR="00B96E65" w:rsidRPr="00B96E65" w:rsidRDefault="00B96E65" w:rsidP="00B96E65">
            <w:pPr>
              <w:spacing w:after="0" w:line="259" w:lineRule="auto"/>
              <w:ind w:left="5" w:firstLine="0"/>
              <w:rPr>
                <w:sz w:val="21"/>
                <w:szCs w:val="21"/>
              </w:rPr>
            </w:pPr>
            <w:r w:rsidRPr="00B96E65">
              <w:rPr>
                <w:sz w:val="21"/>
                <w:szCs w:val="21"/>
              </w:rPr>
              <w:t>Hallucinations</w:t>
            </w:r>
          </w:p>
        </w:tc>
        <w:tc>
          <w:tcPr>
            <w:tcW w:w="1686" w:type="dxa"/>
            <w:tcBorders>
              <w:top w:val="single" w:sz="8" w:space="0" w:color="000000"/>
              <w:left w:val="single" w:sz="8" w:space="0" w:color="000000"/>
              <w:bottom w:val="single" w:sz="8" w:space="0" w:color="000000"/>
              <w:right w:val="single" w:sz="8" w:space="0" w:color="000000"/>
            </w:tcBorders>
          </w:tcPr>
          <w:p w14:paraId="7E2D492D" w14:textId="77777777" w:rsidR="00B96E65" w:rsidRPr="00B96E65" w:rsidRDefault="00B96E65" w:rsidP="00B96E65">
            <w:pPr>
              <w:spacing w:after="20" w:line="248" w:lineRule="auto"/>
              <w:ind w:left="5" w:right="43" w:firstLine="0"/>
              <w:rPr>
                <w:sz w:val="21"/>
                <w:szCs w:val="21"/>
              </w:rPr>
            </w:pPr>
            <w:r w:rsidRPr="00B96E65">
              <w:rPr>
                <w:sz w:val="21"/>
                <w:szCs w:val="21"/>
              </w:rPr>
              <w:t>Psychotic reactions (potentially culminating in suicidal ideations/ thoughts or suicide attempts</w:t>
            </w:r>
          </w:p>
          <w:p w14:paraId="2A5D2C40" w14:textId="77777777" w:rsidR="00B96E65" w:rsidRPr="00B96E65" w:rsidRDefault="00B96E65" w:rsidP="00B96E65">
            <w:pPr>
              <w:spacing w:after="26" w:line="241" w:lineRule="auto"/>
              <w:ind w:left="5" w:firstLine="0"/>
              <w:rPr>
                <w:sz w:val="21"/>
                <w:szCs w:val="21"/>
              </w:rPr>
            </w:pPr>
            <w:r w:rsidRPr="00B96E65">
              <w:rPr>
                <w:sz w:val="21"/>
                <w:szCs w:val="21"/>
              </w:rPr>
              <w:t>and completed suicide)</w:t>
            </w:r>
          </w:p>
          <w:p w14:paraId="5377521D" w14:textId="77777777" w:rsidR="00B96E65" w:rsidRPr="00B96E65" w:rsidRDefault="00B96E65" w:rsidP="00B96E65">
            <w:pPr>
              <w:spacing w:after="0" w:line="259" w:lineRule="auto"/>
              <w:ind w:left="5" w:firstLine="0"/>
              <w:rPr>
                <w:sz w:val="21"/>
                <w:szCs w:val="21"/>
              </w:rPr>
            </w:pPr>
            <w:r w:rsidRPr="00B96E65">
              <w:rPr>
                <w:sz w:val="21"/>
                <w:szCs w:val="21"/>
              </w:rPr>
              <w:t>(see section 4.4)</w:t>
            </w:r>
          </w:p>
        </w:tc>
        <w:tc>
          <w:tcPr>
            <w:tcW w:w="1616" w:type="dxa"/>
            <w:tcBorders>
              <w:top w:val="single" w:sz="8" w:space="0" w:color="000000"/>
              <w:left w:val="single" w:sz="8" w:space="0" w:color="000000"/>
              <w:bottom w:val="single" w:sz="8" w:space="0" w:color="000000"/>
              <w:right w:val="single" w:sz="8" w:space="0" w:color="000000"/>
            </w:tcBorders>
          </w:tcPr>
          <w:p w14:paraId="23960B96" w14:textId="77777777" w:rsidR="00B96E65" w:rsidRPr="00B96E65" w:rsidRDefault="00B96E65" w:rsidP="00B96E65">
            <w:pPr>
              <w:spacing w:after="160" w:line="259" w:lineRule="auto"/>
              <w:ind w:left="0" w:firstLine="0"/>
              <w:rPr>
                <w:sz w:val="21"/>
                <w:szCs w:val="21"/>
              </w:rPr>
            </w:pPr>
          </w:p>
        </w:tc>
      </w:tr>
      <w:tr w:rsidR="00B96E65" w:rsidRPr="00B96E65" w14:paraId="6F939E65" w14:textId="77777777" w:rsidTr="00B96E65">
        <w:trPr>
          <w:trHeight w:val="3484"/>
        </w:trPr>
        <w:tc>
          <w:tcPr>
            <w:tcW w:w="1538" w:type="dxa"/>
            <w:tcBorders>
              <w:top w:val="single" w:sz="8" w:space="0" w:color="000000"/>
              <w:left w:val="single" w:sz="8" w:space="0" w:color="000000"/>
              <w:bottom w:val="single" w:sz="8" w:space="0" w:color="000000"/>
              <w:right w:val="single" w:sz="8" w:space="0" w:color="000000"/>
            </w:tcBorders>
          </w:tcPr>
          <w:p w14:paraId="48DD3B47" w14:textId="77777777" w:rsidR="00B96E65" w:rsidRDefault="00B96E65" w:rsidP="00B96E65">
            <w:pPr>
              <w:spacing w:after="0" w:line="259" w:lineRule="auto"/>
              <w:ind w:left="0" w:firstLine="0"/>
            </w:pPr>
            <w:r>
              <w:rPr>
                <w:b/>
              </w:rPr>
              <w:t>Nervous</w:t>
            </w:r>
          </w:p>
          <w:p w14:paraId="6A37E30A" w14:textId="77777777" w:rsidR="00B96E65" w:rsidRDefault="00B96E65" w:rsidP="00B96E65">
            <w:pPr>
              <w:spacing w:after="0" w:line="259" w:lineRule="auto"/>
              <w:ind w:left="0" w:firstLine="0"/>
            </w:pPr>
            <w:r>
              <w:rPr>
                <w:b/>
              </w:rPr>
              <w:t>System</w:t>
            </w:r>
          </w:p>
          <w:p w14:paraId="411FF0E8" w14:textId="7D0DE513" w:rsidR="00B96E65" w:rsidRPr="00B96E65" w:rsidRDefault="00B96E65" w:rsidP="00B96E65">
            <w:pPr>
              <w:spacing w:after="0" w:line="259" w:lineRule="auto"/>
              <w:ind w:left="0" w:firstLine="0"/>
              <w:rPr>
                <w:b/>
                <w:sz w:val="21"/>
                <w:szCs w:val="21"/>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0169BA91"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191A0011" w14:textId="77777777" w:rsidR="00B96E65" w:rsidRDefault="00B96E65" w:rsidP="00B96E65">
            <w:pPr>
              <w:spacing w:after="0" w:line="259" w:lineRule="auto"/>
              <w:ind w:left="5" w:firstLine="0"/>
            </w:pPr>
            <w:r>
              <w:t>Headache</w:t>
            </w:r>
          </w:p>
          <w:p w14:paraId="50270EB0" w14:textId="158150E3" w:rsidR="00B96E65" w:rsidRPr="00B96E65" w:rsidRDefault="00B96E65" w:rsidP="00B96E65">
            <w:pPr>
              <w:spacing w:after="5" w:line="234" w:lineRule="auto"/>
              <w:ind w:left="5" w:firstLine="0"/>
              <w:rPr>
                <w:sz w:val="21"/>
                <w:szCs w:val="21"/>
              </w:rPr>
            </w:pPr>
            <w:r>
              <w:t>Dizziness Sleep disorders Taste disorders</w:t>
            </w:r>
          </w:p>
        </w:tc>
        <w:tc>
          <w:tcPr>
            <w:tcW w:w="1930" w:type="dxa"/>
            <w:tcBorders>
              <w:top w:val="single" w:sz="8" w:space="0" w:color="000000"/>
              <w:left w:val="single" w:sz="8" w:space="0" w:color="000000"/>
              <w:bottom w:val="single" w:sz="8" w:space="0" w:color="000000"/>
              <w:right w:val="single" w:sz="8" w:space="0" w:color="000000"/>
            </w:tcBorders>
          </w:tcPr>
          <w:p w14:paraId="1D08DD99" w14:textId="77777777" w:rsidR="00B96E65" w:rsidRDefault="00B96E65" w:rsidP="00B96E65">
            <w:pPr>
              <w:spacing w:after="4" w:line="259" w:lineRule="auto"/>
              <w:ind w:left="5" w:firstLine="0"/>
            </w:pPr>
            <w:r>
              <w:t>Par- and</w:t>
            </w:r>
          </w:p>
          <w:p w14:paraId="7829F4D8" w14:textId="77777777" w:rsidR="00B96E65" w:rsidRDefault="00B96E65" w:rsidP="00B96E65">
            <w:pPr>
              <w:spacing w:after="0" w:line="259" w:lineRule="auto"/>
              <w:ind w:left="5" w:firstLine="0"/>
            </w:pPr>
            <w:r>
              <w:t>Dysaesthesia</w:t>
            </w:r>
          </w:p>
          <w:p w14:paraId="7CA3007F" w14:textId="77777777" w:rsidR="00B96E65" w:rsidRDefault="00B96E65" w:rsidP="00B96E65">
            <w:pPr>
              <w:spacing w:after="0" w:line="259" w:lineRule="auto"/>
              <w:ind w:left="5" w:firstLine="0"/>
            </w:pPr>
            <w:r>
              <w:t>Hypoaesthesia</w:t>
            </w:r>
          </w:p>
          <w:p w14:paraId="1456F5E9" w14:textId="77777777" w:rsidR="00B96E65" w:rsidRDefault="00B96E65" w:rsidP="00B96E65">
            <w:pPr>
              <w:spacing w:after="0" w:line="259" w:lineRule="auto"/>
              <w:ind w:left="5" w:firstLine="0"/>
            </w:pPr>
            <w:r>
              <w:t>Tremor</w:t>
            </w:r>
          </w:p>
          <w:p w14:paraId="6724A32A" w14:textId="77777777" w:rsidR="00B96E65" w:rsidRDefault="00B96E65" w:rsidP="00B96E65">
            <w:pPr>
              <w:spacing w:after="0" w:line="259" w:lineRule="auto"/>
              <w:ind w:left="5" w:firstLine="0"/>
            </w:pPr>
            <w:r>
              <w:t>Seizures</w:t>
            </w:r>
          </w:p>
          <w:p w14:paraId="039472F4" w14:textId="77777777" w:rsidR="00B96E65" w:rsidRDefault="00B96E65" w:rsidP="00B96E65">
            <w:pPr>
              <w:spacing w:after="0" w:line="259" w:lineRule="auto"/>
              <w:ind w:left="5" w:firstLine="0"/>
            </w:pPr>
            <w:r>
              <w:t>(including</w:t>
            </w:r>
          </w:p>
          <w:p w14:paraId="710AB54F" w14:textId="77777777" w:rsidR="00B96E65" w:rsidRDefault="00B96E65" w:rsidP="00B96E65">
            <w:pPr>
              <w:spacing w:after="0" w:line="264" w:lineRule="auto"/>
              <w:ind w:left="5" w:right="104" w:firstLine="0"/>
            </w:pPr>
            <w:r>
              <w:t>status epilepticus</w:t>
            </w:r>
            <w:r>
              <w:tab/>
              <w:t>see section 4.4)</w:t>
            </w:r>
          </w:p>
          <w:p w14:paraId="056B50C1" w14:textId="42DA7A28" w:rsidR="00B96E65" w:rsidRPr="00B96E65" w:rsidRDefault="00B96E65" w:rsidP="00B96E65">
            <w:pPr>
              <w:spacing w:after="294" w:line="263" w:lineRule="auto"/>
              <w:ind w:left="5" w:firstLine="0"/>
              <w:rPr>
                <w:sz w:val="21"/>
                <w:szCs w:val="21"/>
              </w:rPr>
            </w:pPr>
            <w:r>
              <w:t>Vertigo</w:t>
            </w:r>
          </w:p>
        </w:tc>
        <w:tc>
          <w:tcPr>
            <w:tcW w:w="1686" w:type="dxa"/>
            <w:tcBorders>
              <w:top w:val="single" w:sz="8" w:space="0" w:color="000000"/>
              <w:left w:val="single" w:sz="8" w:space="0" w:color="000000"/>
              <w:bottom w:val="single" w:sz="8" w:space="0" w:color="000000"/>
              <w:right w:val="single" w:sz="8" w:space="0" w:color="000000"/>
            </w:tcBorders>
          </w:tcPr>
          <w:p w14:paraId="0AC225A8" w14:textId="77777777" w:rsidR="00B96E65" w:rsidRDefault="00B96E65" w:rsidP="00B96E65">
            <w:pPr>
              <w:spacing w:after="0" w:line="248" w:lineRule="auto"/>
              <w:ind w:left="5" w:right="165" w:firstLine="0"/>
            </w:pPr>
            <w:r>
              <w:t>Disturbance Gait disturbance Olfactory nerve disorders</w:t>
            </w:r>
          </w:p>
          <w:p w14:paraId="552B4A9D" w14:textId="77777777" w:rsidR="00B96E65" w:rsidRDefault="00B96E65" w:rsidP="00B96E65">
            <w:pPr>
              <w:spacing w:after="0" w:line="259" w:lineRule="auto"/>
              <w:ind w:left="5" w:firstLine="0"/>
            </w:pPr>
            <w:r>
              <w:t>Intracranial</w:t>
            </w:r>
          </w:p>
          <w:p w14:paraId="043DD7C7" w14:textId="77777777" w:rsidR="00B96E65" w:rsidRDefault="00B96E65" w:rsidP="00B96E65">
            <w:pPr>
              <w:spacing w:after="20" w:line="248" w:lineRule="auto"/>
              <w:ind w:left="5" w:right="43" w:firstLine="0"/>
            </w:pPr>
            <w:r>
              <w:t>Hypertension and pseudotumor cerebri</w:t>
            </w:r>
          </w:p>
          <w:p w14:paraId="0105C0C0" w14:textId="7895E054" w:rsidR="00B96E65" w:rsidRPr="00B96E65" w:rsidRDefault="00B96E65" w:rsidP="00B96E65">
            <w:pPr>
              <w:spacing w:after="20" w:line="248" w:lineRule="auto"/>
              <w:ind w:left="5" w:right="43" w:firstLine="0"/>
              <w:rPr>
                <w:sz w:val="21"/>
                <w:szCs w:val="21"/>
              </w:rPr>
            </w:pPr>
            <w:r w:rsidRPr="00B96E65">
              <w:rPr>
                <w:sz w:val="21"/>
                <w:szCs w:val="21"/>
              </w:rPr>
              <w:t>Migraine coordination</w:t>
            </w:r>
          </w:p>
        </w:tc>
        <w:tc>
          <w:tcPr>
            <w:tcW w:w="1616" w:type="dxa"/>
            <w:tcBorders>
              <w:top w:val="single" w:sz="8" w:space="0" w:color="000000"/>
              <w:left w:val="single" w:sz="8" w:space="0" w:color="000000"/>
              <w:bottom w:val="single" w:sz="8" w:space="0" w:color="000000"/>
              <w:right w:val="single" w:sz="8" w:space="0" w:color="000000"/>
            </w:tcBorders>
          </w:tcPr>
          <w:p w14:paraId="68B47800" w14:textId="77777777" w:rsidR="00B96E65" w:rsidRDefault="00B96E65" w:rsidP="00B96E65">
            <w:pPr>
              <w:spacing w:after="21" w:line="246" w:lineRule="auto"/>
              <w:ind w:left="5" w:firstLine="0"/>
            </w:pPr>
            <w:r>
              <w:t>Peripheral neuropathy and polyneuropath y</w:t>
            </w:r>
          </w:p>
          <w:p w14:paraId="6E6C908F" w14:textId="77777777" w:rsidR="00B96E65" w:rsidRDefault="00B96E65" w:rsidP="00B96E65">
            <w:pPr>
              <w:spacing w:after="4" w:line="259" w:lineRule="auto"/>
              <w:ind w:left="5" w:firstLine="0"/>
            </w:pPr>
            <w:r>
              <w:t>(see section</w:t>
            </w:r>
          </w:p>
          <w:p w14:paraId="54C047E9" w14:textId="55F2A1C1" w:rsidR="00B96E65" w:rsidRPr="00B96E65" w:rsidRDefault="00B96E65" w:rsidP="00B96E65">
            <w:pPr>
              <w:spacing w:after="160" w:line="259" w:lineRule="auto"/>
              <w:ind w:left="0" w:firstLine="0"/>
              <w:rPr>
                <w:sz w:val="21"/>
                <w:szCs w:val="21"/>
              </w:rPr>
            </w:pPr>
            <w:r>
              <w:t>4.4)</w:t>
            </w:r>
          </w:p>
        </w:tc>
      </w:tr>
      <w:tr w:rsidR="00B96E65" w:rsidRPr="00B96E65" w14:paraId="6BE5E8FB" w14:textId="77777777" w:rsidTr="00B96E65">
        <w:trPr>
          <w:trHeight w:val="885"/>
        </w:trPr>
        <w:tc>
          <w:tcPr>
            <w:tcW w:w="1538" w:type="dxa"/>
            <w:tcBorders>
              <w:top w:val="single" w:sz="8" w:space="0" w:color="000000"/>
              <w:left w:val="single" w:sz="8" w:space="0" w:color="000000"/>
              <w:bottom w:val="single" w:sz="8" w:space="0" w:color="000000"/>
              <w:right w:val="single" w:sz="8" w:space="0" w:color="000000"/>
            </w:tcBorders>
          </w:tcPr>
          <w:p w14:paraId="185F58C0" w14:textId="77777777" w:rsidR="00B96E65" w:rsidRDefault="00B96E65" w:rsidP="00B96E65">
            <w:pPr>
              <w:spacing w:after="0" w:line="259" w:lineRule="auto"/>
              <w:ind w:left="0" w:firstLine="0"/>
            </w:pPr>
            <w:r>
              <w:rPr>
                <w:b/>
              </w:rPr>
              <w:t>Eye</w:t>
            </w:r>
          </w:p>
          <w:p w14:paraId="73F93BB1" w14:textId="1CDC8070" w:rsidR="00B96E65" w:rsidRDefault="00B96E65" w:rsidP="00B96E65">
            <w:pPr>
              <w:spacing w:after="0"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3B73DBBA"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66C15419" w14:textId="77777777" w:rsidR="00B96E65" w:rsidRDefault="00B96E65" w:rsidP="00B96E65">
            <w:pPr>
              <w:spacing w:after="0" w:line="259" w:lineRule="auto"/>
              <w:ind w:left="5" w:firstLine="0"/>
            </w:pPr>
          </w:p>
        </w:tc>
        <w:tc>
          <w:tcPr>
            <w:tcW w:w="1930" w:type="dxa"/>
            <w:tcBorders>
              <w:top w:val="single" w:sz="8" w:space="0" w:color="000000"/>
              <w:left w:val="single" w:sz="8" w:space="0" w:color="000000"/>
              <w:bottom w:val="single" w:sz="8" w:space="0" w:color="000000"/>
              <w:right w:val="single" w:sz="8" w:space="0" w:color="000000"/>
            </w:tcBorders>
          </w:tcPr>
          <w:p w14:paraId="5238157D" w14:textId="77777777" w:rsidR="00B96E65" w:rsidRDefault="00B96E65" w:rsidP="00B96E65">
            <w:pPr>
              <w:spacing w:after="0" w:line="259" w:lineRule="auto"/>
              <w:ind w:left="5" w:firstLine="0"/>
            </w:pPr>
            <w:r>
              <w:t>Visual</w:t>
            </w:r>
          </w:p>
          <w:p w14:paraId="4C9D3D38" w14:textId="77777777" w:rsidR="00B96E65" w:rsidRDefault="00B96E65" w:rsidP="00B96E65">
            <w:pPr>
              <w:spacing w:after="4" w:line="259" w:lineRule="auto"/>
              <w:ind w:left="5" w:firstLine="0"/>
            </w:pPr>
            <w:r>
              <w:t>Disturbances</w:t>
            </w:r>
          </w:p>
          <w:p w14:paraId="21C421A5" w14:textId="47425AE5" w:rsidR="00B96E65" w:rsidRDefault="00B96E65" w:rsidP="00B96E65">
            <w:pPr>
              <w:spacing w:after="4" w:line="259" w:lineRule="auto"/>
              <w:ind w:left="5" w:firstLine="0"/>
            </w:pPr>
            <w:r>
              <w:t>(e.g. diplopia)</w:t>
            </w:r>
          </w:p>
        </w:tc>
        <w:tc>
          <w:tcPr>
            <w:tcW w:w="1686" w:type="dxa"/>
            <w:tcBorders>
              <w:top w:val="single" w:sz="8" w:space="0" w:color="000000"/>
              <w:left w:val="single" w:sz="8" w:space="0" w:color="000000"/>
              <w:bottom w:val="single" w:sz="8" w:space="0" w:color="000000"/>
              <w:right w:val="single" w:sz="8" w:space="0" w:color="000000"/>
            </w:tcBorders>
          </w:tcPr>
          <w:p w14:paraId="7C4B7341" w14:textId="57A5DCF4" w:rsidR="00B96E65" w:rsidRDefault="00B96E65" w:rsidP="00B96E65">
            <w:pPr>
              <w:spacing w:after="0" w:line="248" w:lineRule="auto"/>
              <w:ind w:left="5" w:right="165" w:firstLine="0"/>
            </w:pPr>
            <w:r>
              <w:t>Visual colour distortions</w:t>
            </w:r>
          </w:p>
        </w:tc>
        <w:tc>
          <w:tcPr>
            <w:tcW w:w="1616" w:type="dxa"/>
            <w:tcBorders>
              <w:top w:val="single" w:sz="8" w:space="0" w:color="000000"/>
              <w:left w:val="single" w:sz="8" w:space="0" w:color="000000"/>
              <w:bottom w:val="single" w:sz="8" w:space="0" w:color="000000"/>
              <w:right w:val="single" w:sz="8" w:space="0" w:color="000000"/>
            </w:tcBorders>
          </w:tcPr>
          <w:p w14:paraId="75918D48" w14:textId="77777777" w:rsidR="00B96E65" w:rsidRDefault="00B96E65" w:rsidP="00B96E65">
            <w:pPr>
              <w:spacing w:after="21" w:line="246" w:lineRule="auto"/>
              <w:ind w:left="5" w:firstLine="0"/>
            </w:pPr>
          </w:p>
        </w:tc>
      </w:tr>
      <w:tr w:rsidR="00B96E65" w:rsidRPr="00B96E65" w14:paraId="476139B0"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5DB79ABD" w14:textId="77777777" w:rsidR="00B96E65" w:rsidRDefault="00B96E65" w:rsidP="00B96E65">
            <w:pPr>
              <w:spacing w:after="4" w:line="259" w:lineRule="auto"/>
              <w:ind w:left="0" w:firstLine="0"/>
            </w:pPr>
            <w:r>
              <w:rPr>
                <w:b/>
              </w:rPr>
              <w:t>Ear and</w:t>
            </w:r>
          </w:p>
          <w:p w14:paraId="67B828D6" w14:textId="77777777" w:rsidR="00B96E65" w:rsidRDefault="00B96E65" w:rsidP="00B96E65">
            <w:pPr>
              <w:spacing w:after="0" w:line="259" w:lineRule="auto"/>
              <w:ind w:left="0" w:firstLine="0"/>
            </w:pPr>
            <w:r>
              <w:rPr>
                <w:b/>
              </w:rPr>
              <w:t>Labyrinth</w:t>
            </w:r>
          </w:p>
          <w:p w14:paraId="5E038893" w14:textId="1F039454" w:rsidR="00B96E65" w:rsidRDefault="00B96E65" w:rsidP="00B96E65">
            <w:pPr>
              <w:spacing w:after="0"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489B52AF"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09BFD0E7" w14:textId="77777777" w:rsidR="00B96E65" w:rsidRDefault="00B96E65" w:rsidP="00B96E65">
            <w:pPr>
              <w:spacing w:after="0" w:line="259" w:lineRule="auto"/>
              <w:ind w:left="5" w:firstLine="0"/>
            </w:pPr>
          </w:p>
        </w:tc>
        <w:tc>
          <w:tcPr>
            <w:tcW w:w="1930" w:type="dxa"/>
            <w:tcBorders>
              <w:top w:val="single" w:sz="8" w:space="0" w:color="000000"/>
              <w:left w:val="single" w:sz="8" w:space="0" w:color="000000"/>
              <w:bottom w:val="single" w:sz="8" w:space="0" w:color="000000"/>
              <w:right w:val="single" w:sz="8" w:space="0" w:color="000000"/>
            </w:tcBorders>
          </w:tcPr>
          <w:p w14:paraId="675E1449" w14:textId="77777777" w:rsidR="00B96E65" w:rsidRDefault="00B96E65" w:rsidP="00B96E65">
            <w:pPr>
              <w:spacing w:after="25" w:line="259" w:lineRule="auto"/>
              <w:ind w:left="5" w:firstLine="0"/>
            </w:pPr>
            <w:r>
              <w:t>Tinnitus</w:t>
            </w:r>
          </w:p>
          <w:p w14:paraId="1F3D1016" w14:textId="77777777" w:rsidR="00B96E65" w:rsidRDefault="00B96E65" w:rsidP="00B96E65">
            <w:pPr>
              <w:spacing w:after="31" w:line="259" w:lineRule="auto"/>
              <w:ind w:left="5" w:firstLine="0"/>
            </w:pPr>
            <w:r>
              <w:t>Hearing loss /</w:t>
            </w:r>
          </w:p>
          <w:p w14:paraId="1EBDF2C8" w14:textId="049ECE20" w:rsidR="00B96E65" w:rsidRDefault="00B96E65" w:rsidP="00B96E65">
            <w:pPr>
              <w:spacing w:after="0" w:line="259" w:lineRule="auto"/>
              <w:ind w:left="5" w:firstLine="0"/>
            </w:pPr>
            <w:r>
              <w:t>Hearing impaired</w:t>
            </w:r>
          </w:p>
        </w:tc>
        <w:tc>
          <w:tcPr>
            <w:tcW w:w="1686" w:type="dxa"/>
            <w:tcBorders>
              <w:top w:val="single" w:sz="8" w:space="0" w:color="000000"/>
              <w:left w:val="single" w:sz="8" w:space="0" w:color="000000"/>
              <w:bottom w:val="single" w:sz="8" w:space="0" w:color="000000"/>
              <w:right w:val="single" w:sz="8" w:space="0" w:color="000000"/>
            </w:tcBorders>
          </w:tcPr>
          <w:p w14:paraId="7817935B" w14:textId="77777777" w:rsidR="00B96E65" w:rsidRDefault="00B96E65" w:rsidP="00B96E65">
            <w:pPr>
              <w:spacing w:after="0" w:line="248" w:lineRule="auto"/>
              <w:ind w:left="5" w:right="165" w:firstLine="0"/>
            </w:pPr>
          </w:p>
        </w:tc>
        <w:tc>
          <w:tcPr>
            <w:tcW w:w="1616" w:type="dxa"/>
            <w:tcBorders>
              <w:top w:val="single" w:sz="8" w:space="0" w:color="000000"/>
              <w:left w:val="single" w:sz="8" w:space="0" w:color="000000"/>
              <w:bottom w:val="single" w:sz="8" w:space="0" w:color="000000"/>
              <w:right w:val="single" w:sz="8" w:space="0" w:color="000000"/>
            </w:tcBorders>
          </w:tcPr>
          <w:p w14:paraId="3B7D0CCF" w14:textId="77777777" w:rsidR="00B96E65" w:rsidRDefault="00B96E65" w:rsidP="00B96E65">
            <w:pPr>
              <w:spacing w:after="21" w:line="246" w:lineRule="auto"/>
              <w:ind w:left="5" w:firstLine="0"/>
            </w:pPr>
          </w:p>
        </w:tc>
      </w:tr>
      <w:tr w:rsidR="00B96E65" w:rsidRPr="00B96E65" w14:paraId="69B4C721"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03FE5DAC" w14:textId="77777777" w:rsidR="00B96E65" w:rsidRDefault="00B96E65" w:rsidP="00B96E65">
            <w:pPr>
              <w:spacing w:after="0" w:line="259" w:lineRule="auto"/>
              <w:ind w:left="0" w:firstLine="0"/>
            </w:pPr>
            <w:r>
              <w:rPr>
                <w:b/>
              </w:rPr>
              <w:lastRenderedPageBreak/>
              <w:t>Cardiac</w:t>
            </w:r>
          </w:p>
          <w:p w14:paraId="24B227CB" w14:textId="505C3DF0" w:rsidR="00B96E65" w:rsidRDefault="00B96E65" w:rsidP="00B96E65">
            <w:pPr>
              <w:spacing w:after="4"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61AD5C5A"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52BCDF15" w14:textId="77777777" w:rsidR="00B96E65" w:rsidRDefault="00B96E65" w:rsidP="00B96E65">
            <w:pPr>
              <w:spacing w:after="0" w:line="259" w:lineRule="auto"/>
              <w:ind w:left="5" w:firstLine="0"/>
            </w:pPr>
          </w:p>
        </w:tc>
        <w:tc>
          <w:tcPr>
            <w:tcW w:w="1930" w:type="dxa"/>
            <w:tcBorders>
              <w:top w:val="single" w:sz="8" w:space="0" w:color="000000"/>
              <w:left w:val="single" w:sz="8" w:space="0" w:color="000000"/>
              <w:bottom w:val="single" w:sz="8" w:space="0" w:color="000000"/>
              <w:right w:val="single" w:sz="8" w:space="0" w:color="000000"/>
            </w:tcBorders>
          </w:tcPr>
          <w:p w14:paraId="32C7022B" w14:textId="7DC111B3" w:rsidR="00B96E65" w:rsidRDefault="00B96E65" w:rsidP="00B96E65">
            <w:pPr>
              <w:spacing w:after="25" w:line="259" w:lineRule="auto"/>
              <w:ind w:left="5" w:firstLine="0"/>
            </w:pPr>
            <w:r>
              <w:t>Tachycardia</w:t>
            </w:r>
          </w:p>
        </w:tc>
        <w:tc>
          <w:tcPr>
            <w:tcW w:w="1686" w:type="dxa"/>
            <w:tcBorders>
              <w:top w:val="single" w:sz="8" w:space="0" w:color="000000"/>
              <w:left w:val="single" w:sz="8" w:space="0" w:color="000000"/>
              <w:bottom w:val="single" w:sz="8" w:space="0" w:color="000000"/>
              <w:right w:val="single" w:sz="8" w:space="0" w:color="000000"/>
            </w:tcBorders>
          </w:tcPr>
          <w:p w14:paraId="17AB07C9" w14:textId="77777777" w:rsidR="00B96E65" w:rsidRDefault="00B96E65" w:rsidP="00B96E65">
            <w:pPr>
              <w:spacing w:after="0" w:line="248" w:lineRule="auto"/>
              <w:ind w:left="5" w:right="165" w:firstLine="0"/>
            </w:pPr>
          </w:p>
        </w:tc>
        <w:tc>
          <w:tcPr>
            <w:tcW w:w="1616" w:type="dxa"/>
            <w:tcBorders>
              <w:top w:val="single" w:sz="8" w:space="0" w:color="000000"/>
              <w:left w:val="single" w:sz="8" w:space="0" w:color="000000"/>
              <w:bottom w:val="single" w:sz="8" w:space="0" w:color="000000"/>
              <w:right w:val="single" w:sz="8" w:space="0" w:color="000000"/>
            </w:tcBorders>
          </w:tcPr>
          <w:p w14:paraId="72D10758" w14:textId="77777777" w:rsidR="00B96E65" w:rsidRDefault="00B96E65" w:rsidP="00B96E65">
            <w:pPr>
              <w:spacing w:after="15" w:line="248" w:lineRule="auto"/>
              <w:ind w:left="5" w:firstLine="0"/>
            </w:pPr>
            <w:r>
              <w:t>Ventricular arrhythmia, torsades de pointes (reported predominantly in patients with risk factors for</w:t>
            </w:r>
          </w:p>
          <w:p w14:paraId="5813BCD1" w14:textId="77777777" w:rsidR="00B96E65" w:rsidRDefault="00B96E65" w:rsidP="00B96E65">
            <w:pPr>
              <w:spacing w:after="0" w:line="259" w:lineRule="auto"/>
              <w:ind w:left="5" w:firstLine="0"/>
            </w:pPr>
            <w:r>
              <w:t>QT</w:t>
            </w:r>
          </w:p>
          <w:p w14:paraId="083F95E4" w14:textId="77777777" w:rsidR="00B96E65" w:rsidRDefault="00B96E65" w:rsidP="00B96E65">
            <w:pPr>
              <w:spacing w:after="25" w:line="259" w:lineRule="auto"/>
              <w:ind w:left="5" w:firstLine="0"/>
            </w:pPr>
            <w:r>
              <w:t>prolongation),</w:t>
            </w:r>
          </w:p>
          <w:p w14:paraId="0A65F7E4" w14:textId="77777777" w:rsidR="00B96E65" w:rsidRDefault="00B96E65" w:rsidP="00B96E65">
            <w:pPr>
              <w:spacing w:after="31" w:line="259" w:lineRule="auto"/>
              <w:ind w:left="5" w:firstLine="0"/>
            </w:pPr>
            <w:r>
              <w:t>ECG QT</w:t>
            </w:r>
          </w:p>
          <w:p w14:paraId="5E49ED56" w14:textId="3716974C" w:rsidR="00B96E65" w:rsidRDefault="00B96E65" w:rsidP="00B96E65">
            <w:pPr>
              <w:spacing w:after="0" w:line="259" w:lineRule="auto"/>
              <w:ind w:left="5" w:firstLine="0"/>
            </w:pPr>
            <w:r>
              <w:t>prolonged (see</w:t>
            </w:r>
            <w:r>
              <w:t xml:space="preserve"> </w:t>
            </w:r>
            <w:r>
              <w:t>sections 4.4 and</w:t>
            </w:r>
          </w:p>
          <w:p w14:paraId="17566D88" w14:textId="5522E777" w:rsidR="00B96E65" w:rsidRDefault="00B96E65" w:rsidP="00B96E65">
            <w:pPr>
              <w:spacing w:after="21" w:line="246" w:lineRule="auto"/>
              <w:ind w:left="5" w:firstLine="0"/>
            </w:pPr>
            <w:r>
              <w:t>4.9).</w:t>
            </w:r>
          </w:p>
        </w:tc>
      </w:tr>
      <w:tr w:rsidR="00B96E65" w:rsidRPr="00B96E65" w14:paraId="4F28F979"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34B1B8EC" w14:textId="77777777" w:rsidR="00B96E65" w:rsidRDefault="00B96E65" w:rsidP="00B96E65">
            <w:pPr>
              <w:spacing w:after="0" w:line="259" w:lineRule="auto"/>
              <w:ind w:left="0" w:firstLine="0"/>
            </w:pPr>
            <w:r>
              <w:rPr>
                <w:b/>
              </w:rPr>
              <w:t>Vascular</w:t>
            </w:r>
          </w:p>
          <w:p w14:paraId="3A0DD208" w14:textId="210FFBDF" w:rsidR="00B96E65" w:rsidRDefault="00B96E65" w:rsidP="00B96E65">
            <w:pPr>
              <w:spacing w:after="4"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3F3F516D"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7B23983D" w14:textId="77777777" w:rsidR="00B96E65" w:rsidRDefault="00B96E65" w:rsidP="00B96E65">
            <w:pPr>
              <w:spacing w:after="0" w:line="259" w:lineRule="auto"/>
              <w:ind w:left="5" w:firstLine="0"/>
            </w:pPr>
          </w:p>
        </w:tc>
        <w:tc>
          <w:tcPr>
            <w:tcW w:w="1930" w:type="dxa"/>
            <w:tcBorders>
              <w:top w:val="single" w:sz="8" w:space="0" w:color="000000"/>
              <w:left w:val="single" w:sz="8" w:space="0" w:color="000000"/>
              <w:bottom w:val="single" w:sz="8" w:space="0" w:color="000000"/>
              <w:right w:val="single" w:sz="8" w:space="0" w:color="000000"/>
            </w:tcBorders>
          </w:tcPr>
          <w:p w14:paraId="7D3E4E15" w14:textId="77777777" w:rsidR="00B96E65" w:rsidRDefault="00B96E65" w:rsidP="00B96E65">
            <w:pPr>
              <w:spacing w:after="0" w:line="259" w:lineRule="auto"/>
              <w:ind w:left="5" w:firstLine="0"/>
            </w:pPr>
            <w:r>
              <w:t>Vasodilatation</w:t>
            </w:r>
          </w:p>
          <w:p w14:paraId="5A46850C" w14:textId="77777777" w:rsidR="00B96E65" w:rsidRDefault="00B96E65" w:rsidP="00B96E65">
            <w:pPr>
              <w:spacing w:after="0" w:line="259" w:lineRule="auto"/>
              <w:ind w:left="5" w:firstLine="0"/>
            </w:pPr>
            <w:r>
              <w:t>Hypotension</w:t>
            </w:r>
          </w:p>
          <w:p w14:paraId="1F944D9B" w14:textId="5E6AFC24" w:rsidR="00B96E65" w:rsidRDefault="00B96E65" w:rsidP="00B96E65">
            <w:pPr>
              <w:spacing w:after="25" w:line="259" w:lineRule="auto"/>
              <w:ind w:left="5" w:firstLine="0"/>
            </w:pPr>
            <w:r>
              <w:t>Syncope</w:t>
            </w:r>
          </w:p>
        </w:tc>
        <w:tc>
          <w:tcPr>
            <w:tcW w:w="1686" w:type="dxa"/>
            <w:tcBorders>
              <w:top w:val="single" w:sz="8" w:space="0" w:color="000000"/>
              <w:left w:val="single" w:sz="8" w:space="0" w:color="000000"/>
              <w:bottom w:val="single" w:sz="8" w:space="0" w:color="000000"/>
              <w:right w:val="single" w:sz="8" w:space="0" w:color="000000"/>
            </w:tcBorders>
          </w:tcPr>
          <w:p w14:paraId="1771E6F0" w14:textId="4957E8AA" w:rsidR="00B96E65" w:rsidRDefault="00B96E65" w:rsidP="00B96E65">
            <w:pPr>
              <w:spacing w:after="0" w:line="248" w:lineRule="auto"/>
              <w:ind w:left="5" w:right="165" w:firstLine="0"/>
            </w:pPr>
            <w:r>
              <w:t>Vasculitis</w:t>
            </w:r>
          </w:p>
        </w:tc>
        <w:tc>
          <w:tcPr>
            <w:tcW w:w="1616" w:type="dxa"/>
            <w:tcBorders>
              <w:top w:val="single" w:sz="8" w:space="0" w:color="000000"/>
              <w:left w:val="single" w:sz="8" w:space="0" w:color="000000"/>
              <w:bottom w:val="single" w:sz="8" w:space="0" w:color="000000"/>
              <w:right w:val="single" w:sz="8" w:space="0" w:color="000000"/>
            </w:tcBorders>
          </w:tcPr>
          <w:p w14:paraId="07B53E70" w14:textId="77777777" w:rsidR="00B96E65" w:rsidRDefault="00B96E65" w:rsidP="00B96E65">
            <w:pPr>
              <w:spacing w:after="21" w:line="246" w:lineRule="auto"/>
              <w:ind w:left="5" w:firstLine="0"/>
            </w:pPr>
          </w:p>
        </w:tc>
      </w:tr>
      <w:tr w:rsidR="00B96E65" w:rsidRPr="00B96E65" w14:paraId="06F65676"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08126B46" w14:textId="77777777" w:rsidR="00B96E65" w:rsidRDefault="00B96E65" w:rsidP="00B96E65">
            <w:pPr>
              <w:spacing w:after="28" w:line="259" w:lineRule="auto"/>
              <w:ind w:left="0" w:firstLine="0"/>
            </w:pPr>
            <w:r>
              <w:rPr>
                <w:b/>
              </w:rPr>
              <w:t>Respiratory,</w:t>
            </w:r>
          </w:p>
          <w:p w14:paraId="45AA0916" w14:textId="77777777" w:rsidR="00B96E65" w:rsidRDefault="00B96E65" w:rsidP="00B96E65">
            <w:pPr>
              <w:spacing w:after="4" w:line="259" w:lineRule="auto"/>
              <w:ind w:left="0" w:firstLine="0"/>
            </w:pPr>
            <w:r>
              <w:rPr>
                <w:b/>
              </w:rPr>
              <w:t>Thoracic and</w:t>
            </w:r>
          </w:p>
          <w:p w14:paraId="272B74B9" w14:textId="77777777" w:rsidR="00B96E65" w:rsidRDefault="00B96E65" w:rsidP="00B96E65">
            <w:pPr>
              <w:spacing w:after="0" w:line="259" w:lineRule="auto"/>
              <w:ind w:left="0" w:firstLine="0"/>
            </w:pPr>
            <w:r>
              <w:rPr>
                <w:b/>
              </w:rPr>
              <w:t>Mediastinal</w:t>
            </w:r>
          </w:p>
          <w:p w14:paraId="527ECD24" w14:textId="4929ADFB" w:rsidR="00B96E65" w:rsidRDefault="00B96E65" w:rsidP="00B96E65">
            <w:pPr>
              <w:spacing w:after="4"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6590B332" w14:textId="77777777" w:rsidR="00B96E65" w:rsidRPr="00B96E65" w:rsidRDefault="00B96E65" w:rsidP="00B96E65">
            <w:pPr>
              <w:spacing w:after="160" w:line="259" w:lineRule="auto"/>
              <w:ind w:left="0" w:firstLine="0"/>
              <w:rPr>
                <w:sz w:val="21"/>
                <w:szCs w:val="21"/>
              </w:rPr>
            </w:pPr>
          </w:p>
        </w:tc>
        <w:tc>
          <w:tcPr>
            <w:tcW w:w="1437" w:type="dxa"/>
            <w:tcBorders>
              <w:top w:val="single" w:sz="8" w:space="0" w:color="000000"/>
              <w:left w:val="single" w:sz="8" w:space="0" w:color="000000"/>
              <w:bottom w:val="single" w:sz="8" w:space="0" w:color="000000"/>
              <w:right w:val="single" w:sz="8" w:space="0" w:color="000000"/>
            </w:tcBorders>
          </w:tcPr>
          <w:p w14:paraId="7B376C30" w14:textId="77777777" w:rsidR="00B96E65" w:rsidRDefault="00B96E65" w:rsidP="00B96E65">
            <w:pPr>
              <w:spacing w:after="0" w:line="259" w:lineRule="auto"/>
              <w:ind w:left="5" w:firstLine="0"/>
            </w:pPr>
          </w:p>
        </w:tc>
        <w:tc>
          <w:tcPr>
            <w:tcW w:w="1930" w:type="dxa"/>
            <w:tcBorders>
              <w:top w:val="single" w:sz="8" w:space="0" w:color="000000"/>
              <w:left w:val="single" w:sz="8" w:space="0" w:color="000000"/>
              <w:bottom w:val="single" w:sz="8" w:space="0" w:color="000000"/>
              <w:right w:val="single" w:sz="8" w:space="0" w:color="000000"/>
            </w:tcBorders>
          </w:tcPr>
          <w:p w14:paraId="183E6447" w14:textId="5F0448AE" w:rsidR="00B96E65" w:rsidRDefault="00B96E65" w:rsidP="00B96E65">
            <w:pPr>
              <w:spacing w:after="25" w:line="259" w:lineRule="auto"/>
              <w:ind w:left="5" w:firstLine="0"/>
            </w:pPr>
            <w:r>
              <w:t>Dyspnoea (including asthmatic condition)</w:t>
            </w:r>
          </w:p>
        </w:tc>
        <w:tc>
          <w:tcPr>
            <w:tcW w:w="1686" w:type="dxa"/>
            <w:tcBorders>
              <w:top w:val="single" w:sz="8" w:space="0" w:color="000000"/>
              <w:left w:val="single" w:sz="8" w:space="0" w:color="000000"/>
              <w:bottom w:val="single" w:sz="8" w:space="0" w:color="000000"/>
              <w:right w:val="single" w:sz="8" w:space="0" w:color="000000"/>
            </w:tcBorders>
          </w:tcPr>
          <w:p w14:paraId="2C99AE6B" w14:textId="77777777" w:rsidR="00B96E65" w:rsidRDefault="00B96E65" w:rsidP="00B96E65">
            <w:pPr>
              <w:spacing w:after="0" w:line="248" w:lineRule="auto"/>
              <w:ind w:left="5" w:right="165" w:firstLine="0"/>
            </w:pPr>
          </w:p>
        </w:tc>
        <w:tc>
          <w:tcPr>
            <w:tcW w:w="1616" w:type="dxa"/>
            <w:tcBorders>
              <w:top w:val="single" w:sz="8" w:space="0" w:color="000000"/>
              <w:left w:val="single" w:sz="8" w:space="0" w:color="000000"/>
              <w:bottom w:val="single" w:sz="8" w:space="0" w:color="000000"/>
              <w:right w:val="single" w:sz="8" w:space="0" w:color="000000"/>
            </w:tcBorders>
          </w:tcPr>
          <w:p w14:paraId="1EC5024F" w14:textId="77777777" w:rsidR="00B96E65" w:rsidRDefault="00B96E65" w:rsidP="00B96E65">
            <w:pPr>
              <w:spacing w:after="21" w:line="246" w:lineRule="auto"/>
              <w:ind w:left="5" w:firstLine="0"/>
            </w:pPr>
          </w:p>
        </w:tc>
      </w:tr>
      <w:tr w:rsidR="00B96E65" w:rsidRPr="00B96E65" w14:paraId="56468B55"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36FC656F" w14:textId="362895B3" w:rsidR="00B96E65" w:rsidRDefault="00B96E65" w:rsidP="00B96E65">
            <w:pPr>
              <w:spacing w:after="28" w:line="259" w:lineRule="auto"/>
              <w:ind w:left="0" w:firstLine="0"/>
              <w:rPr>
                <w:b/>
              </w:rPr>
            </w:pPr>
            <w:r>
              <w:rPr>
                <w:b/>
              </w:rPr>
              <w:t>Gastrointesti nal Disorders</w:t>
            </w:r>
          </w:p>
        </w:tc>
        <w:tc>
          <w:tcPr>
            <w:tcW w:w="1253" w:type="dxa"/>
            <w:tcBorders>
              <w:top w:val="single" w:sz="8" w:space="0" w:color="000000"/>
              <w:left w:val="single" w:sz="8" w:space="0" w:color="000000"/>
              <w:bottom w:val="single" w:sz="8" w:space="0" w:color="000000"/>
              <w:right w:val="single" w:sz="8" w:space="0" w:color="000000"/>
            </w:tcBorders>
          </w:tcPr>
          <w:p w14:paraId="4E03D150" w14:textId="77777777" w:rsidR="00B96E65" w:rsidRDefault="00B96E65" w:rsidP="00B96E65">
            <w:pPr>
              <w:spacing w:after="0" w:line="259" w:lineRule="auto"/>
              <w:ind w:left="5" w:firstLine="0"/>
            </w:pPr>
            <w:r>
              <w:t>Nausea</w:t>
            </w:r>
          </w:p>
          <w:p w14:paraId="0BCC3004" w14:textId="0381C960" w:rsidR="00B96E65" w:rsidRPr="00B96E65" w:rsidRDefault="00B96E65" w:rsidP="00B96E65">
            <w:pPr>
              <w:spacing w:after="160" w:line="259" w:lineRule="auto"/>
              <w:ind w:left="0" w:firstLine="0"/>
              <w:rPr>
                <w:sz w:val="21"/>
                <w:szCs w:val="21"/>
              </w:rPr>
            </w:pPr>
            <w:r>
              <w:t>Diarrhoea</w:t>
            </w:r>
          </w:p>
        </w:tc>
        <w:tc>
          <w:tcPr>
            <w:tcW w:w="1437" w:type="dxa"/>
            <w:tcBorders>
              <w:top w:val="single" w:sz="8" w:space="0" w:color="000000"/>
              <w:left w:val="single" w:sz="8" w:space="0" w:color="000000"/>
              <w:bottom w:val="single" w:sz="8" w:space="0" w:color="000000"/>
              <w:right w:val="single" w:sz="8" w:space="0" w:color="000000"/>
            </w:tcBorders>
          </w:tcPr>
          <w:p w14:paraId="25171D27" w14:textId="77777777" w:rsidR="00B96E65" w:rsidRDefault="00B96E65" w:rsidP="00B96E65">
            <w:pPr>
              <w:spacing w:after="0" w:line="259" w:lineRule="auto"/>
              <w:ind w:left="5" w:firstLine="0"/>
            </w:pPr>
            <w:r>
              <w:t>Vomiting</w:t>
            </w:r>
          </w:p>
          <w:p w14:paraId="335AB104" w14:textId="02C61A44" w:rsidR="00B96E65" w:rsidRDefault="00B96E65" w:rsidP="00B96E65">
            <w:pPr>
              <w:spacing w:after="0" w:line="259" w:lineRule="auto"/>
              <w:ind w:left="5" w:firstLine="0"/>
            </w:pPr>
            <w:r>
              <w:t>Gastrointesti nal and abdominal pains Dyspepsia Flatulence</w:t>
            </w:r>
          </w:p>
        </w:tc>
        <w:tc>
          <w:tcPr>
            <w:tcW w:w="1930" w:type="dxa"/>
            <w:tcBorders>
              <w:top w:val="single" w:sz="8" w:space="0" w:color="000000"/>
              <w:left w:val="single" w:sz="8" w:space="0" w:color="000000"/>
              <w:bottom w:val="single" w:sz="8" w:space="0" w:color="000000"/>
              <w:right w:val="single" w:sz="8" w:space="0" w:color="000000"/>
            </w:tcBorders>
          </w:tcPr>
          <w:p w14:paraId="3945BCB2" w14:textId="77777777" w:rsidR="00B96E65" w:rsidRDefault="00B96E65" w:rsidP="00B96E65">
            <w:pPr>
              <w:spacing w:after="25" w:line="259" w:lineRule="auto"/>
              <w:ind w:left="5" w:firstLine="0"/>
            </w:pPr>
          </w:p>
        </w:tc>
        <w:tc>
          <w:tcPr>
            <w:tcW w:w="1686" w:type="dxa"/>
            <w:tcBorders>
              <w:top w:val="single" w:sz="8" w:space="0" w:color="000000"/>
              <w:left w:val="single" w:sz="8" w:space="0" w:color="000000"/>
              <w:bottom w:val="single" w:sz="8" w:space="0" w:color="000000"/>
              <w:right w:val="single" w:sz="8" w:space="0" w:color="000000"/>
            </w:tcBorders>
          </w:tcPr>
          <w:p w14:paraId="4364D520" w14:textId="04EA65EB" w:rsidR="00B96E65" w:rsidRDefault="00B96E65" w:rsidP="00B96E65">
            <w:pPr>
              <w:spacing w:after="0" w:line="248" w:lineRule="auto"/>
              <w:ind w:left="5" w:right="165" w:firstLine="0"/>
            </w:pPr>
            <w:r>
              <w:t>Pancreatitis</w:t>
            </w:r>
          </w:p>
        </w:tc>
        <w:tc>
          <w:tcPr>
            <w:tcW w:w="1616" w:type="dxa"/>
            <w:tcBorders>
              <w:top w:val="single" w:sz="8" w:space="0" w:color="000000"/>
              <w:left w:val="single" w:sz="8" w:space="0" w:color="000000"/>
              <w:bottom w:val="single" w:sz="8" w:space="0" w:color="000000"/>
              <w:right w:val="single" w:sz="8" w:space="0" w:color="000000"/>
            </w:tcBorders>
          </w:tcPr>
          <w:p w14:paraId="0E510C03" w14:textId="77777777" w:rsidR="00B96E65" w:rsidRDefault="00B96E65" w:rsidP="00B96E65">
            <w:pPr>
              <w:spacing w:after="21" w:line="246" w:lineRule="auto"/>
              <w:ind w:left="5" w:firstLine="0"/>
            </w:pPr>
          </w:p>
        </w:tc>
      </w:tr>
      <w:tr w:rsidR="00B96E65" w:rsidRPr="00B96E65" w14:paraId="5AE83A3C"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31BEA29C" w14:textId="77777777" w:rsidR="00B96E65" w:rsidRDefault="00B96E65" w:rsidP="00B96E65">
            <w:pPr>
              <w:spacing w:after="0" w:line="259" w:lineRule="auto"/>
              <w:ind w:left="0" w:firstLine="0"/>
            </w:pPr>
            <w:r>
              <w:rPr>
                <w:b/>
              </w:rPr>
              <w:t>Hepatobiliary</w:t>
            </w:r>
          </w:p>
          <w:p w14:paraId="091D3D70" w14:textId="797112B6" w:rsidR="00B96E65" w:rsidRDefault="00B96E65" w:rsidP="00B96E65">
            <w:pPr>
              <w:spacing w:after="28"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41CAB280" w14:textId="77777777" w:rsidR="00B96E65" w:rsidRDefault="00B96E65" w:rsidP="00B96E65">
            <w:pPr>
              <w:spacing w:after="0" w:line="259" w:lineRule="auto"/>
              <w:ind w:left="5" w:firstLine="0"/>
            </w:pPr>
          </w:p>
        </w:tc>
        <w:tc>
          <w:tcPr>
            <w:tcW w:w="1437" w:type="dxa"/>
            <w:tcBorders>
              <w:top w:val="single" w:sz="8" w:space="0" w:color="000000"/>
              <w:left w:val="single" w:sz="8" w:space="0" w:color="000000"/>
              <w:bottom w:val="single" w:sz="8" w:space="0" w:color="000000"/>
              <w:right w:val="single" w:sz="8" w:space="0" w:color="000000"/>
            </w:tcBorders>
          </w:tcPr>
          <w:p w14:paraId="01E7BA5F" w14:textId="77777777" w:rsidR="00B96E65" w:rsidRDefault="00B96E65" w:rsidP="00B96E65">
            <w:pPr>
              <w:spacing w:after="0" w:line="260" w:lineRule="auto"/>
              <w:ind w:left="5" w:right="34" w:firstLine="0"/>
            </w:pPr>
            <w:r>
              <w:t>Increase in transaminase s</w:t>
            </w:r>
          </w:p>
          <w:p w14:paraId="182EB6EA" w14:textId="31E5715B" w:rsidR="00B96E65" w:rsidRDefault="00B96E65" w:rsidP="00B96E65">
            <w:pPr>
              <w:spacing w:after="0" w:line="259" w:lineRule="auto"/>
              <w:ind w:left="5" w:firstLine="0"/>
            </w:pPr>
            <w:r>
              <w:t>Increased bilirubin</w:t>
            </w:r>
          </w:p>
        </w:tc>
        <w:tc>
          <w:tcPr>
            <w:tcW w:w="1930" w:type="dxa"/>
            <w:tcBorders>
              <w:top w:val="single" w:sz="8" w:space="0" w:color="000000"/>
              <w:left w:val="single" w:sz="8" w:space="0" w:color="000000"/>
              <w:bottom w:val="single" w:sz="8" w:space="0" w:color="000000"/>
              <w:right w:val="single" w:sz="8" w:space="0" w:color="000000"/>
            </w:tcBorders>
          </w:tcPr>
          <w:p w14:paraId="532BDD63" w14:textId="4A3A754B" w:rsidR="00B96E65" w:rsidRDefault="00B96E65" w:rsidP="00B96E65">
            <w:pPr>
              <w:spacing w:after="25" w:line="259" w:lineRule="auto"/>
              <w:ind w:left="5" w:firstLine="0"/>
            </w:pPr>
            <w:r>
              <w:t>Hepatic impairment Cholestatic icterus Hepatitis</w:t>
            </w:r>
          </w:p>
        </w:tc>
        <w:tc>
          <w:tcPr>
            <w:tcW w:w="1686" w:type="dxa"/>
            <w:tcBorders>
              <w:top w:val="single" w:sz="8" w:space="0" w:color="000000"/>
              <w:left w:val="single" w:sz="8" w:space="0" w:color="000000"/>
              <w:bottom w:val="single" w:sz="8" w:space="0" w:color="000000"/>
              <w:right w:val="single" w:sz="8" w:space="0" w:color="000000"/>
            </w:tcBorders>
          </w:tcPr>
          <w:p w14:paraId="54D90983" w14:textId="3FB2A8CB" w:rsidR="00B96E65" w:rsidRDefault="00B96E65" w:rsidP="00B96E65">
            <w:pPr>
              <w:spacing w:after="0" w:line="248" w:lineRule="auto"/>
              <w:ind w:left="5" w:right="165" w:firstLine="0"/>
            </w:pPr>
            <w:r>
              <w:t>Liver necrosis (very rarely progressing to life-threatening hepatic failure) (see section 4.4)</w:t>
            </w:r>
          </w:p>
        </w:tc>
        <w:tc>
          <w:tcPr>
            <w:tcW w:w="1616" w:type="dxa"/>
            <w:tcBorders>
              <w:top w:val="single" w:sz="8" w:space="0" w:color="000000"/>
              <w:left w:val="single" w:sz="8" w:space="0" w:color="000000"/>
              <w:bottom w:val="single" w:sz="8" w:space="0" w:color="000000"/>
              <w:right w:val="single" w:sz="8" w:space="0" w:color="000000"/>
            </w:tcBorders>
          </w:tcPr>
          <w:p w14:paraId="254ECBAC" w14:textId="77777777" w:rsidR="00B96E65" w:rsidRDefault="00B96E65" w:rsidP="00B96E65">
            <w:pPr>
              <w:spacing w:after="21" w:line="246" w:lineRule="auto"/>
              <w:ind w:left="5" w:firstLine="0"/>
            </w:pPr>
          </w:p>
        </w:tc>
      </w:tr>
      <w:tr w:rsidR="00B96E65" w:rsidRPr="00B96E65" w14:paraId="4CA98628"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6ABFF5BE" w14:textId="77777777" w:rsidR="00B96E65" w:rsidRDefault="00B96E65" w:rsidP="00B96E65">
            <w:pPr>
              <w:spacing w:after="4" w:line="259" w:lineRule="auto"/>
              <w:ind w:left="0" w:firstLine="0"/>
            </w:pPr>
            <w:r>
              <w:rPr>
                <w:b/>
              </w:rPr>
              <w:lastRenderedPageBreak/>
              <w:t>Skin and</w:t>
            </w:r>
          </w:p>
          <w:p w14:paraId="6143579B" w14:textId="77777777" w:rsidR="00B96E65" w:rsidRDefault="00B96E65" w:rsidP="00B96E65">
            <w:pPr>
              <w:spacing w:after="0" w:line="259" w:lineRule="auto"/>
              <w:ind w:left="0" w:firstLine="0"/>
            </w:pPr>
            <w:r>
              <w:rPr>
                <w:b/>
              </w:rPr>
              <w:t>Subcutaneous</w:t>
            </w:r>
          </w:p>
          <w:p w14:paraId="6F84D07D" w14:textId="77777777" w:rsidR="00B96E65" w:rsidRDefault="00B96E65" w:rsidP="00B96E65">
            <w:pPr>
              <w:spacing w:after="0" w:line="259" w:lineRule="auto"/>
              <w:ind w:left="0" w:firstLine="0"/>
            </w:pPr>
            <w:r>
              <w:rPr>
                <w:b/>
              </w:rPr>
              <w:t>Tissue</w:t>
            </w:r>
          </w:p>
          <w:p w14:paraId="242D1311" w14:textId="553F3CED" w:rsidR="00B96E65" w:rsidRDefault="00B96E65" w:rsidP="00B96E65">
            <w:pPr>
              <w:spacing w:after="0"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7041272C" w14:textId="77777777" w:rsidR="00B96E65" w:rsidRDefault="00B96E65" w:rsidP="00B96E65">
            <w:pPr>
              <w:spacing w:after="0" w:line="259" w:lineRule="auto"/>
              <w:ind w:left="5" w:firstLine="0"/>
            </w:pPr>
          </w:p>
        </w:tc>
        <w:tc>
          <w:tcPr>
            <w:tcW w:w="1437" w:type="dxa"/>
            <w:tcBorders>
              <w:top w:val="single" w:sz="8" w:space="0" w:color="000000"/>
              <w:left w:val="single" w:sz="8" w:space="0" w:color="000000"/>
              <w:bottom w:val="single" w:sz="8" w:space="0" w:color="000000"/>
              <w:right w:val="single" w:sz="8" w:space="0" w:color="000000"/>
            </w:tcBorders>
          </w:tcPr>
          <w:p w14:paraId="76113120" w14:textId="77777777" w:rsidR="00B96E65" w:rsidRDefault="00B96E65" w:rsidP="00B96E65">
            <w:pPr>
              <w:spacing w:after="0" w:line="259" w:lineRule="auto"/>
              <w:ind w:left="5" w:firstLine="0"/>
            </w:pPr>
            <w:r>
              <w:t>Rash</w:t>
            </w:r>
          </w:p>
          <w:p w14:paraId="0C96A173" w14:textId="77777777" w:rsidR="00B96E65" w:rsidRDefault="00B96E65" w:rsidP="00B96E65">
            <w:pPr>
              <w:spacing w:after="0" w:line="259" w:lineRule="auto"/>
              <w:ind w:left="5" w:firstLine="0"/>
            </w:pPr>
            <w:r>
              <w:t>Pruritus</w:t>
            </w:r>
          </w:p>
          <w:p w14:paraId="0E88C570" w14:textId="09BC5FD2" w:rsidR="00B96E65" w:rsidRDefault="00B96E65" w:rsidP="00B96E65">
            <w:pPr>
              <w:spacing w:after="0" w:line="260" w:lineRule="auto"/>
              <w:ind w:left="5" w:right="34" w:firstLine="0"/>
            </w:pPr>
            <w:r>
              <w:t>Urticaria</w:t>
            </w:r>
          </w:p>
        </w:tc>
        <w:tc>
          <w:tcPr>
            <w:tcW w:w="1930" w:type="dxa"/>
            <w:tcBorders>
              <w:top w:val="single" w:sz="8" w:space="0" w:color="000000"/>
              <w:left w:val="single" w:sz="8" w:space="0" w:color="000000"/>
              <w:bottom w:val="single" w:sz="8" w:space="0" w:color="000000"/>
              <w:right w:val="single" w:sz="8" w:space="0" w:color="000000"/>
            </w:tcBorders>
          </w:tcPr>
          <w:p w14:paraId="300B164E" w14:textId="1AB4A0C1" w:rsidR="00B96E65" w:rsidRDefault="00B96E65" w:rsidP="00B96E65">
            <w:pPr>
              <w:spacing w:after="25" w:line="259" w:lineRule="auto"/>
              <w:ind w:left="5" w:firstLine="0"/>
            </w:pPr>
            <w:r>
              <w:t>Photosensitivity reactions (see section 4.4)</w:t>
            </w:r>
          </w:p>
        </w:tc>
        <w:tc>
          <w:tcPr>
            <w:tcW w:w="1686" w:type="dxa"/>
            <w:tcBorders>
              <w:top w:val="single" w:sz="8" w:space="0" w:color="000000"/>
              <w:left w:val="single" w:sz="8" w:space="0" w:color="000000"/>
              <w:bottom w:val="single" w:sz="8" w:space="0" w:color="000000"/>
              <w:right w:val="single" w:sz="8" w:space="0" w:color="000000"/>
            </w:tcBorders>
          </w:tcPr>
          <w:p w14:paraId="1E87DF10" w14:textId="77777777" w:rsidR="00B96E65" w:rsidRDefault="00B96E65" w:rsidP="00B96E65">
            <w:pPr>
              <w:spacing w:after="28" w:line="235" w:lineRule="auto"/>
              <w:ind w:left="5" w:firstLine="0"/>
            </w:pPr>
            <w:r>
              <w:t>Petechiae Erythema multiforme Erythema nodosum</w:t>
            </w:r>
          </w:p>
          <w:p w14:paraId="5D851F35" w14:textId="77777777" w:rsidR="00B96E65" w:rsidRDefault="00B96E65" w:rsidP="00B96E65">
            <w:pPr>
              <w:spacing w:after="15" w:line="243" w:lineRule="auto"/>
              <w:ind w:left="5" w:firstLine="0"/>
            </w:pPr>
            <w:r>
              <w:t>Stevens- Johnson syndrome</w:t>
            </w:r>
          </w:p>
          <w:p w14:paraId="34638627" w14:textId="570B2F83" w:rsidR="00B96E65" w:rsidRDefault="00B96E65" w:rsidP="00B96E65">
            <w:pPr>
              <w:spacing w:after="0" w:line="248" w:lineRule="auto"/>
              <w:ind w:left="5" w:right="165" w:firstLine="0"/>
            </w:pPr>
            <w:r>
              <w:t>(potentially lifethreatening) Toxic epidermal necrolysis (potentially lifethreatening)</w:t>
            </w:r>
          </w:p>
        </w:tc>
        <w:tc>
          <w:tcPr>
            <w:tcW w:w="1616" w:type="dxa"/>
            <w:tcBorders>
              <w:top w:val="single" w:sz="8" w:space="0" w:color="000000"/>
              <w:left w:val="single" w:sz="8" w:space="0" w:color="000000"/>
              <w:bottom w:val="single" w:sz="8" w:space="0" w:color="000000"/>
              <w:right w:val="single" w:sz="8" w:space="0" w:color="000000"/>
            </w:tcBorders>
          </w:tcPr>
          <w:p w14:paraId="632A86B6" w14:textId="77777777" w:rsidR="00B96E65" w:rsidRDefault="00B96E65" w:rsidP="00B96E65">
            <w:pPr>
              <w:spacing w:after="49" w:line="236" w:lineRule="auto"/>
              <w:ind w:left="5" w:firstLine="0"/>
            </w:pPr>
            <w:r>
              <w:t>Acute generalised exanthematous pustulosis</w:t>
            </w:r>
          </w:p>
          <w:p w14:paraId="691E5B82" w14:textId="717ED0F3" w:rsidR="00B96E65" w:rsidRDefault="00B96E65" w:rsidP="00B96E65">
            <w:pPr>
              <w:spacing w:after="21" w:line="246" w:lineRule="auto"/>
              <w:ind w:left="5" w:firstLine="0"/>
            </w:pPr>
            <w:r>
              <w:t>(AGEP), Drug reaction with eosinophilia and systemic symptoms (DRESS)</w:t>
            </w:r>
          </w:p>
        </w:tc>
      </w:tr>
      <w:tr w:rsidR="00B96E65" w:rsidRPr="00B96E65" w14:paraId="6FFF3B3C" w14:textId="77777777" w:rsidTr="00B96E65">
        <w:trPr>
          <w:trHeight w:val="1139"/>
        </w:trPr>
        <w:tc>
          <w:tcPr>
            <w:tcW w:w="1538" w:type="dxa"/>
            <w:tcBorders>
              <w:top w:val="single" w:sz="8" w:space="0" w:color="000000"/>
              <w:left w:val="single" w:sz="8" w:space="0" w:color="000000"/>
              <w:bottom w:val="single" w:sz="8" w:space="0" w:color="000000"/>
              <w:right w:val="single" w:sz="8" w:space="0" w:color="000000"/>
            </w:tcBorders>
          </w:tcPr>
          <w:p w14:paraId="66E27E97" w14:textId="77777777" w:rsidR="00B96E65" w:rsidRDefault="00B96E65" w:rsidP="00B96E65">
            <w:pPr>
              <w:spacing w:after="0" w:line="265" w:lineRule="auto"/>
              <w:ind w:left="0" w:firstLine="0"/>
            </w:pPr>
            <w:r>
              <w:rPr>
                <w:b/>
              </w:rPr>
              <w:t>Musculoskele tal and</w:t>
            </w:r>
          </w:p>
          <w:p w14:paraId="1A1F6171" w14:textId="77777777" w:rsidR="00B96E65" w:rsidRDefault="00B96E65" w:rsidP="00B96E65">
            <w:pPr>
              <w:spacing w:after="0" w:line="259" w:lineRule="auto"/>
              <w:ind w:left="0" w:firstLine="0"/>
            </w:pPr>
            <w:r>
              <w:rPr>
                <w:b/>
              </w:rPr>
              <w:t>Connective</w:t>
            </w:r>
          </w:p>
          <w:p w14:paraId="40E9E5D2" w14:textId="77777777" w:rsidR="00B96E65" w:rsidRDefault="00B96E65" w:rsidP="00B96E65">
            <w:pPr>
              <w:spacing w:after="0" w:line="259" w:lineRule="auto"/>
              <w:ind w:left="0" w:firstLine="0"/>
            </w:pPr>
            <w:r>
              <w:rPr>
                <w:b/>
              </w:rPr>
              <w:t>Tissue</w:t>
            </w:r>
          </w:p>
          <w:p w14:paraId="3CD8B26E" w14:textId="682284D9" w:rsidR="00B96E65" w:rsidRDefault="00B96E65" w:rsidP="00B96E65">
            <w:pPr>
              <w:spacing w:after="4" w:line="259" w:lineRule="auto"/>
              <w:ind w:left="0" w:firstLine="0"/>
              <w:rPr>
                <w:b/>
              </w:rPr>
            </w:pP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6041EB6B" w14:textId="77777777" w:rsidR="00B96E65" w:rsidRDefault="00B96E65" w:rsidP="00B96E65">
            <w:pPr>
              <w:spacing w:after="0" w:line="259" w:lineRule="auto"/>
              <w:ind w:left="5" w:firstLine="0"/>
            </w:pPr>
          </w:p>
        </w:tc>
        <w:tc>
          <w:tcPr>
            <w:tcW w:w="1437" w:type="dxa"/>
            <w:tcBorders>
              <w:top w:val="single" w:sz="8" w:space="0" w:color="000000"/>
              <w:left w:val="single" w:sz="8" w:space="0" w:color="000000"/>
              <w:bottom w:val="single" w:sz="8" w:space="0" w:color="000000"/>
              <w:right w:val="single" w:sz="8" w:space="0" w:color="000000"/>
            </w:tcBorders>
          </w:tcPr>
          <w:p w14:paraId="5BF15052" w14:textId="0F4F77B0" w:rsidR="00B96E65" w:rsidRDefault="00B96E65" w:rsidP="00B96E65">
            <w:pPr>
              <w:spacing w:after="0" w:line="259" w:lineRule="auto"/>
              <w:ind w:left="5" w:firstLine="0"/>
            </w:pPr>
            <w:r>
              <w:t>Musculoskele tal pain (e.g. extremity pain, back pain, chest pain) Arthralgia</w:t>
            </w:r>
          </w:p>
        </w:tc>
        <w:tc>
          <w:tcPr>
            <w:tcW w:w="1930" w:type="dxa"/>
            <w:tcBorders>
              <w:top w:val="single" w:sz="8" w:space="0" w:color="000000"/>
              <w:left w:val="single" w:sz="8" w:space="0" w:color="000000"/>
              <w:bottom w:val="single" w:sz="8" w:space="0" w:color="000000"/>
              <w:right w:val="single" w:sz="8" w:space="0" w:color="000000"/>
            </w:tcBorders>
          </w:tcPr>
          <w:p w14:paraId="76AF6244" w14:textId="77777777" w:rsidR="00B96E65" w:rsidRDefault="00B96E65" w:rsidP="00B96E65">
            <w:pPr>
              <w:spacing w:after="0" w:line="259" w:lineRule="auto"/>
              <w:ind w:left="5" w:firstLine="0"/>
            </w:pPr>
            <w:r>
              <w:t>Myalgia</w:t>
            </w:r>
          </w:p>
          <w:p w14:paraId="4159C7E9" w14:textId="77777777" w:rsidR="00B96E65" w:rsidRDefault="00B96E65" w:rsidP="00B96E65">
            <w:pPr>
              <w:spacing w:after="21" w:line="259" w:lineRule="auto"/>
              <w:ind w:left="5" w:firstLine="0"/>
            </w:pPr>
            <w:r>
              <w:t>Arthritis</w:t>
            </w:r>
          </w:p>
          <w:p w14:paraId="53A33B92" w14:textId="2C56FD34" w:rsidR="00B96E65" w:rsidRDefault="00B96E65" w:rsidP="00B96E65">
            <w:pPr>
              <w:spacing w:after="25" w:line="259" w:lineRule="auto"/>
              <w:ind w:left="5" w:firstLine="0"/>
            </w:pPr>
            <w:r>
              <w:t>Increased muscle tone and cramping</w:t>
            </w:r>
          </w:p>
        </w:tc>
        <w:tc>
          <w:tcPr>
            <w:tcW w:w="1686" w:type="dxa"/>
            <w:tcBorders>
              <w:top w:val="single" w:sz="8" w:space="0" w:color="000000"/>
              <w:left w:val="single" w:sz="8" w:space="0" w:color="000000"/>
              <w:bottom w:val="single" w:sz="8" w:space="0" w:color="000000"/>
              <w:right w:val="single" w:sz="8" w:space="0" w:color="000000"/>
            </w:tcBorders>
          </w:tcPr>
          <w:p w14:paraId="203C7947" w14:textId="77777777" w:rsidR="00B96E65" w:rsidRDefault="00B96E65" w:rsidP="00B96E65">
            <w:pPr>
              <w:spacing w:after="5" w:line="234" w:lineRule="auto"/>
              <w:ind w:left="5" w:firstLine="0"/>
            </w:pPr>
            <w:r>
              <w:t>Muscular weakness</w:t>
            </w:r>
          </w:p>
          <w:p w14:paraId="4B0553E9" w14:textId="77777777" w:rsidR="00B96E65" w:rsidRDefault="00B96E65" w:rsidP="00B96E65">
            <w:pPr>
              <w:spacing w:after="25" w:line="259" w:lineRule="auto"/>
              <w:ind w:left="5" w:firstLine="0"/>
            </w:pPr>
            <w:r>
              <w:t>Tendinitis</w:t>
            </w:r>
          </w:p>
          <w:p w14:paraId="2670F78D" w14:textId="77777777" w:rsidR="00B96E65" w:rsidRDefault="00B96E65" w:rsidP="00B96E65">
            <w:pPr>
              <w:spacing w:after="2" w:line="259" w:lineRule="auto"/>
              <w:ind w:left="5" w:firstLine="0"/>
            </w:pPr>
            <w:r>
              <w:t>Tendon rupture</w:t>
            </w:r>
          </w:p>
          <w:p w14:paraId="56D590E5" w14:textId="77777777" w:rsidR="00B96E65" w:rsidRDefault="00B96E65" w:rsidP="00B96E65">
            <w:pPr>
              <w:spacing w:after="3" w:line="259" w:lineRule="auto"/>
              <w:ind w:left="5" w:firstLine="0"/>
            </w:pPr>
            <w:r>
              <w:t>(predominantly</w:t>
            </w:r>
          </w:p>
          <w:p w14:paraId="5A2495A1" w14:textId="77777777" w:rsidR="00B96E65" w:rsidRDefault="00B96E65" w:rsidP="00B96E65">
            <w:pPr>
              <w:spacing w:after="0" w:line="259" w:lineRule="auto"/>
              <w:ind w:left="5" w:firstLine="0"/>
            </w:pPr>
            <w:r>
              <w:t>Achilles tendon)</w:t>
            </w:r>
          </w:p>
          <w:p w14:paraId="488D25AB" w14:textId="77777777" w:rsidR="00B96E65" w:rsidRDefault="00B96E65" w:rsidP="00B96E65">
            <w:pPr>
              <w:spacing w:after="298" w:line="264" w:lineRule="auto"/>
              <w:ind w:left="5" w:right="601" w:firstLine="0"/>
            </w:pPr>
            <w:r>
              <w:t>(see section 4.4)</w:t>
            </w:r>
          </w:p>
          <w:p w14:paraId="38312B74" w14:textId="69EAE557" w:rsidR="00B96E65" w:rsidRDefault="00B96E65" w:rsidP="00B96E65">
            <w:pPr>
              <w:spacing w:after="28" w:line="235" w:lineRule="auto"/>
              <w:ind w:left="5" w:firstLine="0"/>
            </w:pPr>
            <w:r>
              <w:t>Exacerbation of symptoms of myasthenia gravis (see section 4.4)</w:t>
            </w:r>
          </w:p>
        </w:tc>
        <w:tc>
          <w:tcPr>
            <w:tcW w:w="1616" w:type="dxa"/>
            <w:tcBorders>
              <w:top w:val="single" w:sz="8" w:space="0" w:color="000000"/>
              <w:left w:val="single" w:sz="8" w:space="0" w:color="000000"/>
              <w:bottom w:val="single" w:sz="8" w:space="0" w:color="000000"/>
              <w:right w:val="single" w:sz="8" w:space="0" w:color="000000"/>
            </w:tcBorders>
          </w:tcPr>
          <w:p w14:paraId="515CCBB2" w14:textId="77777777" w:rsidR="00B96E65" w:rsidRDefault="00B96E65" w:rsidP="00B96E65">
            <w:pPr>
              <w:spacing w:after="49" w:line="236" w:lineRule="auto"/>
              <w:ind w:left="5" w:firstLine="0"/>
            </w:pPr>
          </w:p>
        </w:tc>
      </w:tr>
      <w:tr w:rsidR="00B96E65" w:rsidRPr="00B96E65" w14:paraId="717F646C" w14:textId="77777777" w:rsidTr="00B96E65">
        <w:trPr>
          <w:trHeight w:val="928"/>
        </w:trPr>
        <w:tc>
          <w:tcPr>
            <w:tcW w:w="1538" w:type="dxa"/>
            <w:tcBorders>
              <w:top w:val="single" w:sz="8" w:space="0" w:color="000000"/>
              <w:left w:val="single" w:sz="8" w:space="0" w:color="000000"/>
              <w:bottom w:val="single" w:sz="8" w:space="0" w:color="000000"/>
              <w:right w:val="single" w:sz="8" w:space="0" w:color="000000"/>
            </w:tcBorders>
          </w:tcPr>
          <w:p w14:paraId="4136C388" w14:textId="77777777" w:rsidR="00B96E65" w:rsidRDefault="00B96E65" w:rsidP="00B96E65">
            <w:pPr>
              <w:spacing w:after="4" w:line="259" w:lineRule="auto"/>
              <w:ind w:left="0" w:firstLine="0"/>
            </w:pPr>
            <w:r>
              <w:rPr>
                <w:b/>
              </w:rPr>
              <w:t>Renal and</w:t>
            </w:r>
          </w:p>
          <w:p w14:paraId="6C1FB45A" w14:textId="13537953" w:rsidR="00B96E65" w:rsidRDefault="00B96E65" w:rsidP="00B96E65">
            <w:pPr>
              <w:spacing w:after="0" w:line="265" w:lineRule="auto"/>
              <w:ind w:left="0" w:firstLine="0"/>
              <w:rPr>
                <w:b/>
              </w:rPr>
            </w:pPr>
            <w:r>
              <w:rPr>
                <w:b/>
              </w:rPr>
              <w:t>Urinary</w:t>
            </w:r>
            <w:r>
              <w:rPr>
                <w:b/>
              </w:rPr>
              <w:t xml:space="preserve"> </w:t>
            </w:r>
            <w:r>
              <w:rPr>
                <w:b/>
              </w:rPr>
              <w:t>Disorders</w:t>
            </w:r>
          </w:p>
        </w:tc>
        <w:tc>
          <w:tcPr>
            <w:tcW w:w="1253" w:type="dxa"/>
            <w:tcBorders>
              <w:top w:val="single" w:sz="8" w:space="0" w:color="000000"/>
              <w:left w:val="single" w:sz="8" w:space="0" w:color="000000"/>
              <w:bottom w:val="single" w:sz="8" w:space="0" w:color="000000"/>
              <w:right w:val="single" w:sz="8" w:space="0" w:color="000000"/>
            </w:tcBorders>
          </w:tcPr>
          <w:p w14:paraId="1756C660" w14:textId="77777777" w:rsidR="00B96E65" w:rsidRDefault="00B96E65" w:rsidP="00B96E65">
            <w:pPr>
              <w:spacing w:after="0" w:line="259" w:lineRule="auto"/>
              <w:ind w:left="5" w:firstLine="0"/>
            </w:pPr>
          </w:p>
        </w:tc>
        <w:tc>
          <w:tcPr>
            <w:tcW w:w="1437" w:type="dxa"/>
            <w:tcBorders>
              <w:top w:val="single" w:sz="8" w:space="0" w:color="000000"/>
              <w:left w:val="single" w:sz="8" w:space="0" w:color="000000"/>
              <w:bottom w:val="single" w:sz="8" w:space="0" w:color="000000"/>
              <w:right w:val="single" w:sz="8" w:space="0" w:color="000000"/>
            </w:tcBorders>
          </w:tcPr>
          <w:p w14:paraId="77051714" w14:textId="052E3D90" w:rsidR="00B96E65" w:rsidRDefault="00B96E65" w:rsidP="00B96E65">
            <w:pPr>
              <w:spacing w:after="0" w:line="259" w:lineRule="auto"/>
              <w:ind w:left="5" w:firstLine="0"/>
            </w:pPr>
            <w:r>
              <w:t>Renal impairment</w:t>
            </w:r>
          </w:p>
        </w:tc>
        <w:tc>
          <w:tcPr>
            <w:tcW w:w="1930" w:type="dxa"/>
            <w:tcBorders>
              <w:top w:val="single" w:sz="8" w:space="0" w:color="000000"/>
              <w:left w:val="single" w:sz="8" w:space="0" w:color="000000"/>
              <w:bottom w:val="single" w:sz="8" w:space="0" w:color="000000"/>
              <w:right w:val="single" w:sz="8" w:space="0" w:color="000000"/>
            </w:tcBorders>
          </w:tcPr>
          <w:p w14:paraId="59FC5EA8" w14:textId="77777777" w:rsidR="00B96E65" w:rsidRDefault="00B96E65" w:rsidP="00B96E65">
            <w:pPr>
              <w:spacing w:after="4" w:line="259" w:lineRule="auto"/>
              <w:ind w:left="5" w:firstLine="0"/>
            </w:pPr>
            <w:r>
              <w:t>Renal failure</w:t>
            </w:r>
          </w:p>
          <w:p w14:paraId="41C8265A" w14:textId="77777777" w:rsidR="00B96E65" w:rsidRDefault="00B96E65" w:rsidP="00B96E65">
            <w:pPr>
              <w:spacing w:after="25" w:line="259" w:lineRule="auto"/>
              <w:ind w:left="5" w:firstLine="0"/>
            </w:pPr>
            <w:r>
              <w:t>Haematuria</w:t>
            </w:r>
          </w:p>
          <w:p w14:paraId="1953620A" w14:textId="72B7E25B" w:rsidR="00B96E65" w:rsidRDefault="00B96E65" w:rsidP="00B96E65">
            <w:pPr>
              <w:spacing w:after="0" w:line="259" w:lineRule="auto"/>
              <w:ind w:left="5" w:firstLine="0"/>
            </w:pPr>
            <w:r>
              <w:t>Crystalluria (see</w:t>
            </w:r>
            <w:r>
              <w:t xml:space="preserve"> </w:t>
            </w:r>
            <w:r>
              <w:t>section 4.4) Tubulointerstitial nephritis</w:t>
            </w:r>
          </w:p>
        </w:tc>
        <w:tc>
          <w:tcPr>
            <w:tcW w:w="1686" w:type="dxa"/>
            <w:tcBorders>
              <w:top w:val="single" w:sz="8" w:space="0" w:color="000000"/>
              <w:left w:val="single" w:sz="8" w:space="0" w:color="000000"/>
              <w:bottom w:val="single" w:sz="8" w:space="0" w:color="000000"/>
              <w:right w:val="single" w:sz="8" w:space="0" w:color="000000"/>
            </w:tcBorders>
          </w:tcPr>
          <w:p w14:paraId="2EE4D234" w14:textId="77777777" w:rsidR="00B96E65" w:rsidRDefault="00B96E65" w:rsidP="00B96E65">
            <w:pPr>
              <w:spacing w:after="5" w:line="234" w:lineRule="auto"/>
              <w:ind w:left="5" w:firstLine="0"/>
            </w:pPr>
          </w:p>
        </w:tc>
        <w:tc>
          <w:tcPr>
            <w:tcW w:w="1616" w:type="dxa"/>
            <w:tcBorders>
              <w:top w:val="single" w:sz="8" w:space="0" w:color="000000"/>
              <w:left w:val="single" w:sz="8" w:space="0" w:color="000000"/>
              <w:bottom w:val="single" w:sz="8" w:space="0" w:color="000000"/>
              <w:right w:val="single" w:sz="8" w:space="0" w:color="000000"/>
            </w:tcBorders>
          </w:tcPr>
          <w:p w14:paraId="1B60F40D" w14:textId="77777777" w:rsidR="00B96E65" w:rsidRDefault="00B96E65" w:rsidP="00B96E65">
            <w:pPr>
              <w:spacing w:after="49" w:line="236" w:lineRule="auto"/>
              <w:ind w:left="5" w:firstLine="0"/>
            </w:pPr>
          </w:p>
        </w:tc>
      </w:tr>
      <w:tr w:rsidR="00B96E65" w:rsidRPr="00B96E65" w14:paraId="6D0C6E9D" w14:textId="77777777" w:rsidTr="00B96E65">
        <w:trPr>
          <w:trHeight w:val="430"/>
        </w:trPr>
        <w:tc>
          <w:tcPr>
            <w:tcW w:w="1538" w:type="dxa"/>
            <w:tcBorders>
              <w:top w:val="single" w:sz="8" w:space="0" w:color="000000"/>
              <w:left w:val="single" w:sz="8" w:space="0" w:color="000000"/>
              <w:bottom w:val="single" w:sz="8" w:space="0" w:color="000000"/>
              <w:right w:val="single" w:sz="8" w:space="0" w:color="000000"/>
            </w:tcBorders>
          </w:tcPr>
          <w:p w14:paraId="4CBD8133" w14:textId="77777777" w:rsidR="00B96E65" w:rsidRDefault="00B96E65" w:rsidP="00B96E65">
            <w:pPr>
              <w:spacing w:after="0" w:line="285" w:lineRule="auto"/>
              <w:ind w:left="27" w:hanging="27"/>
            </w:pPr>
            <w:r>
              <w:rPr>
                <w:b/>
              </w:rPr>
              <w:t>General Disorders and</w:t>
            </w:r>
          </w:p>
          <w:p w14:paraId="1D1251B4" w14:textId="77777777" w:rsidR="00B96E65" w:rsidRDefault="00B96E65" w:rsidP="00B96E65">
            <w:pPr>
              <w:spacing w:after="20" w:line="238" w:lineRule="auto"/>
              <w:ind w:left="0" w:firstLine="30"/>
            </w:pPr>
            <w:r>
              <w:rPr>
                <w:b/>
              </w:rPr>
              <w:t>Administratio n</w:t>
            </w:r>
          </w:p>
          <w:p w14:paraId="62D52780" w14:textId="77777777" w:rsidR="00B96E65" w:rsidRDefault="00B96E65" w:rsidP="00B96E65">
            <w:pPr>
              <w:spacing w:after="0" w:line="259" w:lineRule="auto"/>
              <w:ind w:left="0" w:firstLine="0"/>
            </w:pPr>
            <w:r>
              <w:rPr>
                <w:b/>
              </w:rPr>
              <w:t>Site</w:t>
            </w:r>
          </w:p>
          <w:p w14:paraId="1D526643" w14:textId="265953C9" w:rsidR="00B96E65" w:rsidRDefault="00B96E65" w:rsidP="00B96E65">
            <w:pPr>
              <w:spacing w:after="4" w:line="259" w:lineRule="auto"/>
              <w:ind w:left="0" w:firstLine="0"/>
              <w:rPr>
                <w:b/>
              </w:rPr>
            </w:pPr>
            <w:r>
              <w:rPr>
                <w:b/>
              </w:rPr>
              <w:lastRenderedPageBreak/>
              <w:t>Conditions*</w:t>
            </w:r>
          </w:p>
        </w:tc>
        <w:tc>
          <w:tcPr>
            <w:tcW w:w="1253" w:type="dxa"/>
            <w:tcBorders>
              <w:top w:val="single" w:sz="8" w:space="0" w:color="000000"/>
              <w:left w:val="single" w:sz="8" w:space="0" w:color="000000"/>
              <w:bottom w:val="single" w:sz="8" w:space="0" w:color="000000"/>
              <w:right w:val="single" w:sz="8" w:space="0" w:color="000000"/>
            </w:tcBorders>
          </w:tcPr>
          <w:p w14:paraId="7D29D0AF" w14:textId="4BF00A47" w:rsidR="00B96E65" w:rsidRDefault="00B96E65" w:rsidP="00B96E65">
            <w:pPr>
              <w:spacing w:after="0" w:line="259" w:lineRule="auto"/>
              <w:ind w:left="5" w:firstLine="0"/>
            </w:pPr>
            <w:r>
              <w:lastRenderedPageBreak/>
              <w:t xml:space="preserve">Injection and infusion site reactions (only intravenous </w:t>
            </w:r>
            <w:r>
              <w:lastRenderedPageBreak/>
              <w:t>administrat ion)</w:t>
            </w:r>
          </w:p>
        </w:tc>
        <w:tc>
          <w:tcPr>
            <w:tcW w:w="1437" w:type="dxa"/>
            <w:tcBorders>
              <w:top w:val="single" w:sz="8" w:space="0" w:color="000000"/>
              <w:left w:val="single" w:sz="8" w:space="0" w:color="000000"/>
              <w:bottom w:val="single" w:sz="8" w:space="0" w:color="000000"/>
              <w:right w:val="single" w:sz="8" w:space="0" w:color="000000"/>
            </w:tcBorders>
          </w:tcPr>
          <w:p w14:paraId="52C731D7" w14:textId="77777777" w:rsidR="00B96E65" w:rsidRDefault="00B96E65" w:rsidP="00B96E65">
            <w:pPr>
              <w:spacing w:after="0" w:line="259" w:lineRule="auto"/>
              <w:ind w:left="5" w:firstLine="0"/>
            </w:pPr>
            <w:r>
              <w:lastRenderedPageBreak/>
              <w:t>Asthenia</w:t>
            </w:r>
          </w:p>
          <w:p w14:paraId="4837BA31" w14:textId="3ECFDC19" w:rsidR="00B96E65" w:rsidRDefault="00B96E65" w:rsidP="00B96E65">
            <w:pPr>
              <w:spacing w:after="0" w:line="259" w:lineRule="auto"/>
              <w:ind w:left="5" w:firstLine="0"/>
            </w:pPr>
            <w:r>
              <w:t>Fever</w:t>
            </w:r>
          </w:p>
        </w:tc>
        <w:tc>
          <w:tcPr>
            <w:tcW w:w="1930" w:type="dxa"/>
            <w:tcBorders>
              <w:top w:val="single" w:sz="8" w:space="0" w:color="000000"/>
              <w:left w:val="single" w:sz="8" w:space="0" w:color="000000"/>
              <w:bottom w:val="single" w:sz="8" w:space="0" w:color="000000"/>
              <w:right w:val="single" w:sz="8" w:space="0" w:color="000000"/>
            </w:tcBorders>
          </w:tcPr>
          <w:p w14:paraId="473B8080" w14:textId="77777777" w:rsidR="00B96E65" w:rsidRDefault="00B96E65" w:rsidP="00B96E65">
            <w:pPr>
              <w:spacing w:after="0" w:line="259" w:lineRule="auto"/>
              <w:ind w:left="5" w:firstLine="0"/>
            </w:pPr>
            <w:r>
              <w:t>Oedema</w:t>
            </w:r>
          </w:p>
          <w:p w14:paraId="50BD8B09" w14:textId="77777777" w:rsidR="00B96E65" w:rsidRDefault="00B96E65" w:rsidP="00B96E65">
            <w:pPr>
              <w:spacing w:after="0" w:line="259" w:lineRule="auto"/>
              <w:ind w:left="5" w:firstLine="0"/>
            </w:pPr>
            <w:r>
              <w:t>Sweating</w:t>
            </w:r>
          </w:p>
          <w:p w14:paraId="1CEEC3F1" w14:textId="128BBEA0" w:rsidR="00B96E65" w:rsidRDefault="00B96E65" w:rsidP="00B96E65">
            <w:pPr>
              <w:spacing w:after="4" w:line="259" w:lineRule="auto"/>
              <w:ind w:left="5" w:firstLine="0"/>
            </w:pPr>
            <w:r>
              <w:t>(hyperhidrosis)</w:t>
            </w:r>
          </w:p>
        </w:tc>
        <w:tc>
          <w:tcPr>
            <w:tcW w:w="1686" w:type="dxa"/>
            <w:tcBorders>
              <w:top w:val="single" w:sz="8" w:space="0" w:color="000000"/>
              <w:left w:val="single" w:sz="8" w:space="0" w:color="000000"/>
              <w:bottom w:val="single" w:sz="8" w:space="0" w:color="000000"/>
              <w:right w:val="single" w:sz="8" w:space="0" w:color="000000"/>
            </w:tcBorders>
          </w:tcPr>
          <w:p w14:paraId="0EDFBBBC" w14:textId="77777777" w:rsidR="00B96E65" w:rsidRDefault="00B96E65" w:rsidP="00B96E65">
            <w:pPr>
              <w:spacing w:after="5" w:line="234" w:lineRule="auto"/>
              <w:ind w:left="5" w:firstLine="0"/>
            </w:pPr>
          </w:p>
        </w:tc>
        <w:tc>
          <w:tcPr>
            <w:tcW w:w="1616" w:type="dxa"/>
            <w:tcBorders>
              <w:top w:val="single" w:sz="8" w:space="0" w:color="000000"/>
              <w:left w:val="single" w:sz="8" w:space="0" w:color="000000"/>
              <w:bottom w:val="single" w:sz="8" w:space="0" w:color="000000"/>
              <w:right w:val="single" w:sz="8" w:space="0" w:color="000000"/>
            </w:tcBorders>
          </w:tcPr>
          <w:p w14:paraId="3831E434" w14:textId="77777777" w:rsidR="00B96E65" w:rsidRDefault="00B96E65" w:rsidP="00B96E65">
            <w:pPr>
              <w:spacing w:after="49" w:line="236" w:lineRule="auto"/>
              <w:ind w:left="5" w:firstLine="0"/>
            </w:pPr>
          </w:p>
        </w:tc>
      </w:tr>
      <w:tr w:rsidR="00B96E65" w:rsidRPr="00B96E65" w14:paraId="60D6D98E" w14:textId="77777777" w:rsidTr="006927A6">
        <w:trPr>
          <w:trHeight w:val="928"/>
        </w:trPr>
        <w:tc>
          <w:tcPr>
            <w:tcW w:w="1538" w:type="dxa"/>
            <w:tcBorders>
              <w:top w:val="single" w:sz="8" w:space="0" w:color="000000"/>
              <w:left w:val="single" w:sz="8" w:space="0" w:color="000000"/>
              <w:bottom w:val="single" w:sz="8" w:space="0" w:color="000000"/>
              <w:right w:val="single" w:sz="8" w:space="0" w:color="000000"/>
            </w:tcBorders>
          </w:tcPr>
          <w:p w14:paraId="1BB5193C" w14:textId="3BFC47C0" w:rsidR="00B96E65" w:rsidRDefault="00B96E65" w:rsidP="00B96E65">
            <w:pPr>
              <w:spacing w:after="0" w:line="285" w:lineRule="auto"/>
              <w:ind w:left="27" w:hanging="27"/>
              <w:rPr>
                <w:b/>
              </w:rPr>
            </w:pPr>
            <w:r>
              <w:rPr>
                <w:b/>
              </w:rPr>
              <w:t>Investigations</w:t>
            </w:r>
          </w:p>
        </w:tc>
        <w:tc>
          <w:tcPr>
            <w:tcW w:w="1253" w:type="dxa"/>
            <w:tcBorders>
              <w:top w:val="single" w:sz="8" w:space="0" w:color="000000"/>
              <w:left w:val="single" w:sz="8" w:space="0" w:color="000000"/>
              <w:bottom w:val="single" w:sz="8" w:space="0" w:color="000000"/>
              <w:right w:val="single" w:sz="8" w:space="0" w:color="000000"/>
            </w:tcBorders>
          </w:tcPr>
          <w:p w14:paraId="0D95DCE8" w14:textId="77777777" w:rsidR="00B96E65" w:rsidRDefault="00B96E65" w:rsidP="00B96E65">
            <w:pPr>
              <w:spacing w:after="0" w:line="259" w:lineRule="auto"/>
              <w:ind w:left="5" w:firstLine="0"/>
            </w:pPr>
          </w:p>
        </w:tc>
        <w:tc>
          <w:tcPr>
            <w:tcW w:w="1437" w:type="dxa"/>
            <w:tcBorders>
              <w:top w:val="single" w:sz="8" w:space="0" w:color="000000"/>
              <w:left w:val="single" w:sz="8" w:space="0" w:color="000000"/>
              <w:bottom w:val="single" w:sz="8" w:space="0" w:color="000000"/>
              <w:right w:val="single" w:sz="8" w:space="0" w:color="000000"/>
            </w:tcBorders>
          </w:tcPr>
          <w:p w14:paraId="4948560B" w14:textId="58596B0A" w:rsidR="00B96E65" w:rsidRDefault="00B96E65" w:rsidP="00B96E65">
            <w:pPr>
              <w:spacing w:after="0" w:line="259" w:lineRule="auto"/>
              <w:ind w:left="5" w:firstLine="0"/>
            </w:pPr>
            <w:r>
              <w:t>Increase in blood alkaline phosphatase</w:t>
            </w:r>
          </w:p>
        </w:tc>
        <w:tc>
          <w:tcPr>
            <w:tcW w:w="1930" w:type="dxa"/>
            <w:tcBorders>
              <w:top w:val="single" w:sz="8" w:space="0" w:color="000000"/>
              <w:left w:val="single" w:sz="8" w:space="0" w:color="000000"/>
              <w:bottom w:val="single" w:sz="8" w:space="0" w:color="000000"/>
              <w:right w:val="single" w:sz="8" w:space="0" w:color="000000"/>
            </w:tcBorders>
          </w:tcPr>
          <w:p w14:paraId="7719D2D0" w14:textId="796C33C0" w:rsidR="00B96E65" w:rsidRDefault="00B96E65" w:rsidP="00B96E65">
            <w:pPr>
              <w:spacing w:after="0" w:line="259" w:lineRule="auto"/>
              <w:ind w:left="5" w:firstLine="0"/>
            </w:pPr>
            <w:r>
              <w:t>Increased amylase</w:t>
            </w:r>
          </w:p>
        </w:tc>
        <w:tc>
          <w:tcPr>
            <w:tcW w:w="1686" w:type="dxa"/>
            <w:tcBorders>
              <w:top w:val="single" w:sz="8" w:space="0" w:color="000000"/>
              <w:left w:val="single" w:sz="8" w:space="0" w:color="000000"/>
              <w:bottom w:val="single" w:sz="8" w:space="0" w:color="000000"/>
              <w:right w:val="single" w:sz="8" w:space="0" w:color="000000"/>
            </w:tcBorders>
          </w:tcPr>
          <w:p w14:paraId="34B96834" w14:textId="77777777" w:rsidR="00B96E65" w:rsidRDefault="00B96E65" w:rsidP="00B96E65">
            <w:pPr>
              <w:spacing w:after="5" w:line="234" w:lineRule="auto"/>
              <w:ind w:left="5" w:firstLine="0"/>
            </w:pPr>
          </w:p>
        </w:tc>
        <w:tc>
          <w:tcPr>
            <w:tcW w:w="1616" w:type="dxa"/>
            <w:tcBorders>
              <w:top w:val="single" w:sz="8" w:space="0" w:color="000000"/>
              <w:left w:val="single" w:sz="8" w:space="0" w:color="000000"/>
              <w:bottom w:val="single" w:sz="8" w:space="0" w:color="000000"/>
              <w:right w:val="single" w:sz="8" w:space="0" w:color="000000"/>
            </w:tcBorders>
            <w:vAlign w:val="center"/>
          </w:tcPr>
          <w:p w14:paraId="470A33C7" w14:textId="77777777" w:rsidR="00B96E65" w:rsidRDefault="00B96E65" w:rsidP="00B96E65">
            <w:pPr>
              <w:spacing w:after="0" w:line="287" w:lineRule="auto"/>
              <w:ind w:left="5" w:firstLine="0"/>
            </w:pPr>
            <w:r>
              <w:t>International normalised ratio increased (in patients treated with Vitamin K</w:t>
            </w:r>
          </w:p>
          <w:p w14:paraId="47DF6948" w14:textId="6D7129D7" w:rsidR="00B96E65" w:rsidRDefault="00B96E65" w:rsidP="00B96E65">
            <w:pPr>
              <w:spacing w:after="49" w:line="236" w:lineRule="auto"/>
              <w:ind w:left="5" w:firstLine="0"/>
            </w:pPr>
            <w:r>
              <w:t>antagonists)</w:t>
            </w:r>
          </w:p>
        </w:tc>
      </w:tr>
    </w:tbl>
    <w:p w14:paraId="1484F44E" w14:textId="5CEB7740" w:rsidR="00AE0FAF" w:rsidRPr="00B96E65" w:rsidRDefault="00000000" w:rsidP="00B96E65">
      <w:pPr>
        <w:spacing w:before="240" w:after="240" w:line="360" w:lineRule="auto"/>
        <w:ind w:left="0" w:right="11" w:firstLine="0"/>
        <w:jc w:val="thaiDistribute"/>
        <w:rPr>
          <w:sz w:val="28"/>
          <w:szCs w:val="28"/>
        </w:rPr>
      </w:pPr>
      <w:r w:rsidRPr="00B96E65">
        <w:rPr>
          <w:sz w:val="28"/>
          <w:szCs w:val="28"/>
        </w:rPr>
        <w:t>*Very rare cases of prolonged (up to months or years), disabling and potentially irreversible serious drug reactions affecting several, sometimes multiple, system organ classes and senses (including reactions such as tendonitis, tendon rupture, arthralgia, pain in extremities, gait disturbance, neuropathies associated with paraesthesia, depression, fatigue, memory impairment, sleep disorders, and impairment of hearing, vision, taste and smell) have been reported in association with the use of quinolones and fluoroquinolones in some cases irrespective of pre-existing risk factors (see Section 4.4).</w:t>
      </w:r>
    </w:p>
    <w:p w14:paraId="4B9D2149" w14:textId="77777777" w:rsidR="00AE0FAF" w:rsidRPr="00B96E65" w:rsidRDefault="00000000" w:rsidP="00B96E65">
      <w:pPr>
        <w:spacing w:line="360" w:lineRule="auto"/>
        <w:ind w:left="10" w:right="13"/>
        <w:jc w:val="thaiDistribute"/>
        <w:rPr>
          <w:sz w:val="28"/>
          <w:szCs w:val="28"/>
        </w:rPr>
      </w:pPr>
      <w:r w:rsidRPr="00B96E65">
        <w:rPr>
          <w:sz w:val="28"/>
          <w:szCs w:val="28"/>
        </w:rPr>
        <w:t>** Cases of aortic aneurysm and dissection, sometimes complicated by rupture (including fatal ones), and of regurgitation/incompetence of any of the heart valves have been reported in patients receiving fluoroquinolones (see section 4.4).</w:t>
      </w:r>
    </w:p>
    <w:p w14:paraId="7697CAB4" w14:textId="77777777" w:rsidR="00B96E65" w:rsidRDefault="00B96E65">
      <w:pPr>
        <w:spacing w:after="160"/>
        <w:ind w:left="0" w:firstLine="0"/>
        <w:rPr>
          <w:sz w:val="28"/>
          <w:szCs w:val="28"/>
        </w:rPr>
      </w:pPr>
      <w:r>
        <w:rPr>
          <w:sz w:val="28"/>
          <w:szCs w:val="28"/>
        </w:rPr>
        <w:br w:type="page"/>
      </w:r>
    </w:p>
    <w:p w14:paraId="6612DC43" w14:textId="66697419" w:rsidR="00AE0FAF" w:rsidRPr="00B96E65" w:rsidRDefault="00000000" w:rsidP="00B96E65">
      <w:pPr>
        <w:spacing w:before="240" w:after="240" w:line="360" w:lineRule="auto"/>
        <w:ind w:left="11" w:right="11" w:hanging="11"/>
        <w:rPr>
          <w:sz w:val="28"/>
          <w:szCs w:val="28"/>
        </w:rPr>
      </w:pPr>
      <w:r w:rsidRPr="00B96E65">
        <w:rPr>
          <w:sz w:val="28"/>
          <w:szCs w:val="28"/>
        </w:rPr>
        <w:lastRenderedPageBreak/>
        <w:t>The following undesirable effects have a higher frequency category in the subgroups of patients receiving intravenous or sequential (intravenous to oral) treatment:</w:t>
      </w:r>
    </w:p>
    <w:tbl>
      <w:tblPr>
        <w:tblStyle w:val="TableGrid"/>
        <w:tblW w:w="8520" w:type="dxa"/>
        <w:tblInd w:w="-93" w:type="dxa"/>
        <w:tblCellMar>
          <w:top w:w="104" w:type="dxa"/>
          <w:left w:w="108" w:type="dxa"/>
          <w:bottom w:w="0" w:type="dxa"/>
          <w:right w:w="115" w:type="dxa"/>
        </w:tblCellMar>
        <w:tblLook w:val="04A0" w:firstRow="1" w:lastRow="0" w:firstColumn="1" w:lastColumn="0" w:noHBand="0" w:noVBand="1"/>
      </w:tblPr>
      <w:tblGrid>
        <w:gridCol w:w="1720"/>
        <w:gridCol w:w="6800"/>
      </w:tblGrid>
      <w:tr w:rsidR="00AE0FAF" w14:paraId="394A68F8" w14:textId="77777777">
        <w:trPr>
          <w:trHeight w:val="320"/>
        </w:trPr>
        <w:tc>
          <w:tcPr>
            <w:tcW w:w="1720" w:type="dxa"/>
            <w:tcBorders>
              <w:top w:val="single" w:sz="8" w:space="0" w:color="000000"/>
              <w:left w:val="single" w:sz="8" w:space="0" w:color="000000"/>
              <w:bottom w:val="single" w:sz="8" w:space="0" w:color="000000"/>
              <w:right w:val="single" w:sz="8" w:space="0" w:color="000000"/>
            </w:tcBorders>
          </w:tcPr>
          <w:p w14:paraId="7C98E202" w14:textId="77777777" w:rsidR="00AE0FAF" w:rsidRPr="00B96E65" w:rsidRDefault="00000000">
            <w:pPr>
              <w:spacing w:after="0" w:line="259" w:lineRule="auto"/>
              <w:ind w:left="0" w:firstLine="0"/>
              <w:rPr>
                <w:b/>
                <w:bCs/>
              </w:rPr>
            </w:pPr>
            <w:r w:rsidRPr="00B96E65">
              <w:rPr>
                <w:b/>
                <w:bCs/>
              </w:rPr>
              <w:t>Common</w:t>
            </w:r>
          </w:p>
        </w:tc>
        <w:tc>
          <w:tcPr>
            <w:tcW w:w="6800" w:type="dxa"/>
            <w:tcBorders>
              <w:top w:val="single" w:sz="8" w:space="0" w:color="000000"/>
              <w:left w:val="single" w:sz="8" w:space="0" w:color="000000"/>
              <w:bottom w:val="single" w:sz="8" w:space="0" w:color="000000"/>
              <w:right w:val="single" w:sz="8" w:space="0" w:color="000000"/>
            </w:tcBorders>
          </w:tcPr>
          <w:p w14:paraId="1023679B" w14:textId="77777777" w:rsidR="00AE0FAF" w:rsidRDefault="00000000">
            <w:pPr>
              <w:spacing w:after="0" w:line="259" w:lineRule="auto"/>
              <w:ind w:left="5" w:firstLine="0"/>
            </w:pPr>
            <w:r>
              <w:t>Vomiting, Transient increase in transaminases, Rash</w:t>
            </w:r>
          </w:p>
        </w:tc>
      </w:tr>
      <w:tr w:rsidR="00AE0FAF" w14:paraId="6C0CAB65" w14:textId="77777777">
        <w:trPr>
          <w:trHeight w:val="1160"/>
        </w:trPr>
        <w:tc>
          <w:tcPr>
            <w:tcW w:w="1720" w:type="dxa"/>
            <w:tcBorders>
              <w:top w:val="single" w:sz="8" w:space="0" w:color="000000"/>
              <w:left w:val="single" w:sz="8" w:space="0" w:color="000000"/>
              <w:bottom w:val="single" w:sz="8" w:space="0" w:color="000000"/>
              <w:right w:val="single" w:sz="8" w:space="0" w:color="000000"/>
            </w:tcBorders>
          </w:tcPr>
          <w:p w14:paraId="76A9CCC1" w14:textId="77777777" w:rsidR="00AE0FAF" w:rsidRPr="00B96E65" w:rsidRDefault="00000000">
            <w:pPr>
              <w:spacing w:after="0" w:line="259" w:lineRule="auto"/>
              <w:ind w:left="0" w:firstLine="0"/>
              <w:rPr>
                <w:b/>
                <w:bCs/>
              </w:rPr>
            </w:pPr>
            <w:r w:rsidRPr="00B96E65">
              <w:rPr>
                <w:b/>
                <w:bCs/>
              </w:rPr>
              <w:t>Uncommon</w:t>
            </w:r>
          </w:p>
        </w:tc>
        <w:tc>
          <w:tcPr>
            <w:tcW w:w="6800" w:type="dxa"/>
            <w:tcBorders>
              <w:top w:val="single" w:sz="8" w:space="0" w:color="000000"/>
              <w:left w:val="single" w:sz="8" w:space="0" w:color="000000"/>
              <w:bottom w:val="single" w:sz="8" w:space="0" w:color="000000"/>
              <w:right w:val="single" w:sz="8" w:space="0" w:color="000000"/>
            </w:tcBorders>
          </w:tcPr>
          <w:p w14:paraId="6B210012" w14:textId="77777777" w:rsidR="00AE0FAF" w:rsidRDefault="00000000">
            <w:pPr>
              <w:spacing w:after="0" w:line="259" w:lineRule="auto"/>
              <w:ind w:left="5" w:firstLine="0"/>
            </w:pPr>
            <w:r>
              <w:t>Thrombocytopenia, Thrombocytaemia, Confusion and disorientation, Hallucinations, Par- and dysaesthesia, Seizures, Vertigo, Visual disturbances, Hearing loss, Tachycardia, Vasodilatation, Hypotension, Transient hepatic impairment, Cholestatic icterus, Renal failure, Oedema</w:t>
            </w:r>
          </w:p>
        </w:tc>
      </w:tr>
      <w:tr w:rsidR="00AE0FAF" w14:paraId="43BDBF34" w14:textId="77777777">
        <w:trPr>
          <w:trHeight w:val="880"/>
        </w:trPr>
        <w:tc>
          <w:tcPr>
            <w:tcW w:w="1720" w:type="dxa"/>
            <w:tcBorders>
              <w:top w:val="single" w:sz="8" w:space="0" w:color="000000"/>
              <w:left w:val="single" w:sz="8" w:space="0" w:color="000000"/>
              <w:bottom w:val="single" w:sz="8" w:space="0" w:color="000000"/>
              <w:right w:val="single" w:sz="8" w:space="0" w:color="000000"/>
            </w:tcBorders>
          </w:tcPr>
          <w:p w14:paraId="3D184172" w14:textId="77777777" w:rsidR="00AE0FAF" w:rsidRPr="00B96E65" w:rsidRDefault="00000000">
            <w:pPr>
              <w:spacing w:after="0" w:line="259" w:lineRule="auto"/>
              <w:ind w:left="0" w:firstLine="0"/>
              <w:rPr>
                <w:b/>
                <w:bCs/>
              </w:rPr>
            </w:pPr>
            <w:r w:rsidRPr="00B96E65">
              <w:rPr>
                <w:b/>
                <w:bCs/>
              </w:rPr>
              <w:t>Rare</w:t>
            </w:r>
          </w:p>
        </w:tc>
        <w:tc>
          <w:tcPr>
            <w:tcW w:w="6800" w:type="dxa"/>
            <w:tcBorders>
              <w:top w:val="single" w:sz="8" w:space="0" w:color="000000"/>
              <w:left w:val="single" w:sz="8" w:space="0" w:color="000000"/>
              <w:bottom w:val="single" w:sz="8" w:space="0" w:color="000000"/>
              <w:right w:val="single" w:sz="8" w:space="0" w:color="000000"/>
            </w:tcBorders>
          </w:tcPr>
          <w:p w14:paraId="669380B6" w14:textId="77777777" w:rsidR="00AE0FAF" w:rsidRDefault="00000000">
            <w:pPr>
              <w:spacing w:after="0" w:line="259" w:lineRule="auto"/>
              <w:ind w:left="5" w:firstLine="0"/>
            </w:pPr>
            <w:r>
              <w:t>Pancytopenia, Bone marrow depression, Anaphylactic shock, Psychotic reactions, Migraine, Olfactory nerve disorders, Hearing impaired, Vasculitis, Pancreatitis, Liver necrosis, Petechiae, Tendon rupture</w:t>
            </w:r>
          </w:p>
        </w:tc>
      </w:tr>
    </w:tbl>
    <w:p w14:paraId="1DDF21E9" w14:textId="77777777" w:rsidR="00B96E65" w:rsidRDefault="00B96E65">
      <w:pPr>
        <w:spacing w:after="302" w:line="259" w:lineRule="auto"/>
        <w:ind w:left="10"/>
        <w:rPr>
          <w:i/>
          <w:u w:val="single" w:color="000000"/>
        </w:rPr>
      </w:pPr>
    </w:p>
    <w:p w14:paraId="6F7F4E2C" w14:textId="77777777" w:rsidR="00B96E65" w:rsidRDefault="00000000" w:rsidP="00B96E65">
      <w:pPr>
        <w:spacing w:after="240" w:line="259" w:lineRule="auto"/>
        <w:ind w:left="0" w:firstLine="0"/>
        <w:jc w:val="thaiDistribute"/>
      </w:pPr>
      <w:r w:rsidRPr="00B96E65">
        <w:rPr>
          <w:i/>
          <w:sz w:val="28"/>
          <w:szCs w:val="28"/>
          <w:u w:val="single" w:color="000000"/>
        </w:rPr>
        <w:t>Paediatric population</w:t>
      </w:r>
      <w:r w:rsidR="00B96E65" w:rsidRPr="00B96E65">
        <w:t xml:space="preserve"> </w:t>
      </w:r>
    </w:p>
    <w:p w14:paraId="7A59423A" w14:textId="2F4B1C09" w:rsidR="00B96E65" w:rsidRPr="00B96E65" w:rsidRDefault="00B96E65" w:rsidP="00B96E65">
      <w:pPr>
        <w:spacing w:after="240" w:line="360" w:lineRule="auto"/>
        <w:ind w:left="0" w:firstLine="0"/>
        <w:jc w:val="thaiDistribute"/>
        <w:rPr>
          <w:sz w:val="28"/>
          <w:szCs w:val="28"/>
        </w:rPr>
      </w:pPr>
      <w:r w:rsidRPr="00B96E65">
        <w:rPr>
          <w:iCs/>
          <w:sz w:val="28"/>
          <w:szCs w:val="28"/>
          <w:u w:color="000000"/>
        </w:rPr>
        <w:t>The incidence of arthropathy, mentioned above, is referring to data collected in studies with adults. In children, arthropathy is reported to occur commonly (see section 4.4).</w:t>
      </w:r>
    </w:p>
    <w:p w14:paraId="001667F1" w14:textId="4DBB6504" w:rsidR="00AE0FAF" w:rsidRPr="00B96E65" w:rsidRDefault="00000000" w:rsidP="00B96E65">
      <w:pPr>
        <w:spacing w:after="240" w:line="360" w:lineRule="auto"/>
        <w:ind w:left="0" w:firstLine="0"/>
        <w:jc w:val="thaiDistribute"/>
        <w:rPr>
          <w:bCs/>
          <w:sz w:val="28"/>
          <w:szCs w:val="28"/>
          <w:u w:val="single"/>
        </w:rPr>
      </w:pPr>
      <w:r w:rsidRPr="00B96E65">
        <w:rPr>
          <w:bCs/>
          <w:sz w:val="28"/>
          <w:szCs w:val="28"/>
          <w:u w:val="single"/>
        </w:rPr>
        <w:t>Reporting of suspected adverse reactions</w:t>
      </w:r>
    </w:p>
    <w:p w14:paraId="769E4996" w14:textId="77777777" w:rsidR="00AE0FAF" w:rsidRPr="00B96E65" w:rsidRDefault="00000000" w:rsidP="00B96E65">
      <w:pPr>
        <w:spacing w:after="240" w:line="360" w:lineRule="auto"/>
        <w:ind w:left="11" w:right="11" w:hanging="11"/>
        <w:jc w:val="thaiDistribute"/>
        <w:rPr>
          <w:sz w:val="28"/>
          <w:szCs w:val="28"/>
        </w:rPr>
      </w:pPr>
      <w:r w:rsidRPr="00B96E65">
        <w:rPr>
          <w:sz w:val="28"/>
          <w:szCs w:val="28"/>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5A6F80A0" w14:textId="77777777" w:rsidR="00B96E65" w:rsidRDefault="00000000" w:rsidP="00B96E65">
      <w:pPr>
        <w:pStyle w:val="Heading4"/>
        <w:numPr>
          <w:ilvl w:val="1"/>
          <w:numId w:val="7"/>
        </w:numPr>
        <w:tabs>
          <w:tab w:val="center" w:pos="1395"/>
        </w:tabs>
        <w:rPr>
          <w:sz w:val="28"/>
          <w:szCs w:val="28"/>
        </w:rPr>
      </w:pPr>
      <w:r w:rsidRPr="00B96E65">
        <w:rPr>
          <w:sz w:val="28"/>
          <w:szCs w:val="28"/>
        </w:rPr>
        <w:lastRenderedPageBreak/>
        <w:t>Overdose</w:t>
      </w:r>
    </w:p>
    <w:p w14:paraId="4F455EE2" w14:textId="77777777" w:rsidR="00B96E65" w:rsidRPr="00B96E65" w:rsidRDefault="00000000" w:rsidP="00B96E65">
      <w:pPr>
        <w:pStyle w:val="Heading4"/>
        <w:tabs>
          <w:tab w:val="center" w:pos="1395"/>
        </w:tabs>
        <w:spacing w:after="240" w:line="360" w:lineRule="auto"/>
        <w:ind w:left="794" w:firstLine="0"/>
        <w:jc w:val="thaiDistribute"/>
        <w:rPr>
          <w:b w:val="0"/>
          <w:bCs/>
          <w:sz w:val="28"/>
          <w:szCs w:val="28"/>
        </w:rPr>
      </w:pPr>
      <w:r w:rsidRPr="00B96E65">
        <w:rPr>
          <w:b w:val="0"/>
          <w:bCs/>
          <w:sz w:val="28"/>
          <w:szCs w:val="28"/>
        </w:rPr>
        <w:t>An overdose of 12 g has been reported to lead to mild symptoms of toxicity. An acute overdose of 16 g has been reported to cause acute renal failure.</w:t>
      </w:r>
    </w:p>
    <w:p w14:paraId="7E8E08EE" w14:textId="77777777" w:rsidR="00B96E65" w:rsidRPr="00B96E65" w:rsidRDefault="00000000" w:rsidP="00B96E65">
      <w:pPr>
        <w:pStyle w:val="Heading4"/>
        <w:tabs>
          <w:tab w:val="center" w:pos="1395"/>
        </w:tabs>
        <w:spacing w:after="240" w:line="360" w:lineRule="auto"/>
        <w:ind w:left="794" w:firstLine="0"/>
        <w:jc w:val="thaiDistribute"/>
        <w:rPr>
          <w:b w:val="0"/>
          <w:bCs/>
          <w:sz w:val="28"/>
          <w:szCs w:val="28"/>
        </w:rPr>
      </w:pPr>
      <w:r w:rsidRPr="00B96E65">
        <w:rPr>
          <w:b w:val="0"/>
          <w:bCs/>
          <w:sz w:val="28"/>
          <w:szCs w:val="28"/>
        </w:rPr>
        <w:t>Symptoms in overdose consist of dizziness, tremor, headache, tiredness, seizures, hallucinations, confusion, abdominal discomfort, renal and hepatic impairment as well as crystalluria and haematuria. Reversible renal toxicity has been reported.</w:t>
      </w:r>
    </w:p>
    <w:p w14:paraId="08EA1E4F" w14:textId="77777777" w:rsidR="00B96E65" w:rsidRPr="00B96E65" w:rsidRDefault="00000000" w:rsidP="00B96E65">
      <w:pPr>
        <w:pStyle w:val="Heading4"/>
        <w:tabs>
          <w:tab w:val="center" w:pos="1395"/>
        </w:tabs>
        <w:spacing w:after="240" w:line="360" w:lineRule="auto"/>
        <w:ind w:left="794" w:firstLine="0"/>
        <w:jc w:val="thaiDistribute"/>
        <w:rPr>
          <w:b w:val="0"/>
          <w:bCs/>
          <w:sz w:val="28"/>
          <w:szCs w:val="28"/>
        </w:rPr>
      </w:pPr>
      <w:r w:rsidRPr="00B96E65">
        <w:rPr>
          <w:b w:val="0"/>
          <w:bCs/>
          <w:sz w:val="28"/>
          <w:szCs w:val="28"/>
        </w:rPr>
        <w:t xml:space="preserve">Apart from routine emergency measures, e.g. ventricular emptying followed by medical carbon, it is recommended to monitor renal function, including urinary pH and acidify, if required, to prevent crystalluria. Patients should be kept well hydrated. Calcium or magnesium containing antacids may theoretically reduce the absorption of </w:t>
      </w:r>
      <w:r w:rsidRPr="00B96E65">
        <w:rPr>
          <w:b w:val="0"/>
          <w:bCs/>
          <w:color w:val="FF0000"/>
          <w:sz w:val="28"/>
          <w:szCs w:val="28"/>
        </w:rPr>
        <w:t xml:space="preserve">&lt;GENERIC NAME&gt; </w:t>
      </w:r>
      <w:r w:rsidRPr="00B96E65">
        <w:rPr>
          <w:b w:val="0"/>
          <w:bCs/>
          <w:sz w:val="28"/>
          <w:szCs w:val="28"/>
        </w:rPr>
        <w:t>in overdoses.</w:t>
      </w:r>
    </w:p>
    <w:p w14:paraId="36C5385E" w14:textId="77777777" w:rsidR="00B96E65" w:rsidRPr="00B96E65" w:rsidRDefault="00000000" w:rsidP="00B96E65">
      <w:pPr>
        <w:pStyle w:val="Heading4"/>
        <w:tabs>
          <w:tab w:val="center" w:pos="1395"/>
        </w:tabs>
        <w:spacing w:after="240" w:line="360" w:lineRule="auto"/>
        <w:ind w:left="794" w:firstLine="0"/>
        <w:jc w:val="thaiDistribute"/>
        <w:rPr>
          <w:b w:val="0"/>
          <w:bCs/>
          <w:sz w:val="28"/>
          <w:szCs w:val="28"/>
        </w:rPr>
      </w:pPr>
      <w:r w:rsidRPr="00B96E65">
        <w:rPr>
          <w:b w:val="0"/>
          <w:bCs/>
          <w:sz w:val="28"/>
          <w:szCs w:val="28"/>
        </w:rPr>
        <w:t xml:space="preserve">Only a small quantity of </w:t>
      </w:r>
      <w:r w:rsidRPr="00B96E65">
        <w:rPr>
          <w:b w:val="0"/>
          <w:bCs/>
          <w:color w:val="FF0000"/>
          <w:sz w:val="28"/>
          <w:szCs w:val="28"/>
        </w:rPr>
        <w:t xml:space="preserve">&lt;GENERIC NAME&gt; </w:t>
      </w:r>
      <w:r w:rsidRPr="00B96E65">
        <w:rPr>
          <w:b w:val="0"/>
          <w:bCs/>
          <w:sz w:val="28"/>
          <w:szCs w:val="28"/>
        </w:rPr>
        <w:t>(&lt;10%) is eliminated by haemodialysis or peritoneal dialysis.</w:t>
      </w:r>
    </w:p>
    <w:p w14:paraId="58584548" w14:textId="3D81C73D" w:rsidR="00AE0FAF" w:rsidRDefault="00000000" w:rsidP="00B96E65">
      <w:pPr>
        <w:pStyle w:val="Heading4"/>
        <w:tabs>
          <w:tab w:val="center" w:pos="1395"/>
        </w:tabs>
        <w:spacing w:after="240" w:line="360" w:lineRule="auto"/>
        <w:ind w:left="794" w:firstLine="0"/>
        <w:jc w:val="thaiDistribute"/>
        <w:rPr>
          <w:b w:val="0"/>
          <w:bCs/>
          <w:sz w:val="28"/>
          <w:szCs w:val="28"/>
        </w:rPr>
      </w:pPr>
      <w:r w:rsidRPr="00B96E65">
        <w:rPr>
          <w:b w:val="0"/>
          <w:bCs/>
          <w:sz w:val="28"/>
          <w:szCs w:val="28"/>
        </w:rPr>
        <w:t xml:space="preserve">In the event of overdose, symptomatic treatment should be implemented. ECG monitoring should be undertaken, because of the </w:t>
      </w:r>
      <w:r w:rsidRPr="006F61A5">
        <w:rPr>
          <w:b w:val="0"/>
          <w:bCs/>
          <w:sz w:val="28"/>
          <w:szCs w:val="28"/>
        </w:rPr>
        <w:t>possibility of QT interval prolongation.</w:t>
      </w:r>
    </w:p>
    <w:p w14:paraId="78C5C40D" w14:textId="77777777" w:rsidR="006F61A5" w:rsidRDefault="006F61A5">
      <w:pPr>
        <w:spacing w:after="160"/>
        <w:ind w:left="0" w:firstLine="0"/>
        <w:rPr>
          <w:rFonts w:cs="Angsana New"/>
          <w:b/>
          <w:bCs/>
          <w:sz w:val="28"/>
          <w:szCs w:val="28"/>
        </w:rPr>
      </w:pPr>
      <w:r>
        <w:rPr>
          <w:b/>
          <w:bCs/>
          <w:sz w:val="28"/>
          <w:szCs w:val="28"/>
        </w:rPr>
        <w:br w:type="page"/>
      </w:r>
    </w:p>
    <w:p w14:paraId="7C34A542" w14:textId="77777777" w:rsidR="006F61A5" w:rsidRDefault="006F61A5" w:rsidP="006F61A5">
      <w:pPr>
        <w:pStyle w:val="ListParagraph"/>
        <w:numPr>
          <w:ilvl w:val="0"/>
          <w:numId w:val="7"/>
        </w:numPr>
        <w:spacing w:line="360" w:lineRule="auto"/>
        <w:rPr>
          <w:b/>
          <w:bCs/>
          <w:sz w:val="28"/>
          <w:szCs w:val="28"/>
        </w:rPr>
      </w:pPr>
      <w:r w:rsidRPr="006F61A5">
        <w:rPr>
          <w:b/>
          <w:bCs/>
          <w:sz w:val="28"/>
          <w:szCs w:val="28"/>
        </w:rPr>
        <w:lastRenderedPageBreak/>
        <w:t>PHARMACOLOGICAL PROPERTIES</w:t>
      </w:r>
    </w:p>
    <w:p w14:paraId="1FB845A3" w14:textId="77777777" w:rsidR="006F61A5" w:rsidRPr="006F61A5" w:rsidRDefault="00000000" w:rsidP="006F61A5">
      <w:pPr>
        <w:pStyle w:val="ListParagraph"/>
        <w:numPr>
          <w:ilvl w:val="1"/>
          <w:numId w:val="7"/>
        </w:numPr>
        <w:spacing w:after="240"/>
        <w:ind w:left="788" w:hanging="431"/>
        <w:contextualSpacing w:val="0"/>
        <w:rPr>
          <w:b/>
          <w:bCs/>
          <w:sz w:val="28"/>
          <w:szCs w:val="28"/>
        </w:rPr>
      </w:pPr>
      <w:r w:rsidRPr="006F61A5">
        <w:rPr>
          <w:b/>
          <w:bCs/>
          <w:sz w:val="28"/>
          <w:szCs w:val="28"/>
        </w:rPr>
        <w:t>Pharmacodynamic properties</w:t>
      </w:r>
      <w:r w:rsidR="006F61A5" w:rsidRPr="006F61A5">
        <w:t xml:space="preserve"> </w:t>
      </w:r>
    </w:p>
    <w:p w14:paraId="691D7E29" w14:textId="77777777" w:rsidR="006F61A5" w:rsidRPr="006F61A5" w:rsidRDefault="006F61A5" w:rsidP="006F61A5">
      <w:pPr>
        <w:pStyle w:val="ListParagraph"/>
        <w:spacing w:line="360" w:lineRule="auto"/>
        <w:ind w:left="792" w:firstLine="0"/>
        <w:rPr>
          <w:sz w:val="28"/>
          <w:szCs w:val="28"/>
        </w:rPr>
      </w:pPr>
      <w:r w:rsidRPr="006F61A5">
        <w:rPr>
          <w:sz w:val="28"/>
          <w:szCs w:val="28"/>
        </w:rPr>
        <w:t>Pharmacotherapeutic group: Fluoroquinolones</w:t>
      </w:r>
    </w:p>
    <w:p w14:paraId="4D66C3D5" w14:textId="781C19FA" w:rsidR="00AE0FAF" w:rsidRPr="006F61A5" w:rsidRDefault="006F61A5" w:rsidP="006F61A5">
      <w:pPr>
        <w:pStyle w:val="ListParagraph"/>
        <w:spacing w:after="240" w:line="360" w:lineRule="auto"/>
        <w:ind w:left="794" w:firstLine="0"/>
        <w:contextualSpacing w:val="0"/>
        <w:rPr>
          <w:sz w:val="28"/>
          <w:szCs w:val="28"/>
        </w:rPr>
      </w:pPr>
      <w:r w:rsidRPr="006F61A5">
        <w:rPr>
          <w:sz w:val="28"/>
          <w:szCs w:val="28"/>
        </w:rPr>
        <w:t>ATC code: J01MA02 Mechanism of action:</w:t>
      </w:r>
    </w:p>
    <w:p w14:paraId="7A35DA90" w14:textId="77777777" w:rsidR="006F61A5" w:rsidRDefault="00000000" w:rsidP="006F61A5">
      <w:pPr>
        <w:spacing w:after="240" w:line="360" w:lineRule="auto"/>
        <w:ind w:left="759" w:hanging="11"/>
        <w:jc w:val="thaiDistribute"/>
        <w:rPr>
          <w:sz w:val="28"/>
          <w:szCs w:val="28"/>
        </w:rPr>
      </w:pPr>
      <w:r w:rsidRPr="006F61A5">
        <w:rPr>
          <w:sz w:val="28"/>
          <w:szCs w:val="28"/>
        </w:rPr>
        <w:t xml:space="preserve">As a fluoroquinolone antibacterial agent, the bactericidal action of </w:t>
      </w:r>
      <w:r w:rsidRPr="006F61A5">
        <w:rPr>
          <w:color w:val="FF0000"/>
          <w:sz w:val="28"/>
          <w:szCs w:val="28"/>
        </w:rPr>
        <w:t xml:space="preserve">&lt;GENERIC NAME&gt; </w:t>
      </w:r>
      <w:r w:rsidRPr="006F61A5">
        <w:rPr>
          <w:sz w:val="28"/>
          <w:szCs w:val="28"/>
        </w:rPr>
        <w:t>results from the inhibition of both type II topoisomerase (DNA-gyrase) and topoisomerase IV, required for bacterial DNA replication, transcription, repair and recombination.</w:t>
      </w:r>
    </w:p>
    <w:p w14:paraId="2DDE4E00" w14:textId="0C998FFF" w:rsidR="00AE0FAF" w:rsidRPr="006F61A5" w:rsidRDefault="00000000" w:rsidP="006F61A5">
      <w:pPr>
        <w:spacing w:after="240" w:line="360" w:lineRule="auto"/>
        <w:ind w:left="759" w:hanging="11"/>
        <w:jc w:val="thaiDistribute"/>
        <w:rPr>
          <w:sz w:val="28"/>
          <w:szCs w:val="28"/>
        </w:rPr>
      </w:pPr>
      <w:r w:rsidRPr="006F61A5">
        <w:rPr>
          <w:iCs/>
          <w:sz w:val="28"/>
          <w:szCs w:val="28"/>
          <w:u w:val="single" w:color="000000"/>
        </w:rPr>
        <w:t>Pharmacokinetic/pharmacodynamic relationship</w:t>
      </w:r>
      <w:r w:rsidRPr="006F61A5">
        <w:rPr>
          <w:i/>
          <w:sz w:val="28"/>
          <w:szCs w:val="28"/>
          <w:u w:val="single" w:color="000000"/>
        </w:rPr>
        <w:t>:</w:t>
      </w:r>
    </w:p>
    <w:p w14:paraId="38F65FA3" w14:textId="77777777" w:rsidR="006F61A5" w:rsidRDefault="00000000" w:rsidP="006F61A5">
      <w:pPr>
        <w:spacing w:after="240" w:line="360" w:lineRule="auto"/>
        <w:ind w:left="748" w:firstLine="0"/>
        <w:jc w:val="thaiDistribute"/>
        <w:rPr>
          <w:sz w:val="28"/>
          <w:szCs w:val="28"/>
        </w:rPr>
      </w:pPr>
      <w:r w:rsidRPr="006F61A5">
        <w:rPr>
          <w:sz w:val="28"/>
          <w:szCs w:val="28"/>
        </w:rPr>
        <w:t xml:space="preserve">Efficacy mainly depends on the relation between the maximum concentration in serum (Cmax) and the minimum inhibitory concentration (MIC) of </w:t>
      </w:r>
      <w:r w:rsidRPr="006F61A5">
        <w:rPr>
          <w:color w:val="FF0000"/>
          <w:sz w:val="28"/>
          <w:szCs w:val="28"/>
        </w:rPr>
        <w:t xml:space="preserve">&lt;GENERIC NAME&gt; </w:t>
      </w:r>
      <w:r w:rsidRPr="006F61A5">
        <w:rPr>
          <w:sz w:val="28"/>
          <w:szCs w:val="28"/>
        </w:rPr>
        <w:t>for a bacterial pathogen and the relation between the area under the curve (AUC) and the MIC.</w:t>
      </w:r>
    </w:p>
    <w:p w14:paraId="2BE74003" w14:textId="7DB23709" w:rsidR="00AE0FAF" w:rsidRPr="006F61A5" w:rsidRDefault="00000000" w:rsidP="006F61A5">
      <w:pPr>
        <w:spacing w:after="240" w:line="360" w:lineRule="auto"/>
        <w:ind w:left="748" w:firstLine="0"/>
        <w:jc w:val="thaiDistribute"/>
        <w:rPr>
          <w:sz w:val="28"/>
          <w:szCs w:val="28"/>
        </w:rPr>
      </w:pPr>
      <w:r w:rsidRPr="006F61A5">
        <w:rPr>
          <w:i/>
          <w:sz w:val="28"/>
          <w:szCs w:val="28"/>
          <w:u w:val="single" w:color="000000"/>
        </w:rPr>
        <w:t>Mechanism of resistance:</w:t>
      </w:r>
    </w:p>
    <w:p w14:paraId="618F806A" w14:textId="77777777" w:rsidR="00AE0FAF" w:rsidRPr="006F61A5" w:rsidRDefault="00000000" w:rsidP="006F61A5">
      <w:pPr>
        <w:spacing w:after="240" w:line="360" w:lineRule="auto"/>
        <w:ind w:left="759" w:hanging="11"/>
        <w:jc w:val="both"/>
        <w:rPr>
          <w:sz w:val="28"/>
          <w:szCs w:val="28"/>
        </w:rPr>
      </w:pPr>
      <w:r w:rsidRPr="006F61A5">
        <w:rPr>
          <w:i/>
          <w:sz w:val="28"/>
          <w:szCs w:val="28"/>
        </w:rPr>
        <w:t xml:space="preserve">In-vitro </w:t>
      </w:r>
      <w:r w:rsidRPr="006F61A5">
        <w:rPr>
          <w:sz w:val="28"/>
          <w:szCs w:val="28"/>
        </w:rPr>
        <w:t>resistance to ciprofloxacin can be acquired through a stepwise process by target site mutations in both DNA gyrase and topoisomerase IV. The degree of cross-resistance between ciprofloxacin and other fluoroquinolones that results is variable. Single mutations may not result in clinical resistance, but multiple mutations generally result in clinical resistance to many or all active substances within the class.</w:t>
      </w:r>
    </w:p>
    <w:p w14:paraId="5C9E133B" w14:textId="77777777" w:rsidR="006F61A5" w:rsidRDefault="00000000" w:rsidP="006F61A5">
      <w:pPr>
        <w:spacing w:after="240" w:line="360" w:lineRule="auto"/>
        <w:ind w:left="759" w:hanging="11"/>
        <w:jc w:val="both"/>
        <w:rPr>
          <w:sz w:val="28"/>
          <w:szCs w:val="28"/>
        </w:rPr>
      </w:pPr>
      <w:r w:rsidRPr="006F61A5">
        <w:rPr>
          <w:sz w:val="28"/>
          <w:szCs w:val="28"/>
        </w:rPr>
        <w:t xml:space="preserve">Impermeability and/or active substance efflux pump mechanisms of resistance may have a variable effect on susceptibility to fluoroquinolones, which depends on the physiochemical properties of </w:t>
      </w:r>
      <w:r w:rsidRPr="006F61A5">
        <w:rPr>
          <w:sz w:val="28"/>
          <w:szCs w:val="28"/>
        </w:rPr>
        <w:lastRenderedPageBreak/>
        <w:t xml:space="preserve">the various active substances within the class and the affinity of transport systems for each active substance. All </w:t>
      </w:r>
      <w:r w:rsidRPr="006F61A5">
        <w:rPr>
          <w:i/>
          <w:sz w:val="28"/>
          <w:szCs w:val="28"/>
        </w:rPr>
        <w:t xml:space="preserve">in-vitro </w:t>
      </w:r>
      <w:r w:rsidRPr="006F61A5">
        <w:rPr>
          <w:sz w:val="28"/>
          <w:szCs w:val="28"/>
        </w:rPr>
        <w:t xml:space="preserve">mechanisms of resistance are commonly observed in clinical isolates. Resistance mechanisms that inactivate other antibiotics such as permeation barriers (common in </w:t>
      </w:r>
      <w:r w:rsidRPr="006F61A5">
        <w:rPr>
          <w:i/>
          <w:sz w:val="28"/>
          <w:szCs w:val="28"/>
        </w:rPr>
        <w:t>Pseudomonas aeruginosa</w:t>
      </w:r>
      <w:r w:rsidRPr="006F61A5">
        <w:rPr>
          <w:sz w:val="28"/>
          <w:szCs w:val="28"/>
        </w:rPr>
        <w:t>) and efflux mechanisms may affect susceptibility to ciprofloxacin.</w:t>
      </w:r>
    </w:p>
    <w:p w14:paraId="09A8348B" w14:textId="77777777" w:rsidR="006F61A5" w:rsidRDefault="00000000" w:rsidP="006F61A5">
      <w:pPr>
        <w:spacing w:after="240" w:line="360" w:lineRule="auto"/>
        <w:ind w:left="759" w:hanging="11"/>
        <w:jc w:val="both"/>
        <w:rPr>
          <w:sz w:val="28"/>
          <w:szCs w:val="28"/>
        </w:rPr>
      </w:pPr>
      <w:r w:rsidRPr="006F61A5">
        <w:rPr>
          <w:sz w:val="28"/>
          <w:szCs w:val="28"/>
        </w:rPr>
        <w:t>Plasmid-mediated resistance encoded by qnr-genes has been reported.</w:t>
      </w:r>
    </w:p>
    <w:p w14:paraId="0D769A64" w14:textId="3F71BE8E" w:rsidR="00AE0FAF" w:rsidRPr="006F61A5" w:rsidRDefault="00000000" w:rsidP="006F61A5">
      <w:pPr>
        <w:spacing w:after="240" w:line="360" w:lineRule="auto"/>
        <w:ind w:left="759" w:hanging="11"/>
        <w:jc w:val="both"/>
        <w:rPr>
          <w:sz w:val="28"/>
          <w:szCs w:val="28"/>
        </w:rPr>
      </w:pPr>
      <w:r w:rsidRPr="006F61A5">
        <w:rPr>
          <w:i/>
          <w:sz w:val="28"/>
          <w:szCs w:val="28"/>
          <w:u w:val="single" w:color="000000"/>
        </w:rPr>
        <w:t>Spectrum of antibacterial activity:</w:t>
      </w:r>
    </w:p>
    <w:p w14:paraId="36A4B4C1" w14:textId="77777777" w:rsidR="006F61A5" w:rsidRDefault="00000000" w:rsidP="006F61A5">
      <w:pPr>
        <w:spacing w:after="240" w:line="360" w:lineRule="auto"/>
        <w:ind w:left="748" w:firstLine="0"/>
        <w:jc w:val="both"/>
        <w:rPr>
          <w:sz w:val="28"/>
          <w:szCs w:val="28"/>
        </w:rPr>
      </w:pPr>
      <w:r w:rsidRPr="006F61A5">
        <w:rPr>
          <w:sz w:val="28"/>
          <w:szCs w:val="28"/>
        </w:rPr>
        <w:t>Breakpoints separate susceptible strains from strains with intermediate susceptibility and the latter from resistant strains:</w:t>
      </w:r>
    </w:p>
    <w:p w14:paraId="17CE8FF8" w14:textId="09F12738" w:rsidR="00AE0FAF" w:rsidRPr="006F61A5" w:rsidRDefault="00000000" w:rsidP="00C8737C">
      <w:pPr>
        <w:spacing w:after="240" w:line="360" w:lineRule="auto"/>
        <w:ind w:left="748" w:firstLine="0"/>
        <w:jc w:val="both"/>
        <w:rPr>
          <w:sz w:val="28"/>
          <w:szCs w:val="28"/>
        </w:rPr>
      </w:pPr>
      <w:r w:rsidRPr="006F61A5">
        <w:rPr>
          <w:i/>
          <w:sz w:val="28"/>
          <w:szCs w:val="28"/>
          <w:u w:color="000000"/>
        </w:rPr>
        <w:t>EUCAST Recommendations</w:t>
      </w:r>
      <w:r w:rsidR="00C8737C" w:rsidRPr="00C8737C">
        <w:t xml:space="preserve"> </w:t>
      </w:r>
      <w:r w:rsidR="00C8737C" w:rsidRPr="00C8737C">
        <w:rPr>
          <w:i/>
          <w:sz w:val="28"/>
          <w:szCs w:val="28"/>
          <w:u w:color="000000"/>
        </w:rPr>
        <w:t>Breakpoints (V 7.1, valid from 2017-03-10)</w:t>
      </w:r>
    </w:p>
    <w:tbl>
      <w:tblPr>
        <w:tblStyle w:val="TableGrid0"/>
        <w:tblW w:w="0" w:type="auto"/>
        <w:tblInd w:w="-90" w:type="dxa"/>
        <w:tblLook w:val="04A0" w:firstRow="1" w:lastRow="0" w:firstColumn="1" w:lastColumn="0" w:noHBand="0" w:noVBand="1"/>
      </w:tblPr>
      <w:tblGrid>
        <w:gridCol w:w="2930"/>
        <w:gridCol w:w="2930"/>
        <w:gridCol w:w="2931"/>
      </w:tblGrid>
      <w:tr w:rsidR="006F61A5" w14:paraId="5A71ACFB" w14:textId="77777777" w:rsidTr="006F61A5">
        <w:tc>
          <w:tcPr>
            <w:tcW w:w="2930" w:type="dxa"/>
          </w:tcPr>
          <w:p w14:paraId="4C347285" w14:textId="368AA0FC" w:rsidR="006F61A5" w:rsidRPr="00C8737C" w:rsidRDefault="006F61A5" w:rsidP="006F61A5">
            <w:pPr>
              <w:spacing w:after="0" w:line="259" w:lineRule="auto"/>
              <w:ind w:left="0" w:right="-25" w:firstLine="0"/>
              <w:jc w:val="center"/>
              <w:rPr>
                <w:b/>
                <w:bCs/>
                <w:sz w:val="28"/>
                <w:szCs w:val="28"/>
              </w:rPr>
            </w:pPr>
            <w:r w:rsidRPr="00C8737C">
              <w:rPr>
                <w:b/>
                <w:bCs/>
                <w:sz w:val="28"/>
                <w:szCs w:val="28"/>
              </w:rPr>
              <w:t>Microorganisms</w:t>
            </w:r>
          </w:p>
        </w:tc>
        <w:tc>
          <w:tcPr>
            <w:tcW w:w="2930" w:type="dxa"/>
          </w:tcPr>
          <w:p w14:paraId="131A2EF0" w14:textId="7F4EC0E7" w:rsidR="006F61A5" w:rsidRPr="00C8737C" w:rsidRDefault="006F61A5" w:rsidP="006F61A5">
            <w:pPr>
              <w:spacing w:after="0" w:line="259" w:lineRule="auto"/>
              <w:ind w:left="0" w:right="-25" w:firstLine="0"/>
              <w:jc w:val="center"/>
              <w:rPr>
                <w:b/>
                <w:bCs/>
                <w:sz w:val="28"/>
                <w:szCs w:val="28"/>
              </w:rPr>
            </w:pPr>
            <w:r w:rsidRPr="00C8737C">
              <w:rPr>
                <w:b/>
                <w:bCs/>
                <w:sz w:val="28"/>
                <w:szCs w:val="28"/>
              </w:rPr>
              <w:t>Susceptible</w:t>
            </w:r>
          </w:p>
        </w:tc>
        <w:tc>
          <w:tcPr>
            <w:tcW w:w="2931" w:type="dxa"/>
          </w:tcPr>
          <w:p w14:paraId="6E875FC3" w14:textId="70EC1818" w:rsidR="006F61A5" w:rsidRPr="00C8737C" w:rsidRDefault="006F61A5" w:rsidP="006F61A5">
            <w:pPr>
              <w:spacing w:after="0" w:line="259" w:lineRule="auto"/>
              <w:ind w:left="0" w:right="-25" w:firstLine="0"/>
              <w:jc w:val="center"/>
              <w:rPr>
                <w:b/>
                <w:bCs/>
                <w:sz w:val="28"/>
                <w:szCs w:val="28"/>
              </w:rPr>
            </w:pPr>
            <w:r w:rsidRPr="00C8737C">
              <w:rPr>
                <w:b/>
                <w:bCs/>
                <w:sz w:val="28"/>
                <w:szCs w:val="28"/>
              </w:rPr>
              <w:t>Resistant</w:t>
            </w:r>
          </w:p>
        </w:tc>
      </w:tr>
      <w:tr w:rsidR="006F61A5" w14:paraId="146E2783" w14:textId="77777777" w:rsidTr="006F61A5">
        <w:tc>
          <w:tcPr>
            <w:tcW w:w="2930" w:type="dxa"/>
          </w:tcPr>
          <w:p w14:paraId="5605FDA9" w14:textId="249C9A85" w:rsidR="006F61A5" w:rsidRPr="00C8737C" w:rsidRDefault="006F61A5" w:rsidP="006F61A5">
            <w:pPr>
              <w:spacing w:after="0" w:line="259" w:lineRule="auto"/>
              <w:ind w:left="0" w:right="-25" w:firstLine="0"/>
              <w:rPr>
                <w:sz w:val="28"/>
                <w:szCs w:val="28"/>
              </w:rPr>
            </w:pPr>
            <w:r w:rsidRPr="00C8737C">
              <w:rPr>
                <w:sz w:val="28"/>
                <w:szCs w:val="28"/>
              </w:rPr>
              <w:t xml:space="preserve">Enterobacteria </w:t>
            </w:r>
          </w:p>
        </w:tc>
        <w:tc>
          <w:tcPr>
            <w:tcW w:w="2930" w:type="dxa"/>
          </w:tcPr>
          <w:p w14:paraId="3EE12C7D" w14:textId="72A186E4" w:rsidR="006F61A5" w:rsidRPr="00C8737C" w:rsidRDefault="006F61A5" w:rsidP="00C8737C">
            <w:pPr>
              <w:spacing w:after="0" w:line="259" w:lineRule="auto"/>
              <w:ind w:left="0" w:right="-25" w:firstLine="0"/>
              <w:jc w:val="center"/>
              <w:rPr>
                <w:sz w:val="28"/>
                <w:szCs w:val="28"/>
              </w:rPr>
            </w:pPr>
            <w:r w:rsidRPr="00C8737C">
              <w:rPr>
                <w:sz w:val="28"/>
                <w:szCs w:val="28"/>
              </w:rPr>
              <w:t>S ≤ 0.25 mg/L</w:t>
            </w:r>
          </w:p>
        </w:tc>
        <w:tc>
          <w:tcPr>
            <w:tcW w:w="2931" w:type="dxa"/>
          </w:tcPr>
          <w:p w14:paraId="5F74870F" w14:textId="39C0C6AC" w:rsidR="006F61A5" w:rsidRPr="00C8737C" w:rsidRDefault="006F61A5" w:rsidP="00C8737C">
            <w:pPr>
              <w:spacing w:after="0" w:line="259" w:lineRule="auto"/>
              <w:ind w:left="0" w:right="-25" w:firstLine="0"/>
              <w:jc w:val="center"/>
              <w:rPr>
                <w:sz w:val="28"/>
                <w:szCs w:val="28"/>
              </w:rPr>
            </w:pPr>
            <w:r w:rsidRPr="00C8737C">
              <w:rPr>
                <w:sz w:val="28"/>
                <w:szCs w:val="28"/>
              </w:rPr>
              <w:t>R &gt; 0.5 mg/L</w:t>
            </w:r>
          </w:p>
        </w:tc>
      </w:tr>
      <w:tr w:rsidR="006F61A5" w14:paraId="5A1DE1FA" w14:textId="77777777" w:rsidTr="006F61A5">
        <w:tc>
          <w:tcPr>
            <w:tcW w:w="2930" w:type="dxa"/>
          </w:tcPr>
          <w:p w14:paraId="60EE96FE" w14:textId="7DB0B0B0" w:rsidR="006F61A5" w:rsidRPr="00C8737C" w:rsidRDefault="006F61A5">
            <w:pPr>
              <w:spacing w:after="0" w:line="259" w:lineRule="auto"/>
              <w:ind w:left="0" w:right="-25" w:firstLine="0"/>
              <w:rPr>
                <w:sz w:val="28"/>
                <w:szCs w:val="28"/>
              </w:rPr>
            </w:pPr>
            <w:r w:rsidRPr="00C8737C">
              <w:rPr>
                <w:sz w:val="28"/>
                <w:szCs w:val="28"/>
              </w:rPr>
              <w:t>Pseudomonas spp.</w:t>
            </w:r>
            <w:r w:rsidRPr="00C8737C">
              <w:rPr>
                <w:sz w:val="28"/>
                <w:szCs w:val="28"/>
                <w:vertAlign w:val="superscript"/>
              </w:rPr>
              <w:t>1</w:t>
            </w:r>
          </w:p>
        </w:tc>
        <w:tc>
          <w:tcPr>
            <w:tcW w:w="2930" w:type="dxa"/>
          </w:tcPr>
          <w:p w14:paraId="3C237646" w14:textId="22C067FC" w:rsidR="006F61A5" w:rsidRPr="00C8737C" w:rsidRDefault="006F61A5" w:rsidP="00C8737C">
            <w:pPr>
              <w:spacing w:after="0" w:line="259" w:lineRule="auto"/>
              <w:ind w:left="0" w:right="-25" w:firstLine="0"/>
              <w:jc w:val="center"/>
              <w:rPr>
                <w:sz w:val="28"/>
                <w:szCs w:val="28"/>
              </w:rPr>
            </w:pPr>
            <w:r w:rsidRPr="00C8737C">
              <w:rPr>
                <w:sz w:val="28"/>
                <w:szCs w:val="28"/>
              </w:rPr>
              <w:t>S ≤ 0.5 mg/L</w:t>
            </w:r>
          </w:p>
        </w:tc>
        <w:tc>
          <w:tcPr>
            <w:tcW w:w="2931" w:type="dxa"/>
          </w:tcPr>
          <w:p w14:paraId="377D39C4" w14:textId="435CE722" w:rsidR="006F61A5" w:rsidRPr="00C8737C" w:rsidRDefault="006F61A5" w:rsidP="00C8737C">
            <w:pPr>
              <w:spacing w:after="0" w:line="259" w:lineRule="auto"/>
              <w:ind w:left="0" w:right="-25" w:firstLine="0"/>
              <w:jc w:val="center"/>
              <w:rPr>
                <w:sz w:val="28"/>
                <w:szCs w:val="28"/>
              </w:rPr>
            </w:pPr>
            <w:r w:rsidRPr="00C8737C">
              <w:rPr>
                <w:sz w:val="28"/>
                <w:szCs w:val="28"/>
              </w:rPr>
              <w:t>R &gt; 0.5 mg/L</w:t>
            </w:r>
          </w:p>
        </w:tc>
      </w:tr>
      <w:tr w:rsidR="006F61A5" w14:paraId="6142A045" w14:textId="77777777" w:rsidTr="006F61A5">
        <w:tc>
          <w:tcPr>
            <w:tcW w:w="2930" w:type="dxa"/>
          </w:tcPr>
          <w:p w14:paraId="4773227D" w14:textId="171397AD" w:rsidR="006F61A5" w:rsidRPr="00C8737C" w:rsidRDefault="006F61A5">
            <w:pPr>
              <w:spacing w:after="0" w:line="259" w:lineRule="auto"/>
              <w:ind w:left="0" w:right="-25" w:firstLine="0"/>
              <w:rPr>
                <w:sz w:val="28"/>
                <w:szCs w:val="28"/>
              </w:rPr>
            </w:pPr>
            <w:r w:rsidRPr="00C8737C">
              <w:rPr>
                <w:sz w:val="28"/>
                <w:szCs w:val="28"/>
              </w:rPr>
              <w:t>Acinetobacter spp.</w:t>
            </w:r>
            <w:r w:rsidRPr="00C8737C">
              <w:rPr>
                <w:sz w:val="28"/>
                <w:szCs w:val="28"/>
                <w:vertAlign w:val="superscript"/>
              </w:rPr>
              <w:t>1</w:t>
            </w:r>
          </w:p>
        </w:tc>
        <w:tc>
          <w:tcPr>
            <w:tcW w:w="2930" w:type="dxa"/>
          </w:tcPr>
          <w:p w14:paraId="26FEFA1E" w14:textId="6A5A74AF" w:rsidR="006F61A5" w:rsidRPr="00C8737C" w:rsidRDefault="006F61A5" w:rsidP="00C8737C">
            <w:pPr>
              <w:spacing w:after="0" w:line="259" w:lineRule="auto"/>
              <w:ind w:left="0" w:right="-25" w:firstLine="0"/>
              <w:jc w:val="center"/>
              <w:rPr>
                <w:sz w:val="28"/>
                <w:szCs w:val="28"/>
              </w:rPr>
            </w:pPr>
            <w:r w:rsidRPr="00C8737C">
              <w:rPr>
                <w:sz w:val="28"/>
                <w:szCs w:val="28"/>
              </w:rPr>
              <w:t>S ≤ 1 mg/L</w:t>
            </w:r>
          </w:p>
        </w:tc>
        <w:tc>
          <w:tcPr>
            <w:tcW w:w="2931" w:type="dxa"/>
          </w:tcPr>
          <w:p w14:paraId="1ECE092C" w14:textId="16D246F4" w:rsidR="006F61A5" w:rsidRPr="00C8737C" w:rsidRDefault="006F61A5" w:rsidP="00C8737C">
            <w:pPr>
              <w:spacing w:after="0" w:line="259" w:lineRule="auto"/>
              <w:ind w:left="0" w:right="-25" w:firstLine="0"/>
              <w:jc w:val="center"/>
              <w:rPr>
                <w:sz w:val="28"/>
                <w:szCs w:val="28"/>
              </w:rPr>
            </w:pPr>
            <w:r w:rsidRPr="00C8737C">
              <w:rPr>
                <w:sz w:val="28"/>
                <w:szCs w:val="28"/>
              </w:rPr>
              <w:t>R &gt; 1 mg/L</w:t>
            </w:r>
          </w:p>
        </w:tc>
      </w:tr>
      <w:tr w:rsidR="006F61A5" w14:paraId="201D3BE5" w14:textId="77777777" w:rsidTr="006F61A5">
        <w:tc>
          <w:tcPr>
            <w:tcW w:w="2930" w:type="dxa"/>
          </w:tcPr>
          <w:p w14:paraId="540B5540" w14:textId="4E094311" w:rsidR="006F61A5" w:rsidRPr="00C8737C" w:rsidRDefault="006F61A5">
            <w:pPr>
              <w:spacing w:after="0" w:line="259" w:lineRule="auto"/>
              <w:ind w:left="0" w:right="-25" w:firstLine="0"/>
              <w:rPr>
                <w:sz w:val="28"/>
                <w:szCs w:val="28"/>
              </w:rPr>
            </w:pPr>
            <w:r w:rsidRPr="00C8737C">
              <w:rPr>
                <w:sz w:val="28"/>
                <w:szCs w:val="28"/>
              </w:rPr>
              <w:t>Staphylococcus spp.</w:t>
            </w:r>
            <w:r w:rsidRPr="00C8737C">
              <w:rPr>
                <w:sz w:val="28"/>
                <w:szCs w:val="28"/>
                <w:vertAlign w:val="superscript"/>
              </w:rPr>
              <w:t>1</w:t>
            </w:r>
          </w:p>
        </w:tc>
        <w:tc>
          <w:tcPr>
            <w:tcW w:w="2930" w:type="dxa"/>
          </w:tcPr>
          <w:p w14:paraId="51D25E74" w14:textId="51512D27" w:rsidR="006F61A5" w:rsidRPr="00C8737C" w:rsidRDefault="006F61A5" w:rsidP="00C8737C">
            <w:pPr>
              <w:tabs>
                <w:tab w:val="left" w:pos="1840"/>
              </w:tabs>
              <w:spacing w:after="0" w:line="259" w:lineRule="auto"/>
              <w:ind w:left="0" w:right="-25" w:firstLine="0"/>
              <w:jc w:val="center"/>
              <w:rPr>
                <w:sz w:val="28"/>
                <w:szCs w:val="28"/>
              </w:rPr>
            </w:pPr>
            <w:r w:rsidRPr="00C8737C">
              <w:rPr>
                <w:sz w:val="28"/>
                <w:szCs w:val="28"/>
              </w:rPr>
              <w:t>S ≤ 1 mg/L</w:t>
            </w:r>
          </w:p>
        </w:tc>
        <w:tc>
          <w:tcPr>
            <w:tcW w:w="2931" w:type="dxa"/>
          </w:tcPr>
          <w:p w14:paraId="0E7E58B1" w14:textId="5D5235C3" w:rsidR="006F61A5" w:rsidRPr="00C8737C" w:rsidRDefault="006F61A5" w:rsidP="00C8737C">
            <w:pPr>
              <w:spacing w:after="0" w:line="259" w:lineRule="auto"/>
              <w:ind w:left="0" w:right="-25" w:firstLine="0"/>
              <w:jc w:val="center"/>
              <w:rPr>
                <w:sz w:val="28"/>
                <w:szCs w:val="28"/>
              </w:rPr>
            </w:pPr>
            <w:r w:rsidRPr="00C8737C">
              <w:rPr>
                <w:sz w:val="28"/>
                <w:szCs w:val="28"/>
              </w:rPr>
              <w:t>R &gt; 1 mg/L</w:t>
            </w:r>
          </w:p>
        </w:tc>
      </w:tr>
      <w:tr w:rsidR="006F61A5" w14:paraId="5A6295FA" w14:textId="77777777" w:rsidTr="006F61A5">
        <w:tc>
          <w:tcPr>
            <w:tcW w:w="2930" w:type="dxa"/>
          </w:tcPr>
          <w:p w14:paraId="1C8F7F82" w14:textId="4F8B3464" w:rsidR="006F61A5" w:rsidRPr="00C8737C" w:rsidRDefault="006F61A5">
            <w:pPr>
              <w:spacing w:after="0" w:line="259" w:lineRule="auto"/>
              <w:ind w:left="0" w:right="-25" w:firstLine="0"/>
              <w:rPr>
                <w:sz w:val="28"/>
                <w:szCs w:val="28"/>
              </w:rPr>
            </w:pPr>
            <w:r w:rsidRPr="00C8737C">
              <w:rPr>
                <w:sz w:val="28"/>
                <w:szCs w:val="28"/>
              </w:rPr>
              <w:t>Haemophilus influenzae</w:t>
            </w:r>
          </w:p>
        </w:tc>
        <w:tc>
          <w:tcPr>
            <w:tcW w:w="2930" w:type="dxa"/>
          </w:tcPr>
          <w:p w14:paraId="481B645C" w14:textId="56A96073" w:rsidR="006F61A5" w:rsidRPr="00C8737C" w:rsidRDefault="006F61A5" w:rsidP="00C8737C">
            <w:pPr>
              <w:spacing w:after="0" w:line="259" w:lineRule="auto"/>
              <w:ind w:left="0" w:right="-25" w:firstLine="0"/>
              <w:jc w:val="center"/>
              <w:rPr>
                <w:sz w:val="28"/>
                <w:szCs w:val="28"/>
              </w:rPr>
            </w:pPr>
            <w:r w:rsidRPr="00C8737C">
              <w:rPr>
                <w:sz w:val="28"/>
                <w:szCs w:val="28"/>
              </w:rPr>
              <w:t>S ≤ 0.06 mg/L</w:t>
            </w:r>
          </w:p>
        </w:tc>
        <w:tc>
          <w:tcPr>
            <w:tcW w:w="2931" w:type="dxa"/>
          </w:tcPr>
          <w:p w14:paraId="5DE5F7DC" w14:textId="77444100" w:rsidR="006F61A5" w:rsidRPr="00C8737C" w:rsidRDefault="006F61A5" w:rsidP="00C8737C">
            <w:pPr>
              <w:spacing w:after="0" w:line="259" w:lineRule="auto"/>
              <w:ind w:left="0" w:right="-25" w:firstLine="0"/>
              <w:jc w:val="center"/>
              <w:rPr>
                <w:sz w:val="28"/>
                <w:szCs w:val="28"/>
              </w:rPr>
            </w:pPr>
            <w:r w:rsidRPr="00C8737C">
              <w:rPr>
                <w:sz w:val="28"/>
                <w:szCs w:val="28"/>
              </w:rPr>
              <w:t>R &gt; 0.06 mg/L</w:t>
            </w:r>
          </w:p>
        </w:tc>
      </w:tr>
      <w:tr w:rsidR="006F61A5" w14:paraId="0293294A" w14:textId="77777777" w:rsidTr="006F61A5">
        <w:tc>
          <w:tcPr>
            <w:tcW w:w="2930" w:type="dxa"/>
          </w:tcPr>
          <w:p w14:paraId="1320769C" w14:textId="5C02D60F" w:rsidR="006F61A5" w:rsidRPr="00C8737C" w:rsidRDefault="006F61A5">
            <w:pPr>
              <w:spacing w:after="0" w:line="259" w:lineRule="auto"/>
              <w:ind w:left="0" w:right="-25" w:firstLine="0"/>
              <w:rPr>
                <w:sz w:val="28"/>
                <w:szCs w:val="28"/>
              </w:rPr>
            </w:pPr>
            <w:r w:rsidRPr="00C8737C">
              <w:rPr>
                <w:sz w:val="28"/>
                <w:szCs w:val="28"/>
              </w:rPr>
              <w:t>Moraxella catarrhalis</w:t>
            </w:r>
          </w:p>
        </w:tc>
        <w:tc>
          <w:tcPr>
            <w:tcW w:w="2930" w:type="dxa"/>
          </w:tcPr>
          <w:p w14:paraId="5F72E987" w14:textId="10ED7C5A" w:rsidR="006F61A5" w:rsidRPr="00C8737C" w:rsidRDefault="006F61A5" w:rsidP="00C8737C">
            <w:pPr>
              <w:spacing w:after="0" w:line="259" w:lineRule="auto"/>
              <w:ind w:left="0" w:right="-25" w:firstLine="0"/>
              <w:jc w:val="center"/>
              <w:rPr>
                <w:sz w:val="28"/>
                <w:szCs w:val="28"/>
              </w:rPr>
            </w:pPr>
            <w:r w:rsidRPr="00C8737C">
              <w:rPr>
                <w:sz w:val="28"/>
                <w:szCs w:val="28"/>
              </w:rPr>
              <w:t>S ≤ 0.5 mg/L</w:t>
            </w:r>
          </w:p>
        </w:tc>
        <w:tc>
          <w:tcPr>
            <w:tcW w:w="2931" w:type="dxa"/>
          </w:tcPr>
          <w:p w14:paraId="5675DC59" w14:textId="5CF29AED" w:rsidR="006F61A5" w:rsidRPr="00C8737C" w:rsidRDefault="006F61A5" w:rsidP="00C8737C">
            <w:pPr>
              <w:spacing w:after="0" w:line="259" w:lineRule="auto"/>
              <w:ind w:left="0" w:right="-25" w:firstLine="0"/>
              <w:jc w:val="center"/>
              <w:rPr>
                <w:sz w:val="28"/>
                <w:szCs w:val="28"/>
              </w:rPr>
            </w:pPr>
            <w:r w:rsidRPr="00C8737C">
              <w:rPr>
                <w:sz w:val="28"/>
                <w:szCs w:val="28"/>
              </w:rPr>
              <w:t>R &gt; 0.5 mg/L</w:t>
            </w:r>
          </w:p>
        </w:tc>
      </w:tr>
      <w:tr w:rsidR="006F61A5" w14:paraId="31A9B47E" w14:textId="77777777" w:rsidTr="006F61A5">
        <w:tc>
          <w:tcPr>
            <w:tcW w:w="2930" w:type="dxa"/>
          </w:tcPr>
          <w:p w14:paraId="62A39F06" w14:textId="4F0BABDE" w:rsidR="006F61A5" w:rsidRPr="00C8737C" w:rsidRDefault="006F61A5">
            <w:pPr>
              <w:spacing w:after="0" w:line="259" w:lineRule="auto"/>
              <w:ind w:left="0" w:right="-25" w:firstLine="0"/>
              <w:rPr>
                <w:sz w:val="28"/>
                <w:szCs w:val="28"/>
              </w:rPr>
            </w:pPr>
            <w:r w:rsidRPr="00C8737C">
              <w:rPr>
                <w:sz w:val="28"/>
                <w:szCs w:val="28"/>
              </w:rPr>
              <w:t>Neisseria gonorrhoeae</w:t>
            </w:r>
          </w:p>
        </w:tc>
        <w:tc>
          <w:tcPr>
            <w:tcW w:w="2930" w:type="dxa"/>
          </w:tcPr>
          <w:p w14:paraId="3A188A4A" w14:textId="3F379F79" w:rsidR="006F61A5" w:rsidRPr="00C8737C" w:rsidRDefault="006F61A5" w:rsidP="00C8737C">
            <w:pPr>
              <w:spacing w:after="0" w:line="259" w:lineRule="auto"/>
              <w:ind w:left="0" w:right="-25" w:firstLine="0"/>
              <w:jc w:val="center"/>
              <w:rPr>
                <w:sz w:val="28"/>
                <w:szCs w:val="28"/>
              </w:rPr>
            </w:pPr>
            <w:r w:rsidRPr="00C8737C">
              <w:rPr>
                <w:sz w:val="28"/>
                <w:szCs w:val="28"/>
              </w:rPr>
              <w:t>S ≤ 0.03 mg/L</w:t>
            </w:r>
          </w:p>
        </w:tc>
        <w:tc>
          <w:tcPr>
            <w:tcW w:w="2931" w:type="dxa"/>
          </w:tcPr>
          <w:p w14:paraId="5A7E12F2" w14:textId="3704163A" w:rsidR="006F61A5" w:rsidRPr="00C8737C" w:rsidRDefault="006F61A5" w:rsidP="00C8737C">
            <w:pPr>
              <w:spacing w:after="0" w:line="259" w:lineRule="auto"/>
              <w:ind w:left="0" w:right="-25" w:firstLine="0"/>
              <w:jc w:val="center"/>
              <w:rPr>
                <w:sz w:val="28"/>
                <w:szCs w:val="28"/>
              </w:rPr>
            </w:pPr>
            <w:r w:rsidRPr="00C8737C">
              <w:rPr>
                <w:sz w:val="28"/>
                <w:szCs w:val="28"/>
              </w:rPr>
              <w:t>R &gt; 0.06 mg/L</w:t>
            </w:r>
          </w:p>
        </w:tc>
      </w:tr>
      <w:tr w:rsidR="006F61A5" w14:paraId="32DD4499" w14:textId="77777777" w:rsidTr="006F61A5">
        <w:tc>
          <w:tcPr>
            <w:tcW w:w="2930" w:type="dxa"/>
          </w:tcPr>
          <w:p w14:paraId="07D5CDE0" w14:textId="36986298" w:rsidR="006F61A5" w:rsidRPr="00C8737C" w:rsidRDefault="006F61A5">
            <w:pPr>
              <w:spacing w:after="0" w:line="259" w:lineRule="auto"/>
              <w:ind w:left="0" w:right="-25" w:firstLine="0"/>
              <w:rPr>
                <w:sz w:val="28"/>
                <w:szCs w:val="28"/>
              </w:rPr>
            </w:pPr>
            <w:r w:rsidRPr="00C8737C">
              <w:rPr>
                <w:sz w:val="28"/>
                <w:szCs w:val="28"/>
              </w:rPr>
              <w:t>Neisseria meningitidis</w:t>
            </w:r>
            <w:r w:rsidRPr="00C8737C">
              <w:rPr>
                <w:sz w:val="28"/>
                <w:szCs w:val="28"/>
                <w:vertAlign w:val="superscript"/>
              </w:rPr>
              <w:t>2</w:t>
            </w:r>
          </w:p>
        </w:tc>
        <w:tc>
          <w:tcPr>
            <w:tcW w:w="2930" w:type="dxa"/>
          </w:tcPr>
          <w:p w14:paraId="3047B490" w14:textId="0399C5E8" w:rsidR="006F61A5" w:rsidRPr="00C8737C" w:rsidRDefault="006F61A5" w:rsidP="00C8737C">
            <w:pPr>
              <w:spacing w:after="0" w:line="259" w:lineRule="auto"/>
              <w:ind w:left="0" w:right="-25" w:firstLine="0"/>
              <w:jc w:val="center"/>
              <w:rPr>
                <w:sz w:val="28"/>
                <w:szCs w:val="28"/>
              </w:rPr>
            </w:pPr>
            <w:r w:rsidRPr="00C8737C">
              <w:rPr>
                <w:sz w:val="28"/>
                <w:szCs w:val="28"/>
              </w:rPr>
              <w:t>S ≤ 0.03 mg/L</w:t>
            </w:r>
          </w:p>
        </w:tc>
        <w:tc>
          <w:tcPr>
            <w:tcW w:w="2931" w:type="dxa"/>
          </w:tcPr>
          <w:p w14:paraId="49E6B5E7" w14:textId="1CA80D65" w:rsidR="006F61A5" w:rsidRPr="00C8737C" w:rsidRDefault="006F61A5" w:rsidP="00C8737C">
            <w:pPr>
              <w:spacing w:after="0" w:line="259" w:lineRule="auto"/>
              <w:ind w:left="0" w:right="-25" w:firstLine="0"/>
              <w:jc w:val="center"/>
              <w:rPr>
                <w:sz w:val="28"/>
                <w:szCs w:val="28"/>
              </w:rPr>
            </w:pPr>
            <w:r w:rsidRPr="00C8737C">
              <w:rPr>
                <w:sz w:val="28"/>
                <w:szCs w:val="28"/>
              </w:rPr>
              <w:t>R &gt; 0.06 mg/L</w:t>
            </w:r>
          </w:p>
        </w:tc>
      </w:tr>
      <w:tr w:rsidR="006F61A5" w14:paraId="5E8A9C7E" w14:textId="77777777" w:rsidTr="006F61A5">
        <w:tc>
          <w:tcPr>
            <w:tcW w:w="2930" w:type="dxa"/>
          </w:tcPr>
          <w:p w14:paraId="2701D1F8" w14:textId="3C9221EF" w:rsidR="006F61A5" w:rsidRPr="00C8737C" w:rsidRDefault="00C8737C">
            <w:pPr>
              <w:spacing w:after="0" w:line="259" w:lineRule="auto"/>
              <w:ind w:left="0" w:right="-25" w:firstLine="0"/>
              <w:rPr>
                <w:sz w:val="28"/>
                <w:szCs w:val="28"/>
              </w:rPr>
            </w:pPr>
            <w:r w:rsidRPr="00C8737C">
              <w:rPr>
                <w:sz w:val="28"/>
                <w:szCs w:val="28"/>
              </w:rPr>
              <w:t>Non-species-related breakpoints</w:t>
            </w:r>
          </w:p>
        </w:tc>
        <w:tc>
          <w:tcPr>
            <w:tcW w:w="2930" w:type="dxa"/>
          </w:tcPr>
          <w:p w14:paraId="0BE0D37D" w14:textId="2E083682" w:rsidR="006F61A5" w:rsidRPr="00C8737C" w:rsidRDefault="00C8737C" w:rsidP="00C8737C">
            <w:pPr>
              <w:spacing w:after="0" w:line="259" w:lineRule="auto"/>
              <w:ind w:left="0" w:right="-25" w:firstLine="0"/>
              <w:jc w:val="center"/>
              <w:rPr>
                <w:sz w:val="28"/>
                <w:szCs w:val="28"/>
              </w:rPr>
            </w:pPr>
            <w:r w:rsidRPr="00C8737C">
              <w:rPr>
                <w:sz w:val="28"/>
                <w:szCs w:val="28"/>
              </w:rPr>
              <w:t>S ≤ 0.25 mg/L</w:t>
            </w:r>
          </w:p>
        </w:tc>
        <w:tc>
          <w:tcPr>
            <w:tcW w:w="2931" w:type="dxa"/>
          </w:tcPr>
          <w:p w14:paraId="4B1E2552" w14:textId="76D334EC" w:rsidR="006F61A5" w:rsidRPr="00C8737C" w:rsidRDefault="00C8737C" w:rsidP="00C8737C">
            <w:pPr>
              <w:spacing w:after="0" w:line="259" w:lineRule="auto"/>
              <w:ind w:left="0" w:right="-25" w:firstLine="0"/>
              <w:jc w:val="center"/>
              <w:rPr>
                <w:sz w:val="28"/>
                <w:szCs w:val="28"/>
              </w:rPr>
            </w:pPr>
            <w:r w:rsidRPr="00C8737C">
              <w:rPr>
                <w:sz w:val="28"/>
                <w:szCs w:val="28"/>
              </w:rPr>
              <w:t>R &gt; 0.5 mg/L</w:t>
            </w:r>
          </w:p>
        </w:tc>
      </w:tr>
    </w:tbl>
    <w:p w14:paraId="0DDAA081" w14:textId="77777777" w:rsidR="00C8737C" w:rsidRPr="00C8737C" w:rsidRDefault="00C8737C" w:rsidP="00C8737C">
      <w:pPr>
        <w:spacing w:before="240" w:after="0" w:line="259" w:lineRule="auto"/>
        <w:ind w:left="-90" w:right="-25" w:firstLine="0"/>
        <w:rPr>
          <w:sz w:val="28"/>
          <w:szCs w:val="28"/>
        </w:rPr>
      </w:pPr>
      <w:r w:rsidRPr="00C8737C">
        <w:rPr>
          <w:sz w:val="28"/>
          <w:szCs w:val="28"/>
        </w:rPr>
        <w:t>1 Breakpoints are based on high dose therapy (0.4 g x 3 i.v.)</w:t>
      </w:r>
    </w:p>
    <w:p w14:paraId="6A75D1B1" w14:textId="174C2B57" w:rsidR="00AE0FAF" w:rsidRDefault="00C8737C" w:rsidP="00C8737C">
      <w:pPr>
        <w:spacing w:before="240" w:after="0" w:line="259" w:lineRule="auto"/>
        <w:ind w:left="-90" w:right="-25" w:firstLine="0"/>
        <w:rPr>
          <w:sz w:val="28"/>
          <w:szCs w:val="28"/>
        </w:rPr>
      </w:pPr>
      <w:r w:rsidRPr="00C8737C">
        <w:rPr>
          <w:sz w:val="28"/>
          <w:szCs w:val="28"/>
        </w:rPr>
        <w:t>2 Breakpoints apply only to use in the prophylaxis of meningococcal disease</w:t>
      </w:r>
    </w:p>
    <w:p w14:paraId="3EF42384" w14:textId="77777777" w:rsidR="00C8737C" w:rsidRDefault="00C8737C" w:rsidP="00C8737C">
      <w:pPr>
        <w:spacing w:before="240" w:after="0" w:line="360" w:lineRule="auto"/>
        <w:ind w:left="-90" w:right="-25" w:firstLine="0"/>
        <w:jc w:val="thaiDistribute"/>
        <w:rPr>
          <w:sz w:val="28"/>
          <w:szCs w:val="28"/>
        </w:rPr>
      </w:pPr>
      <w:r w:rsidRPr="00C8737C">
        <w:rPr>
          <w:sz w:val="28"/>
          <w:szCs w:val="28"/>
        </w:rPr>
        <w:t xml:space="preserve">The prevalence of acquired resistance may vary geographically and with time for selected species and local information on resistance is desirable, particularly </w:t>
      </w:r>
      <w:r w:rsidRPr="00C8737C">
        <w:rPr>
          <w:sz w:val="28"/>
          <w:szCs w:val="28"/>
        </w:rPr>
        <w:lastRenderedPageBreak/>
        <w:t>when treating severe infections. As necessary, expert advice should be sought when the local prevalence of resistance is such that the utility of the agent in at least some types of infections is questionable.</w:t>
      </w:r>
    </w:p>
    <w:p w14:paraId="601AF26D" w14:textId="066A816F" w:rsidR="00AE0FAF" w:rsidRPr="00C8737C" w:rsidRDefault="00000000" w:rsidP="00C8737C">
      <w:pPr>
        <w:spacing w:before="240" w:after="240" w:line="360" w:lineRule="auto"/>
        <w:ind w:left="-91" w:right="-23" w:firstLine="0"/>
        <w:jc w:val="thaiDistribute"/>
        <w:rPr>
          <w:sz w:val="28"/>
          <w:szCs w:val="28"/>
        </w:rPr>
      </w:pPr>
      <w:r w:rsidRPr="00C8737C">
        <w:rPr>
          <w:sz w:val="28"/>
          <w:szCs w:val="32"/>
        </w:rPr>
        <w:t>Groupings</w:t>
      </w:r>
      <w:r w:rsidRPr="00C8737C">
        <w:rPr>
          <w:sz w:val="28"/>
          <w:szCs w:val="32"/>
        </w:rPr>
        <w:tab/>
        <w:t>of</w:t>
      </w:r>
      <w:r w:rsidRPr="00C8737C">
        <w:rPr>
          <w:sz w:val="28"/>
          <w:szCs w:val="32"/>
        </w:rPr>
        <w:tab/>
        <w:t>relevant</w:t>
      </w:r>
      <w:r w:rsidRPr="00C8737C">
        <w:rPr>
          <w:sz w:val="28"/>
          <w:szCs w:val="32"/>
        </w:rPr>
        <w:tab/>
        <w:t>species</w:t>
      </w:r>
      <w:r w:rsidRPr="00C8737C">
        <w:rPr>
          <w:sz w:val="28"/>
          <w:szCs w:val="32"/>
        </w:rPr>
        <w:tab/>
        <w:t>according</w:t>
      </w:r>
      <w:r w:rsidRPr="00C8737C">
        <w:rPr>
          <w:sz w:val="28"/>
          <w:szCs w:val="32"/>
        </w:rPr>
        <w:tab/>
        <w:t>to</w:t>
      </w:r>
      <w:r w:rsidRPr="00C8737C">
        <w:rPr>
          <w:sz w:val="28"/>
          <w:szCs w:val="32"/>
        </w:rPr>
        <w:tab/>
      </w:r>
      <w:r w:rsidRPr="00C8737C">
        <w:rPr>
          <w:color w:val="FF0000"/>
          <w:sz w:val="28"/>
          <w:szCs w:val="32"/>
        </w:rPr>
        <w:t>&lt;GENERIC</w:t>
      </w:r>
      <w:r w:rsidRPr="00C8737C">
        <w:rPr>
          <w:color w:val="FF0000"/>
          <w:sz w:val="28"/>
          <w:szCs w:val="32"/>
        </w:rPr>
        <w:tab/>
        <w:t>NAME&gt;</w:t>
      </w:r>
      <w:r w:rsidRPr="00C8737C">
        <w:rPr>
          <w:color w:val="FF0000"/>
          <w:sz w:val="28"/>
          <w:szCs w:val="32"/>
        </w:rPr>
        <w:tab/>
      </w:r>
      <w:r w:rsidRPr="00C8737C">
        <w:rPr>
          <w:sz w:val="28"/>
          <w:szCs w:val="32"/>
        </w:rPr>
        <w:t>susceptibility (for</w:t>
      </w:r>
      <w:r w:rsidR="00C8737C" w:rsidRPr="00C8737C">
        <w:rPr>
          <w:sz w:val="24"/>
          <w:szCs w:val="32"/>
        </w:rPr>
        <w:t xml:space="preserve"> </w:t>
      </w:r>
      <w:r w:rsidRPr="00C8737C">
        <w:rPr>
          <w:sz w:val="28"/>
          <w:szCs w:val="32"/>
        </w:rPr>
        <w:t>Streptococcus species see section 4.4)</w:t>
      </w:r>
    </w:p>
    <w:tbl>
      <w:tblPr>
        <w:tblStyle w:val="TableGrid"/>
        <w:tblW w:w="8460" w:type="dxa"/>
        <w:tblInd w:w="7" w:type="dxa"/>
        <w:tblCellMar>
          <w:top w:w="128" w:type="dxa"/>
          <w:left w:w="83" w:type="dxa"/>
          <w:bottom w:w="13" w:type="dxa"/>
          <w:right w:w="115" w:type="dxa"/>
        </w:tblCellMar>
        <w:tblLook w:val="04A0" w:firstRow="1" w:lastRow="0" w:firstColumn="1" w:lastColumn="0" w:noHBand="0" w:noVBand="1"/>
      </w:tblPr>
      <w:tblGrid>
        <w:gridCol w:w="8460"/>
      </w:tblGrid>
      <w:tr w:rsidR="00AE0FAF" w14:paraId="34DC48D2" w14:textId="77777777" w:rsidTr="00C8737C">
        <w:trPr>
          <w:trHeight w:val="360"/>
        </w:trPr>
        <w:tc>
          <w:tcPr>
            <w:tcW w:w="8460" w:type="dxa"/>
            <w:tcBorders>
              <w:top w:val="single" w:sz="8" w:space="0" w:color="000000"/>
              <w:left w:val="single" w:sz="8" w:space="0" w:color="000000"/>
              <w:bottom w:val="single" w:sz="8" w:space="0" w:color="000000"/>
              <w:right w:val="single" w:sz="8" w:space="0" w:color="000000"/>
            </w:tcBorders>
          </w:tcPr>
          <w:p w14:paraId="04D32FC5" w14:textId="77777777" w:rsidR="00AE0FAF" w:rsidRDefault="00000000" w:rsidP="00C8737C">
            <w:pPr>
              <w:spacing w:after="0" w:line="259" w:lineRule="auto"/>
              <w:ind w:left="0" w:firstLine="0"/>
            </w:pPr>
            <w:r>
              <w:rPr>
                <w:b/>
                <w:sz w:val="24"/>
              </w:rPr>
              <w:t>COMMONLY SUSCEPTIBLE SPECIES</w:t>
            </w:r>
          </w:p>
        </w:tc>
      </w:tr>
      <w:tr w:rsidR="00AE0FAF" w14:paraId="1D22D71A" w14:textId="77777777" w:rsidTr="00C8737C">
        <w:trPr>
          <w:trHeight w:val="255"/>
        </w:trPr>
        <w:tc>
          <w:tcPr>
            <w:tcW w:w="8460" w:type="dxa"/>
            <w:tcBorders>
              <w:top w:val="single" w:sz="8" w:space="0" w:color="000000"/>
              <w:left w:val="single" w:sz="8" w:space="0" w:color="000000"/>
              <w:bottom w:val="single" w:sz="8" w:space="0" w:color="000000"/>
              <w:right w:val="single" w:sz="8" w:space="0" w:color="000000"/>
            </w:tcBorders>
          </w:tcPr>
          <w:p w14:paraId="01E2793C" w14:textId="77777777" w:rsidR="00AE0FAF" w:rsidRDefault="00000000" w:rsidP="00C8737C">
            <w:pPr>
              <w:spacing w:after="0" w:line="360" w:lineRule="auto"/>
              <w:ind w:left="0" w:firstLine="0"/>
            </w:pPr>
            <w:r>
              <w:rPr>
                <w:sz w:val="24"/>
                <w:u w:val="single" w:color="000000"/>
              </w:rPr>
              <w:t>Aerobic Gram-positive micro-organisms</w:t>
            </w:r>
          </w:p>
          <w:p w14:paraId="68519736" w14:textId="77777777" w:rsidR="00AE0FAF" w:rsidRDefault="00000000" w:rsidP="00C8737C">
            <w:pPr>
              <w:spacing w:after="0" w:line="360" w:lineRule="auto"/>
              <w:ind w:left="0" w:firstLine="0"/>
            </w:pPr>
            <w:r>
              <w:rPr>
                <w:i/>
                <w:sz w:val="24"/>
              </w:rPr>
              <w:t xml:space="preserve">Bacillus anthracis </w:t>
            </w:r>
            <w:r>
              <w:rPr>
                <w:sz w:val="24"/>
              </w:rPr>
              <w:t>(1)</w:t>
            </w:r>
          </w:p>
        </w:tc>
      </w:tr>
      <w:tr w:rsidR="00AE0FAF" w14:paraId="5A9BA13F" w14:textId="77777777" w:rsidTr="00C8737C">
        <w:trPr>
          <w:trHeight w:val="3280"/>
        </w:trPr>
        <w:tc>
          <w:tcPr>
            <w:tcW w:w="8460" w:type="dxa"/>
            <w:tcBorders>
              <w:top w:val="single" w:sz="8" w:space="0" w:color="000000"/>
              <w:left w:val="single" w:sz="8" w:space="0" w:color="000000"/>
              <w:bottom w:val="single" w:sz="8" w:space="0" w:color="000000"/>
              <w:right w:val="single" w:sz="8" w:space="0" w:color="000000"/>
            </w:tcBorders>
          </w:tcPr>
          <w:p w14:paraId="5CA2BAD0" w14:textId="77777777" w:rsidR="00AE0FAF" w:rsidRDefault="00000000" w:rsidP="00C8737C">
            <w:pPr>
              <w:spacing w:after="0" w:line="360" w:lineRule="auto"/>
              <w:ind w:left="0" w:firstLine="0"/>
            </w:pPr>
            <w:r>
              <w:rPr>
                <w:sz w:val="24"/>
                <w:u w:val="single" w:color="000000"/>
              </w:rPr>
              <w:t>Aerobic Gram-negative micro-organisms</w:t>
            </w:r>
          </w:p>
          <w:p w14:paraId="69E5AA82" w14:textId="77777777" w:rsidR="00AE0FAF" w:rsidRDefault="00000000" w:rsidP="00C8737C">
            <w:pPr>
              <w:spacing w:after="33" w:line="360" w:lineRule="auto"/>
              <w:ind w:left="0" w:firstLine="0"/>
            </w:pPr>
            <w:r>
              <w:rPr>
                <w:i/>
                <w:sz w:val="24"/>
              </w:rPr>
              <w:t xml:space="preserve">Aeromonas </w:t>
            </w:r>
            <w:r>
              <w:rPr>
                <w:sz w:val="24"/>
              </w:rPr>
              <w:t>spp.</w:t>
            </w:r>
          </w:p>
          <w:p w14:paraId="2ACB1B1D" w14:textId="77777777" w:rsidR="00AE0FAF" w:rsidRDefault="00000000" w:rsidP="00C8737C">
            <w:pPr>
              <w:spacing w:after="33" w:line="360" w:lineRule="auto"/>
              <w:ind w:left="0" w:firstLine="0"/>
            </w:pPr>
            <w:r>
              <w:rPr>
                <w:i/>
                <w:sz w:val="24"/>
              </w:rPr>
              <w:t xml:space="preserve">Brucella </w:t>
            </w:r>
            <w:r>
              <w:rPr>
                <w:sz w:val="24"/>
              </w:rPr>
              <w:t>spp.</w:t>
            </w:r>
          </w:p>
          <w:p w14:paraId="4CDBF1DD" w14:textId="77777777" w:rsidR="00AE0FAF" w:rsidRDefault="00000000" w:rsidP="00C8737C">
            <w:pPr>
              <w:spacing w:after="33" w:line="360" w:lineRule="auto"/>
              <w:ind w:left="0" w:firstLine="0"/>
            </w:pPr>
            <w:r>
              <w:rPr>
                <w:i/>
                <w:sz w:val="24"/>
              </w:rPr>
              <w:t>Citrobacter koseri</w:t>
            </w:r>
          </w:p>
          <w:p w14:paraId="2CDA8C52" w14:textId="77777777" w:rsidR="00AE0FAF" w:rsidRDefault="00000000" w:rsidP="00C8737C">
            <w:pPr>
              <w:spacing w:after="31" w:line="360" w:lineRule="auto"/>
              <w:ind w:left="0" w:firstLine="0"/>
            </w:pPr>
            <w:r>
              <w:rPr>
                <w:i/>
                <w:sz w:val="24"/>
              </w:rPr>
              <w:t>Francisella tularensis</w:t>
            </w:r>
          </w:p>
          <w:p w14:paraId="5745E1E1" w14:textId="77777777" w:rsidR="00AE0FAF" w:rsidRDefault="00000000" w:rsidP="00C8737C">
            <w:pPr>
              <w:spacing w:after="4" w:line="360" w:lineRule="auto"/>
              <w:ind w:left="0" w:right="4931" w:firstLine="0"/>
            </w:pPr>
            <w:r>
              <w:rPr>
                <w:i/>
                <w:sz w:val="24"/>
              </w:rPr>
              <w:t xml:space="preserve">Haemophilus ducreyi Haemophilus influenzae* Legionella </w:t>
            </w:r>
            <w:r>
              <w:rPr>
                <w:sz w:val="24"/>
              </w:rPr>
              <w:t>spp.</w:t>
            </w:r>
          </w:p>
          <w:p w14:paraId="2EF76881" w14:textId="77777777" w:rsidR="00AE0FAF" w:rsidRDefault="00000000" w:rsidP="00C8737C">
            <w:pPr>
              <w:spacing w:after="33" w:line="360" w:lineRule="auto"/>
              <w:ind w:left="0" w:firstLine="0"/>
            </w:pPr>
            <w:r>
              <w:rPr>
                <w:i/>
                <w:sz w:val="24"/>
              </w:rPr>
              <w:t>Moraxella catarrhalis*</w:t>
            </w:r>
          </w:p>
          <w:p w14:paraId="2F4D4546" w14:textId="77777777" w:rsidR="00AE0FAF" w:rsidRDefault="00000000" w:rsidP="00C8737C">
            <w:pPr>
              <w:spacing w:after="0" w:line="360" w:lineRule="auto"/>
              <w:ind w:left="0" w:firstLine="0"/>
              <w:rPr>
                <w:i/>
                <w:sz w:val="24"/>
              </w:rPr>
            </w:pPr>
            <w:r>
              <w:rPr>
                <w:i/>
                <w:sz w:val="24"/>
              </w:rPr>
              <w:t>Neisseria meningitidis</w:t>
            </w:r>
          </w:p>
          <w:p w14:paraId="0CAF967F" w14:textId="77777777" w:rsidR="00C8737C" w:rsidRDefault="00C8737C" w:rsidP="00C8737C">
            <w:pPr>
              <w:spacing w:after="0" w:line="360" w:lineRule="auto"/>
              <w:ind w:left="0" w:right="5826" w:firstLine="0"/>
              <w:rPr>
                <w:i/>
                <w:sz w:val="24"/>
              </w:rPr>
            </w:pPr>
            <w:r>
              <w:rPr>
                <w:i/>
                <w:sz w:val="24"/>
              </w:rPr>
              <w:t xml:space="preserve">Pasteurella </w:t>
            </w:r>
            <w:r>
              <w:rPr>
                <w:sz w:val="24"/>
              </w:rPr>
              <w:t xml:space="preserve">spp. </w:t>
            </w:r>
            <w:r>
              <w:rPr>
                <w:i/>
                <w:sz w:val="24"/>
              </w:rPr>
              <w:t xml:space="preserve">Salmonella </w:t>
            </w:r>
            <w:r>
              <w:rPr>
                <w:sz w:val="24"/>
              </w:rPr>
              <w:t>spp.</w:t>
            </w:r>
            <w:r>
              <w:rPr>
                <w:i/>
                <w:sz w:val="24"/>
              </w:rPr>
              <w:t xml:space="preserve">* Shigella </w:t>
            </w:r>
            <w:r>
              <w:rPr>
                <w:sz w:val="24"/>
              </w:rPr>
              <w:t xml:space="preserve">spp. </w:t>
            </w:r>
            <w:r>
              <w:rPr>
                <w:i/>
                <w:sz w:val="24"/>
              </w:rPr>
              <w:t xml:space="preserve">* </w:t>
            </w:r>
          </w:p>
          <w:p w14:paraId="42674D72" w14:textId="5CF3B690" w:rsidR="00C8737C" w:rsidRDefault="00C8737C" w:rsidP="00C8737C">
            <w:pPr>
              <w:spacing w:after="0" w:line="360" w:lineRule="auto"/>
              <w:ind w:left="0" w:right="5826" w:firstLine="0"/>
            </w:pPr>
            <w:r>
              <w:rPr>
                <w:i/>
                <w:sz w:val="24"/>
              </w:rPr>
              <w:t>Vibrio</w:t>
            </w:r>
            <w:r>
              <w:rPr>
                <w:i/>
                <w:sz w:val="24"/>
              </w:rPr>
              <w:t xml:space="preserve"> </w:t>
            </w:r>
            <w:r>
              <w:rPr>
                <w:sz w:val="24"/>
              </w:rPr>
              <w:t>spp.</w:t>
            </w:r>
          </w:p>
          <w:p w14:paraId="6470E8B0" w14:textId="1012DF0A" w:rsidR="00C8737C" w:rsidRDefault="00C8737C" w:rsidP="00C8737C">
            <w:pPr>
              <w:spacing w:after="0" w:line="360" w:lineRule="auto"/>
              <w:ind w:left="0" w:firstLine="0"/>
            </w:pPr>
            <w:r>
              <w:rPr>
                <w:i/>
                <w:sz w:val="24"/>
              </w:rPr>
              <w:t>Yersinia pestis</w:t>
            </w:r>
          </w:p>
        </w:tc>
      </w:tr>
      <w:tr w:rsidR="00C8737C" w14:paraId="1C61FBA0" w14:textId="77777777" w:rsidTr="00C8737C">
        <w:trPr>
          <w:trHeight w:val="987"/>
        </w:trPr>
        <w:tc>
          <w:tcPr>
            <w:tcW w:w="8460" w:type="dxa"/>
            <w:tcBorders>
              <w:top w:val="single" w:sz="8" w:space="0" w:color="000000"/>
              <w:left w:val="single" w:sz="8" w:space="0" w:color="000000"/>
              <w:bottom w:val="single" w:sz="8" w:space="0" w:color="000000"/>
              <w:right w:val="single" w:sz="8" w:space="0" w:color="000000"/>
            </w:tcBorders>
          </w:tcPr>
          <w:p w14:paraId="58FB3B5A" w14:textId="77777777" w:rsidR="00C8737C" w:rsidRDefault="00C8737C" w:rsidP="00C8737C">
            <w:pPr>
              <w:spacing w:after="0" w:line="360" w:lineRule="auto"/>
              <w:ind w:left="0" w:firstLine="0"/>
            </w:pPr>
            <w:r>
              <w:rPr>
                <w:sz w:val="24"/>
                <w:u w:val="single" w:color="000000"/>
              </w:rPr>
              <w:t>Anaerobic micro-organisms</w:t>
            </w:r>
          </w:p>
          <w:p w14:paraId="717B25B1" w14:textId="3920C59C" w:rsidR="00C8737C" w:rsidRDefault="00C8737C" w:rsidP="00C8737C">
            <w:pPr>
              <w:spacing w:after="0" w:line="360" w:lineRule="auto"/>
              <w:ind w:left="0" w:firstLine="0"/>
              <w:rPr>
                <w:sz w:val="24"/>
                <w:u w:val="single" w:color="000000"/>
              </w:rPr>
            </w:pPr>
            <w:r>
              <w:rPr>
                <w:i/>
                <w:sz w:val="24"/>
              </w:rPr>
              <w:t>Mobiluncus</w:t>
            </w:r>
          </w:p>
        </w:tc>
      </w:tr>
      <w:tr w:rsidR="00C8737C" w14:paraId="49F02FC6" w14:textId="77777777" w:rsidTr="00C8737C">
        <w:trPr>
          <w:trHeight w:val="2120"/>
        </w:trPr>
        <w:tc>
          <w:tcPr>
            <w:tcW w:w="8460" w:type="dxa"/>
            <w:tcBorders>
              <w:top w:val="single" w:sz="8" w:space="0" w:color="000000"/>
              <w:left w:val="single" w:sz="8" w:space="0" w:color="000000"/>
              <w:bottom w:val="single" w:sz="8" w:space="0" w:color="000000"/>
              <w:right w:val="single" w:sz="8" w:space="0" w:color="000000"/>
            </w:tcBorders>
          </w:tcPr>
          <w:p w14:paraId="11502362" w14:textId="77777777" w:rsidR="00C8737C" w:rsidRPr="00C8737C" w:rsidRDefault="00C8737C" w:rsidP="00C8737C">
            <w:pPr>
              <w:spacing w:after="0" w:line="360" w:lineRule="auto"/>
              <w:ind w:left="0" w:firstLine="0"/>
              <w:rPr>
                <w:szCs w:val="28"/>
              </w:rPr>
            </w:pPr>
            <w:r w:rsidRPr="00C8737C">
              <w:rPr>
                <w:sz w:val="24"/>
                <w:szCs w:val="28"/>
                <w:u w:val="single" w:color="000000"/>
              </w:rPr>
              <w:lastRenderedPageBreak/>
              <w:t>Other micro-organisms</w:t>
            </w:r>
          </w:p>
          <w:p w14:paraId="4A6A1EB9" w14:textId="77777777" w:rsidR="00C8737C" w:rsidRPr="00C8737C" w:rsidRDefault="00C8737C" w:rsidP="00C8737C">
            <w:pPr>
              <w:spacing w:after="33" w:line="360" w:lineRule="auto"/>
              <w:ind w:left="0" w:firstLine="0"/>
              <w:rPr>
                <w:szCs w:val="28"/>
              </w:rPr>
            </w:pPr>
            <w:r w:rsidRPr="00C8737C">
              <w:rPr>
                <w:i/>
                <w:sz w:val="24"/>
                <w:szCs w:val="28"/>
              </w:rPr>
              <w:t xml:space="preserve">Chlamydia trachomatis </w:t>
            </w:r>
            <w:r w:rsidRPr="00C8737C">
              <w:rPr>
                <w:sz w:val="24"/>
                <w:szCs w:val="28"/>
              </w:rPr>
              <w:t>($)</w:t>
            </w:r>
          </w:p>
          <w:p w14:paraId="64297AEB" w14:textId="77777777" w:rsidR="00C8737C" w:rsidRPr="00C8737C" w:rsidRDefault="00C8737C" w:rsidP="00C8737C">
            <w:pPr>
              <w:spacing w:after="33" w:line="360" w:lineRule="auto"/>
              <w:ind w:left="0" w:firstLine="0"/>
              <w:rPr>
                <w:szCs w:val="28"/>
              </w:rPr>
            </w:pPr>
            <w:r w:rsidRPr="00C8737C">
              <w:rPr>
                <w:i/>
                <w:sz w:val="24"/>
                <w:szCs w:val="28"/>
              </w:rPr>
              <w:t xml:space="preserve">Chlamydia pneumoniae </w:t>
            </w:r>
            <w:r w:rsidRPr="00C8737C">
              <w:rPr>
                <w:sz w:val="24"/>
                <w:szCs w:val="28"/>
              </w:rPr>
              <w:t>($)</w:t>
            </w:r>
          </w:p>
          <w:p w14:paraId="265D6FCD" w14:textId="77777777" w:rsidR="00C8737C" w:rsidRPr="00C8737C" w:rsidRDefault="00C8737C" w:rsidP="00C8737C">
            <w:pPr>
              <w:spacing w:after="33" w:line="360" w:lineRule="auto"/>
              <w:ind w:left="0" w:firstLine="0"/>
              <w:rPr>
                <w:szCs w:val="28"/>
              </w:rPr>
            </w:pPr>
            <w:r w:rsidRPr="00C8737C">
              <w:rPr>
                <w:i/>
                <w:sz w:val="24"/>
                <w:szCs w:val="28"/>
              </w:rPr>
              <w:t xml:space="preserve">Mycoplasma hominis </w:t>
            </w:r>
            <w:r w:rsidRPr="00C8737C">
              <w:rPr>
                <w:sz w:val="24"/>
                <w:szCs w:val="28"/>
              </w:rPr>
              <w:t>($)</w:t>
            </w:r>
          </w:p>
          <w:p w14:paraId="13D0BD05" w14:textId="6996CA8F" w:rsidR="00C8737C" w:rsidRDefault="00C8737C" w:rsidP="00C8737C">
            <w:pPr>
              <w:spacing w:after="0" w:line="360" w:lineRule="auto"/>
              <w:ind w:left="0" w:firstLine="0"/>
              <w:rPr>
                <w:sz w:val="24"/>
                <w:u w:val="single" w:color="000000"/>
              </w:rPr>
            </w:pPr>
            <w:r w:rsidRPr="00C8737C">
              <w:rPr>
                <w:i/>
                <w:sz w:val="24"/>
                <w:szCs w:val="28"/>
              </w:rPr>
              <w:t xml:space="preserve">Mycoplasma pneumoniae </w:t>
            </w:r>
            <w:r w:rsidRPr="00C8737C">
              <w:rPr>
                <w:sz w:val="24"/>
                <w:szCs w:val="28"/>
              </w:rPr>
              <w:t>($)</w:t>
            </w:r>
          </w:p>
        </w:tc>
      </w:tr>
      <w:tr w:rsidR="00C8737C" w14:paraId="046EF707" w14:textId="77777777" w:rsidTr="00C8737C">
        <w:trPr>
          <w:trHeight w:val="778"/>
        </w:trPr>
        <w:tc>
          <w:tcPr>
            <w:tcW w:w="8460" w:type="dxa"/>
            <w:tcBorders>
              <w:top w:val="single" w:sz="8" w:space="0" w:color="000000"/>
              <w:left w:val="single" w:sz="8" w:space="0" w:color="000000"/>
              <w:bottom w:val="single" w:sz="8" w:space="0" w:color="000000"/>
              <w:right w:val="single" w:sz="8" w:space="0" w:color="000000"/>
            </w:tcBorders>
          </w:tcPr>
          <w:p w14:paraId="2C791B77" w14:textId="77777777" w:rsidR="00C8737C" w:rsidRDefault="00C8737C" w:rsidP="00C8737C">
            <w:pPr>
              <w:spacing w:after="4" w:line="360" w:lineRule="auto"/>
              <w:ind w:left="0" w:firstLine="0"/>
            </w:pPr>
            <w:r>
              <w:rPr>
                <w:b/>
                <w:sz w:val="24"/>
              </w:rPr>
              <w:t>SPECIES FOR WHICH ACQUIRED RESISTANCE MAY BE A</w:t>
            </w:r>
          </w:p>
          <w:p w14:paraId="45EBDC4B" w14:textId="3D1F6F16" w:rsidR="00C8737C" w:rsidRPr="00C8737C" w:rsidRDefault="00C8737C" w:rsidP="00C8737C">
            <w:pPr>
              <w:spacing w:after="0" w:line="360" w:lineRule="auto"/>
              <w:ind w:left="0" w:firstLine="0"/>
              <w:rPr>
                <w:sz w:val="24"/>
                <w:szCs w:val="28"/>
                <w:u w:val="single" w:color="000000"/>
              </w:rPr>
            </w:pPr>
            <w:r>
              <w:rPr>
                <w:b/>
                <w:sz w:val="24"/>
              </w:rPr>
              <w:t>PROBLEM</w:t>
            </w:r>
          </w:p>
        </w:tc>
      </w:tr>
      <w:tr w:rsidR="00C8737C" w14:paraId="41B140F3" w14:textId="77777777" w:rsidTr="00C8737C">
        <w:trPr>
          <w:trHeight w:val="920"/>
        </w:trPr>
        <w:tc>
          <w:tcPr>
            <w:tcW w:w="8460" w:type="dxa"/>
            <w:tcBorders>
              <w:top w:val="single" w:sz="8" w:space="0" w:color="000000"/>
              <w:left w:val="single" w:sz="8" w:space="0" w:color="000000"/>
              <w:bottom w:val="single" w:sz="8" w:space="0" w:color="000000"/>
              <w:right w:val="single" w:sz="8" w:space="0" w:color="000000"/>
            </w:tcBorders>
          </w:tcPr>
          <w:p w14:paraId="24D3E7EA" w14:textId="77777777" w:rsidR="00C8737C" w:rsidRDefault="00C8737C" w:rsidP="00C8737C">
            <w:pPr>
              <w:spacing w:after="0" w:line="360" w:lineRule="auto"/>
              <w:ind w:left="0" w:firstLine="0"/>
            </w:pPr>
            <w:r>
              <w:rPr>
                <w:sz w:val="24"/>
                <w:u w:val="single" w:color="000000"/>
              </w:rPr>
              <w:t>Aerobic Gram-positive micro-organisms</w:t>
            </w:r>
          </w:p>
          <w:p w14:paraId="7074C150" w14:textId="77777777" w:rsidR="00C8737C" w:rsidRDefault="00C8737C" w:rsidP="00C8737C">
            <w:pPr>
              <w:spacing w:after="33" w:line="360" w:lineRule="auto"/>
              <w:ind w:left="0" w:firstLine="0"/>
            </w:pPr>
            <w:r>
              <w:rPr>
                <w:i/>
                <w:sz w:val="24"/>
              </w:rPr>
              <w:t xml:space="preserve">Enterococcus faecalis </w:t>
            </w:r>
            <w:r>
              <w:rPr>
                <w:sz w:val="24"/>
              </w:rPr>
              <w:t>($)</w:t>
            </w:r>
          </w:p>
          <w:p w14:paraId="204CE9C7" w14:textId="4A291AF0" w:rsidR="00C8737C" w:rsidRDefault="00C8737C" w:rsidP="00C8737C">
            <w:pPr>
              <w:spacing w:after="4" w:line="360" w:lineRule="auto"/>
              <w:ind w:left="0" w:firstLine="0"/>
              <w:rPr>
                <w:b/>
                <w:sz w:val="24"/>
              </w:rPr>
            </w:pPr>
            <w:r>
              <w:rPr>
                <w:i/>
                <w:sz w:val="24"/>
              </w:rPr>
              <w:t xml:space="preserve">Staphylococcus </w:t>
            </w:r>
            <w:r>
              <w:rPr>
                <w:sz w:val="24"/>
              </w:rPr>
              <w:t>spp. *(2)</w:t>
            </w:r>
          </w:p>
        </w:tc>
      </w:tr>
      <w:tr w:rsidR="00C8737C" w14:paraId="229A962D" w14:textId="77777777" w:rsidTr="00C8737C">
        <w:trPr>
          <w:trHeight w:val="3280"/>
        </w:trPr>
        <w:tc>
          <w:tcPr>
            <w:tcW w:w="8460" w:type="dxa"/>
            <w:tcBorders>
              <w:top w:val="single" w:sz="8" w:space="0" w:color="000000"/>
              <w:left w:val="single" w:sz="8" w:space="0" w:color="000000"/>
              <w:bottom w:val="single" w:sz="8" w:space="0" w:color="000000"/>
              <w:right w:val="single" w:sz="8" w:space="0" w:color="000000"/>
            </w:tcBorders>
          </w:tcPr>
          <w:p w14:paraId="7DA11120" w14:textId="77777777" w:rsidR="00C8737C" w:rsidRDefault="00C8737C" w:rsidP="00C8737C">
            <w:pPr>
              <w:spacing w:after="0" w:line="360" w:lineRule="auto"/>
              <w:ind w:left="0" w:firstLine="0"/>
            </w:pPr>
            <w:r>
              <w:rPr>
                <w:sz w:val="24"/>
                <w:u w:val="single" w:color="000000"/>
              </w:rPr>
              <w:t>Aerobic Gram-negative micro-organisms</w:t>
            </w:r>
          </w:p>
          <w:p w14:paraId="271AE3C6" w14:textId="77777777" w:rsidR="00C8737C" w:rsidRDefault="00C8737C" w:rsidP="00C8737C">
            <w:pPr>
              <w:spacing w:after="33" w:line="360" w:lineRule="auto"/>
              <w:ind w:left="0" w:firstLine="0"/>
            </w:pPr>
            <w:r>
              <w:rPr>
                <w:i/>
                <w:sz w:val="24"/>
              </w:rPr>
              <w:t>Acinetobacter baumannii+</w:t>
            </w:r>
          </w:p>
          <w:p w14:paraId="4DA0F307" w14:textId="77777777" w:rsidR="00C8737C" w:rsidRDefault="00C8737C" w:rsidP="00C8737C">
            <w:pPr>
              <w:spacing w:after="33" w:line="360" w:lineRule="auto"/>
              <w:ind w:left="0" w:firstLine="0"/>
            </w:pPr>
            <w:r>
              <w:rPr>
                <w:i/>
                <w:sz w:val="24"/>
              </w:rPr>
              <w:t>Burkholderia cepacia +*</w:t>
            </w:r>
          </w:p>
          <w:p w14:paraId="3298340D" w14:textId="77777777" w:rsidR="00C8737C" w:rsidRDefault="00C8737C" w:rsidP="00C8737C">
            <w:pPr>
              <w:spacing w:after="33" w:line="360" w:lineRule="auto"/>
              <w:ind w:left="0" w:firstLine="0"/>
            </w:pPr>
            <w:r>
              <w:rPr>
                <w:i/>
                <w:sz w:val="24"/>
              </w:rPr>
              <w:t xml:space="preserve">Campylobacter </w:t>
            </w:r>
            <w:r>
              <w:rPr>
                <w:sz w:val="24"/>
              </w:rPr>
              <w:t>spp.</w:t>
            </w:r>
            <w:r>
              <w:rPr>
                <w:i/>
                <w:sz w:val="24"/>
              </w:rPr>
              <w:t>+*</w:t>
            </w:r>
          </w:p>
          <w:p w14:paraId="1411AEC4" w14:textId="77777777" w:rsidR="00C8737C" w:rsidRDefault="00C8737C" w:rsidP="00C8737C">
            <w:pPr>
              <w:spacing w:after="33" w:line="360" w:lineRule="auto"/>
              <w:ind w:left="0" w:firstLine="0"/>
            </w:pPr>
            <w:r>
              <w:rPr>
                <w:i/>
                <w:sz w:val="24"/>
              </w:rPr>
              <w:t>Citrobacter freundii*</w:t>
            </w:r>
          </w:p>
          <w:p w14:paraId="056A5918" w14:textId="77777777" w:rsidR="00C8737C" w:rsidRDefault="00C8737C" w:rsidP="00C8737C">
            <w:pPr>
              <w:spacing w:after="33" w:line="360" w:lineRule="auto"/>
              <w:ind w:left="0" w:firstLine="0"/>
            </w:pPr>
            <w:r>
              <w:rPr>
                <w:i/>
                <w:sz w:val="24"/>
              </w:rPr>
              <w:t>Enterobacter aerogenes,</w:t>
            </w:r>
          </w:p>
          <w:p w14:paraId="5BE8908F" w14:textId="77777777" w:rsidR="00C8737C" w:rsidRDefault="00C8737C" w:rsidP="00C8737C">
            <w:pPr>
              <w:spacing w:after="33" w:line="360" w:lineRule="auto"/>
              <w:ind w:left="0" w:firstLine="0"/>
            </w:pPr>
            <w:r>
              <w:rPr>
                <w:i/>
                <w:sz w:val="24"/>
              </w:rPr>
              <w:t>Enterobacter cloacae *</w:t>
            </w:r>
          </w:p>
          <w:p w14:paraId="03FEA98D" w14:textId="77777777" w:rsidR="00C8737C" w:rsidRDefault="00C8737C" w:rsidP="00C8737C">
            <w:pPr>
              <w:spacing w:after="33" w:line="360" w:lineRule="auto"/>
              <w:ind w:left="0" w:firstLine="0"/>
            </w:pPr>
            <w:r>
              <w:rPr>
                <w:i/>
                <w:sz w:val="24"/>
              </w:rPr>
              <w:t>Escherichia coli*</w:t>
            </w:r>
          </w:p>
          <w:p w14:paraId="5BBB3367" w14:textId="77777777" w:rsidR="00C8737C" w:rsidRDefault="00C8737C" w:rsidP="00C8737C">
            <w:pPr>
              <w:spacing w:after="33" w:line="360" w:lineRule="auto"/>
              <w:ind w:left="0" w:firstLine="0"/>
            </w:pPr>
            <w:r>
              <w:rPr>
                <w:i/>
                <w:sz w:val="24"/>
              </w:rPr>
              <w:t>Klebsiella oxytoca,</w:t>
            </w:r>
          </w:p>
          <w:p w14:paraId="37AFE490" w14:textId="77777777" w:rsidR="00C8737C" w:rsidRDefault="00C8737C" w:rsidP="00C8737C">
            <w:pPr>
              <w:spacing w:after="0" w:line="360" w:lineRule="auto"/>
              <w:ind w:left="0" w:right="4391" w:firstLine="0"/>
            </w:pPr>
            <w:r>
              <w:rPr>
                <w:i/>
                <w:sz w:val="24"/>
              </w:rPr>
              <w:t>Klebsiella pneumoniae* Morganella morganii*</w:t>
            </w:r>
          </w:p>
          <w:p w14:paraId="71E04299" w14:textId="77777777" w:rsidR="00C8737C" w:rsidRDefault="00C8737C" w:rsidP="00C8737C">
            <w:pPr>
              <w:spacing w:after="31" w:line="360" w:lineRule="auto"/>
              <w:ind w:left="0" w:firstLine="0"/>
            </w:pPr>
            <w:r>
              <w:rPr>
                <w:i/>
                <w:sz w:val="24"/>
              </w:rPr>
              <w:t>Neisseria gonorrhoeae*</w:t>
            </w:r>
          </w:p>
          <w:p w14:paraId="4367E310" w14:textId="77777777" w:rsidR="00C8737C" w:rsidRDefault="00C8737C" w:rsidP="00C8737C">
            <w:pPr>
              <w:spacing w:after="4" w:line="360" w:lineRule="auto"/>
              <w:ind w:left="0" w:right="5320" w:firstLine="0"/>
            </w:pPr>
            <w:r>
              <w:rPr>
                <w:i/>
                <w:sz w:val="24"/>
              </w:rPr>
              <w:t xml:space="preserve">Proteus mirabilis* Proteus vulgaris* Providencia </w:t>
            </w:r>
            <w:r>
              <w:rPr>
                <w:sz w:val="24"/>
              </w:rPr>
              <w:t>spp.</w:t>
            </w:r>
          </w:p>
          <w:p w14:paraId="037EC3D8" w14:textId="77777777" w:rsidR="00C8737C" w:rsidRDefault="00C8737C" w:rsidP="00C8737C">
            <w:pPr>
              <w:spacing w:after="33" w:line="360" w:lineRule="auto"/>
              <w:ind w:left="0" w:firstLine="0"/>
            </w:pPr>
            <w:r>
              <w:rPr>
                <w:i/>
                <w:sz w:val="24"/>
              </w:rPr>
              <w:t>Pseudomonas aeruginosa*</w:t>
            </w:r>
          </w:p>
          <w:p w14:paraId="312BDF94" w14:textId="77777777" w:rsidR="00C8737C" w:rsidRDefault="00C8737C" w:rsidP="00C8737C">
            <w:pPr>
              <w:spacing w:after="33" w:line="360" w:lineRule="auto"/>
              <w:ind w:left="0" w:firstLine="0"/>
            </w:pPr>
            <w:r>
              <w:rPr>
                <w:i/>
                <w:sz w:val="24"/>
              </w:rPr>
              <w:t>Pseudomonas fluorescens</w:t>
            </w:r>
          </w:p>
          <w:p w14:paraId="66DF6109" w14:textId="7B2D0DC0" w:rsidR="00C8737C" w:rsidRDefault="00C8737C" w:rsidP="00C8737C">
            <w:pPr>
              <w:spacing w:after="0" w:line="360" w:lineRule="auto"/>
              <w:ind w:left="0" w:firstLine="0"/>
              <w:rPr>
                <w:sz w:val="24"/>
                <w:u w:val="single" w:color="000000"/>
              </w:rPr>
            </w:pPr>
            <w:r>
              <w:rPr>
                <w:i/>
                <w:sz w:val="24"/>
              </w:rPr>
              <w:t>Serratia marcescens*</w:t>
            </w:r>
          </w:p>
        </w:tc>
      </w:tr>
      <w:tr w:rsidR="00C8737C" w14:paraId="56502F16" w14:textId="77777777" w:rsidTr="00C8737C">
        <w:trPr>
          <w:trHeight w:val="1270"/>
        </w:trPr>
        <w:tc>
          <w:tcPr>
            <w:tcW w:w="8460" w:type="dxa"/>
            <w:tcBorders>
              <w:top w:val="single" w:sz="8" w:space="0" w:color="000000"/>
              <w:left w:val="single" w:sz="8" w:space="0" w:color="000000"/>
              <w:bottom w:val="single" w:sz="8" w:space="0" w:color="000000"/>
              <w:right w:val="single" w:sz="8" w:space="0" w:color="000000"/>
            </w:tcBorders>
          </w:tcPr>
          <w:p w14:paraId="2F1032ED" w14:textId="77777777" w:rsidR="00C8737C" w:rsidRDefault="00C8737C" w:rsidP="00C8737C">
            <w:pPr>
              <w:spacing w:after="0" w:line="360" w:lineRule="auto"/>
              <w:ind w:left="0" w:firstLine="0"/>
            </w:pPr>
            <w:r>
              <w:rPr>
                <w:sz w:val="24"/>
                <w:u w:val="single" w:color="000000"/>
              </w:rPr>
              <w:lastRenderedPageBreak/>
              <w:t>Anaerobic micro-organisms</w:t>
            </w:r>
          </w:p>
          <w:p w14:paraId="1B7E6C97" w14:textId="77777777" w:rsidR="00C8737C" w:rsidRDefault="00C8737C" w:rsidP="00C8737C">
            <w:pPr>
              <w:spacing w:after="33" w:line="360" w:lineRule="auto"/>
              <w:ind w:left="0" w:firstLine="0"/>
            </w:pPr>
            <w:r>
              <w:rPr>
                <w:sz w:val="24"/>
              </w:rPr>
              <w:t>Peptostreptococcus spp.</w:t>
            </w:r>
          </w:p>
          <w:p w14:paraId="6109F6DC" w14:textId="5C18A310" w:rsidR="00C8737C" w:rsidRDefault="00C8737C" w:rsidP="00C8737C">
            <w:pPr>
              <w:spacing w:after="0" w:line="360" w:lineRule="auto"/>
              <w:ind w:left="0" w:firstLine="0"/>
              <w:rPr>
                <w:sz w:val="24"/>
                <w:u w:val="single" w:color="000000"/>
              </w:rPr>
            </w:pPr>
            <w:r>
              <w:rPr>
                <w:sz w:val="24"/>
              </w:rPr>
              <w:t>Propionibacterium acne</w:t>
            </w:r>
          </w:p>
        </w:tc>
      </w:tr>
      <w:tr w:rsidR="00C8737C" w14:paraId="7060EFD8" w14:textId="77777777" w:rsidTr="00C8737C">
        <w:trPr>
          <w:trHeight w:val="398"/>
        </w:trPr>
        <w:tc>
          <w:tcPr>
            <w:tcW w:w="8460" w:type="dxa"/>
            <w:tcBorders>
              <w:top w:val="single" w:sz="8" w:space="0" w:color="000000"/>
              <w:left w:val="single" w:sz="8" w:space="0" w:color="000000"/>
              <w:bottom w:val="single" w:sz="8" w:space="0" w:color="000000"/>
              <w:right w:val="single" w:sz="8" w:space="0" w:color="000000"/>
            </w:tcBorders>
          </w:tcPr>
          <w:p w14:paraId="43D57E74" w14:textId="5087C56C" w:rsidR="00C8737C" w:rsidRDefault="00C8737C" w:rsidP="00C8737C">
            <w:pPr>
              <w:spacing w:after="0" w:line="360" w:lineRule="auto"/>
              <w:ind w:left="0" w:firstLine="0"/>
              <w:rPr>
                <w:sz w:val="24"/>
                <w:u w:val="single" w:color="000000"/>
              </w:rPr>
            </w:pPr>
            <w:r>
              <w:rPr>
                <w:b/>
                <w:sz w:val="24"/>
              </w:rPr>
              <w:t>INHERENTLY RESISTANT ORGANISMS</w:t>
            </w:r>
          </w:p>
        </w:tc>
      </w:tr>
      <w:tr w:rsidR="00C8737C" w14:paraId="56D5C9D2" w14:textId="77777777" w:rsidTr="00C8737C">
        <w:trPr>
          <w:trHeight w:val="398"/>
        </w:trPr>
        <w:tc>
          <w:tcPr>
            <w:tcW w:w="8460" w:type="dxa"/>
            <w:tcBorders>
              <w:top w:val="single" w:sz="8" w:space="0" w:color="000000"/>
              <w:left w:val="single" w:sz="8" w:space="0" w:color="000000"/>
              <w:bottom w:val="single" w:sz="8" w:space="0" w:color="000000"/>
              <w:right w:val="single" w:sz="8" w:space="0" w:color="000000"/>
            </w:tcBorders>
          </w:tcPr>
          <w:p w14:paraId="4F8F152A" w14:textId="77777777" w:rsidR="00C8737C" w:rsidRPr="00C8737C" w:rsidRDefault="00C8737C" w:rsidP="00C8737C">
            <w:pPr>
              <w:spacing w:after="0" w:line="360" w:lineRule="auto"/>
              <w:ind w:left="0" w:firstLine="0"/>
              <w:rPr>
                <w:bCs/>
                <w:sz w:val="24"/>
                <w:u w:val="single"/>
              </w:rPr>
            </w:pPr>
            <w:r w:rsidRPr="00C8737C">
              <w:rPr>
                <w:bCs/>
                <w:sz w:val="24"/>
                <w:u w:val="single"/>
              </w:rPr>
              <w:t>Aerobic Gram-positive micro-organisms</w:t>
            </w:r>
          </w:p>
          <w:p w14:paraId="3F2BBCCE" w14:textId="77777777" w:rsidR="00C8737C" w:rsidRPr="00C8737C" w:rsidRDefault="00C8737C" w:rsidP="00C8737C">
            <w:pPr>
              <w:spacing w:after="0" w:line="360" w:lineRule="auto"/>
              <w:ind w:left="0" w:firstLine="0"/>
              <w:rPr>
                <w:bCs/>
                <w:sz w:val="24"/>
              </w:rPr>
            </w:pPr>
            <w:r w:rsidRPr="00C8737C">
              <w:rPr>
                <w:bCs/>
                <w:sz w:val="24"/>
              </w:rPr>
              <w:t>Actinomyces</w:t>
            </w:r>
          </w:p>
          <w:p w14:paraId="0BF70ECB" w14:textId="77777777" w:rsidR="00C8737C" w:rsidRPr="00C8737C" w:rsidRDefault="00C8737C" w:rsidP="00C8737C">
            <w:pPr>
              <w:spacing w:after="0" w:line="360" w:lineRule="auto"/>
              <w:ind w:left="0" w:firstLine="0"/>
              <w:rPr>
                <w:bCs/>
                <w:sz w:val="24"/>
              </w:rPr>
            </w:pPr>
            <w:r w:rsidRPr="00C8737C">
              <w:rPr>
                <w:bCs/>
                <w:sz w:val="24"/>
              </w:rPr>
              <w:t>Enteroccus faecium</w:t>
            </w:r>
          </w:p>
          <w:p w14:paraId="2D84B30D" w14:textId="1FFF4110" w:rsidR="00C8737C" w:rsidRDefault="00C8737C" w:rsidP="00C8737C">
            <w:pPr>
              <w:spacing w:after="0" w:line="360" w:lineRule="auto"/>
              <w:ind w:left="0" w:firstLine="0"/>
              <w:rPr>
                <w:b/>
                <w:sz w:val="24"/>
              </w:rPr>
            </w:pPr>
            <w:r w:rsidRPr="00C8737C">
              <w:rPr>
                <w:bCs/>
                <w:sz w:val="24"/>
              </w:rPr>
              <w:t>Listeria monocytogenes</w:t>
            </w:r>
          </w:p>
        </w:tc>
      </w:tr>
      <w:tr w:rsidR="00C8737C" w14:paraId="760EDAD4" w14:textId="77777777" w:rsidTr="00C8737C">
        <w:trPr>
          <w:trHeight w:val="398"/>
        </w:trPr>
        <w:tc>
          <w:tcPr>
            <w:tcW w:w="8460" w:type="dxa"/>
            <w:tcBorders>
              <w:top w:val="single" w:sz="8" w:space="0" w:color="000000"/>
              <w:left w:val="single" w:sz="8" w:space="0" w:color="000000"/>
              <w:bottom w:val="single" w:sz="8" w:space="0" w:color="000000"/>
              <w:right w:val="single" w:sz="8" w:space="0" w:color="000000"/>
            </w:tcBorders>
          </w:tcPr>
          <w:p w14:paraId="2C944C01" w14:textId="77777777" w:rsidR="00C8737C" w:rsidRPr="00C8737C" w:rsidRDefault="00C8737C" w:rsidP="00C8737C">
            <w:pPr>
              <w:spacing w:after="0" w:line="360" w:lineRule="auto"/>
              <w:ind w:left="0" w:firstLine="0"/>
              <w:rPr>
                <w:bCs/>
                <w:sz w:val="24"/>
                <w:u w:val="single"/>
              </w:rPr>
            </w:pPr>
            <w:r w:rsidRPr="00C8737C">
              <w:rPr>
                <w:bCs/>
                <w:sz w:val="24"/>
                <w:u w:val="single"/>
              </w:rPr>
              <w:t>Aerobic Gram-negative micro-organisms</w:t>
            </w:r>
          </w:p>
          <w:p w14:paraId="1CBF683E" w14:textId="46AE639F" w:rsidR="00C8737C" w:rsidRPr="00C8737C" w:rsidRDefault="00C8737C" w:rsidP="00C8737C">
            <w:pPr>
              <w:spacing w:after="0" w:line="360" w:lineRule="auto"/>
              <w:ind w:left="0" w:firstLine="0"/>
              <w:rPr>
                <w:bCs/>
                <w:sz w:val="24"/>
              </w:rPr>
            </w:pPr>
            <w:r w:rsidRPr="00C8737C">
              <w:rPr>
                <w:bCs/>
                <w:sz w:val="24"/>
              </w:rPr>
              <w:t>Stenotrophomonas maltophilia</w:t>
            </w:r>
          </w:p>
        </w:tc>
      </w:tr>
      <w:tr w:rsidR="00C8737C" w14:paraId="760631F7" w14:textId="77777777" w:rsidTr="00C8737C">
        <w:trPr>
          <w:trHeight w:val="855"/>
        </w:trPr>
        <w:tc>
          <w:tcPr>
            <w:tcW w:w="8460" w:type="dxa"/>
            <w:tcBorders>
              <w:top w:val="single" w:sz="8" w:space="0" w:color="000000"/>
              <w:left w:val="single" w:sz="8" w:space="0" w:color="000000"/>
              <w:bottom w:val="single" w:sz="8" w:space="0" w:color="000000"/>
              <w:right w:val="single" w:sz="8" w:space="0" w:color="000000"/>
            </w:tcBorders>
          </w:tcPr>
          <w:p w14:paraId="3BB2F65A" w14:textId="77777777" w:rsidR="00C8737C" w:rsidRPr="00C8737C" w:rsidRDefault="00C8737C" w:rsidP="00C8737C">
            <w:pPr>
              <w:spacing w:after="0" w:line="360" w:lineRule="auto"/>
              <w:ind w:left="0" w:firstLine="0"/>
              <w:rPr>
                <w:bCs/>
                <w:sz w:val="24"/>
                <w:u w:val="single"/>
              </w:rPr>
            </w:pPr>
            <w:r w:rsidRPr="00C8737C">
              <w:rPr>
                <w:bCs/>
                <w:sz w:val="24"/>
                <w:u w:val="single"/>
              </w:rPr>
              <w:t>Anaerobic micro-organisms</w:t>
            </w:r>
          </w:p>
          <w:p w14:paraId="6A13007A" w14:textId="22CF1B56" w:rsidR="00C8737C" w:rsidRPr="00C8737C" w:rsidRDefault="00C8737C" w:rsidP="00C8737C">
            <w:pPr>
              <w:spacing w:after="0" w:line="360" w:lineRule="auto"/>
              <w:ind w:left="0" w:firstLine="0"/>
              <w:rPr>
                <w:bCs/>
                <w:sz w:val="24"/>
              </w:rPr>
            </w:pPr>
            <w:r w:rsidRPr="00C8737C">
              <w:rPr>
                <w:bCs/>
                <w:sz w:val="24"/>
              </w:rPr>
              <w:t>Excepted as listed above</w:t>
            </w:r>
          </w:p>
        </w:tc>
      </w:tr>
      <w:tr w:rsidR="00C8737C" w14:paraId="3AAFE90E" w14:textId="77777777" w:rsidTr="00C8737C">
        <w:trPr>
          <w:trHeight w:val="398"/>
        </w:trPr>
        <w:tc>
          <w:tcPr>
            <w:tcW w:w="8460" w:type="dxa"/>
            <w:tcBorders>
              <w:top w:val="single" w:sz="8" w:space="0" w:color="000000"/>
              <w:left w:val="single" w:sz="8" w:space="0" w:color="000000"/>
              <w:bottom w:val="single" w:sz="8" w:space="0" w:color="000000"/>
              <w:right w:val="single" w:sz="8" w:space="0" w:color="000000"/>
            </w:tcBorders>
          </w:tcPr>
          <w:p w14:paraId="64D25108" w14:textId="77777777" w:rsidR="00C8737C" w:rsidRPr="00C8737C" w:rsidRDefault="00C8737C" w:rsidP="00C8737C">
            <w:pPr>
              <w:spacing w:after="0" w:line="360" w:lineRule="auto"/>
              <w:ind w:left="0" w:firstLine="0"/>
              <w:rPr>
                <w:bCs/>
                <w:sz w:val="24"/>
                <w:u w:val="single"/>
              </w:rPr>
            </w:pPr>
            <w:r w:rsidRPr="00C8737C">
              <w:rPr>
                <w:bCs/>
                <w:sz w:val="24"/>
                <w:u w:val="single"/>
              </w:rPr>
              <w:t>Other micro-organisms</w:t>
            </w:r>
          </w:p>
          <w:p w14:paraId="737B8787" w14:textId="77777777" w:rsidR="00C8737C" w:rsidRPr="00C8737C" w:rsidRDefault="00C8737C" w:rsidP="00C8737C">
            <w:pPr>
              <w:spacing w:after="0" w:line="360" w:lineRule="auto"/>
              <w:ind w:left="0" w:firstLine="0"/>
              <w:rPr>
                <w:bCs/>
                <w:sz w:val="24"/>
              </w:rPr>
            </w:pPr>
            <w:r w:rsidRPr="00C8737C">
              <w:rPr>
                <w:bCs/>
                <w:sz w:val="24"/>
              </w:rPr>
              <w:t>Mycoplasma genitalium</w:t>
            </w:r>
          </w:p>
          <w:p w14:paraId="357DEB12" w14:textId="650B4E43" w:rsidR="00C8737C" w:rsidRPr="00C8737C" w:rsidRDefault="00C8737C" w:rsidP="00C8737C">
            <w:pPr>
              <w:spacing w:after="0" w:line="360" w:lineRule="auto"/>
              <w:ind w:left="0" w:firstLine="0"/>
              <w:rPr>
                <w:bCs/>
                <w:sz w:val="24"/>
                <w:u w:val="single"/>
              </w:rPr>
            </w:pPr>
            <w:r w:rsidRPr="00C8737C">
              <w:rPr>
                <w:bCs/>
                <w:sz w:val="24"/>
              </w:rPr>
              <w:t>Ureaplasma urealitycum</w:t>
            </w:r>
          </w:p>
        </w:tc>
      </w:tr>
      <w:tr w:rsidR="00C8737C" w14:paraId="368654EA" w14:textId="77777777" w:rsidTr="00C8737C">
        <w:trPr>
          <w:trHeight w:val="398"/>
        </w:trPr>
        <w:tc>
          <w:tcPr>
            <w:tcW w:w="8460" w:type="dxa"/>
            <w:tcBorders>
              <w:top w:val="single" w:sz="8" w:space="0" w:color="000000"/>
              <w:left w:val="single" w:sz="8" w:space="0" w:color="000000"/>
              <w:bottom w:val="single" w:sz="8" w:space="0" w:color="000000"/>
              <w:right w:val="single" w:sz="8" w:space="0" w:color="000000"/>
            </w:tcBorders>
          </w:tcPr>
          <w:p w14:paraId="20D195A6" w14:textId="39C44534" w:rsidR="00C8737C" w:rsidRPr="00C8737C" w:rsidRDefault="00C8737C" w:rsidP="00352F0C">
            <w:pPr>
              <w:spacing w:after="0" w:line="360" w:lineRule="auto"/>
              <w:ind w:left="0" w:firstLine="0"/>
              <w:jc w:val="thaiDistribute"/>
              <w:rPr>
                <w:bCs/>
                <w:sz w:val="24"/>
              </w:rPr>
            </w:pPr>
            <w:r w:rsidRPr="00C8737C">
              <w:rPr>
                <w:bCs/>
                <w:sz w:val="24"/>
              </w:rPr>
              <w:t>*</w:t>
            </w:r>
            <w:r w:rsidRPr="00C8737C">
              <w:rPr>
                <w:bCs/>
                <w:sz w:val="24"/>
              </w:rPr>
              <w:t xml:space="preserve"> </w:t>
            </w:r>
            <w:r w:rsidRPr="00C8737C">
              <w:rPr>
                <w:bCs/>
                <w:sz w:val="24"/>
              </w:rPr>
              <w:t>Clinical efficacy has been demonstrated for susceptible isolates in approved clinical indications</w:t>
            </w:r>
          </w:p>
          <w:p w14:paraId="6A79DFA1" w14:textId="6E8ED0C8" w:rsidR="00C8737C" w:rsidRPr="00C8737C" w:rsidRDefault="00C8737C" w:rsidP="00352F0C">
            <w:pPr>
              <w:spacing w:after="0" w:line="360" w:lineRule="auto"/>
              <w:ind w:left="0" w:firstLine="0"/>
              <w:jc w:val="thaiDistribute"/>
              <w:rPr>
                <w:bCs/>
                <w:sz w:val="24"/>
              </w:rPr>
            </w:pPr>
            <w:r w:rsidRPr="00C8737C">
              <w:rPr>
                <w:bCs/>
                <w:sz w:val="24"/>
              </w:rPr>
              <w:t>+</w:t>
            </w:r>
            <w:r w:rsidRPr="00C8737C">
              <w:rPr>
                <w:bCs/>
                <w:sz w:val="24"/>
              </w:rPr>
              <w:t xml:space="preserve"> </w:t>
            </w:r>
            <w:r w:rsidRPr="00C8737C">
              <w:rPr>
                <w:bCs/>
                <w:sz w:val="24"/>
              </w:rPr>
              <w:t>Resistance rate ≥ 50% in one or more EU countries</w:t>
            </w:r>
          </w:p>
          <w:p w14:paraId="4993216B" w14:textId="77777777" w:rsidR="00C8737C" w:rsidRPr="00C8737C" w:rsidRDefault="00C8737C" w:rsidP="00352F0C">
            <w:pPr>
              <w:spacing w:after="0" w:line="360" w:lineRule="auto"/>
              <w:ind w:left="0" w:firstLine="0"/>
              <w:jc w:val="thaiDistribute"/>
              <w:rPr>
                <w:bCs/>
                <w:sz w:val="24"/>
              </w:rPr>
            </w:pPr>
            <w:r w:rsidRPr="00C8737C">
              <w:rPr>
                <w:bCs/>
                <w:sz w:val="24"/>
              </w:rPr>
              <w:t>($):Natural intermediate susceptibility in the absence of acquired mechanism of resistance</w:t>
            </w:r>
          </w:p>
          <w:p w14:paraId="63BC64BF" w14:textId="1C6B24C1" w:rsidR="00C8737C" w:rsidRPr="00C8737C" w:rsidRDefault="00C8737C" w:rsidP="00352F0C">
            <w:pPr>
              <w:spacing w:after="0" w:line="360" w:lineRule="auto"/>
              <w:ind w:left="0" w:firstLine="0"/>
              <w:jc w:val="thaiDistribute"/>
              <w:rPr>
                <w:bCs/>
                <w:sz w:val="24"/>
              </w:rPr>
            </w:pPr>
            <w:r w:rsidRPr="00C8737C">
              <w:rPr>
                <w:bCs/>
                <w:sz w:val="24"/>
              </w:rPr>
              <w:t>(1):</w:t>
            </w:r>
            <w:r w:rsidRPr="00C8737C">
              <w:rPr>
                <w:bCs/>
                <w:sz w:val="24"/>
              </w:rPr>
              <w:t xml:space="preserve"> </w:t>
            </w:r>
            <w:r w:rsidRPr="00C8737C">
              <w:rPr>
                <w:bCs/>
                <w:sz w:val="24"/>
              </w:rPr>
              <w:t>Studies have been conducted in experimental animal infections due to inhalations of Bacillus</w:t>
            </w:r>
            <w:r w:rsidRPr="00C8737C">
              <w:rPr>
                <w:bCs/>
                <w:sz w:val="24"/>
                <w:u w:val="single"/>
              </w:rPr>
              <w:t xml:space="preserve"> </w:t>
            </w:r>
            <w:r w:rsidRPr="00C8737C">
              <w:rPr>
                <w:bCs/>
                <w:sz w:val="24"/>
              </w:rPr>
              <w:t>anthracis spores; these studies reveal that antibiotics starting early after exposition avoid the</w:t>
            </w:r>
            <w:r>
              <w:rPr>
                <w:bCs/>
                <w:sz w:val="24"/>
              </w:rPr>
              <w:t xml:space="preserve"> </w:t>
            </w:r>
            <w:r w:rsidRPr="00C8737C">
              <w:rPr>
                <w:bCs/>
                <w:sz w:val="24"/>
              </w:rPr>
              <w:t>occurrence of the disease if the treatment is made up to the decrease of the number of spores in</w:t>
            </w:r>
            <w:r w:rsidRPr="00C8737C">
              <w:rPr>
                <w:bCs/>
                <w:sz w:val="24"/>
                <w:u w:val="single"/>
              </w:rPr>
              <w:t xml:space="preserve"> </w:t>
            </w:r>
            <w:r w:rsidRPr="00C8737C">
              <w:rPr>
                <w:bCs/>
                <w:sz w:val="24"/>
              </w:rPr>
              <w:t>the organism under the infective dose. The recommended use in human subjects is based</w:t>
            </w:r>
            <w:r>
              <w:t xml:space="preserve"> </w:t>
            </w:r>
            <w:r w:rsidRPr="00C8737C">
              <w:rPr>
                <w:bCs/>
                <w:sz w:val="24"/>
              </w:rPr>
              <w:t>primarily on in-vitro susceptibility and on animal experimental data together with limited</w:t>
            </w:r>
            <w:r>
              <w:rPr>
                <w:bCs/>
                <w:sz w:val="24"/>
              </w:rPr>
              <w:t xml:space="preserve"> </w:t>
            </w:r>
            <w:r w:rsidRPr="00C8737C">
              <w:rPr>
                <w:bCs/>
                <w:sz w:val="24"/>
              </w:rPr>
              <w:t>human data. Two-month treatment duration in adults with oral ciprofloxacin given at the</w:t>
            </w:r>
          </w:p>
          <w:p w14:paraId="597607F9" w14:textId="07260900" w:rsidR="00C8737C" w:rsidRPr="00C8737C" w:rsidRDefault="00C8737C" w:rsidP="00352F0C">
            <w:pPr>
              <w:spacing w:after="0" w:line="360" w:lineRule="auto"/>
              <w:ind w:left="0" w:firstLine="0"/>
              <w:jc w:val="thaiDistribute"/>
              <w:rPr>
                <w:bCs/>
                <w:sz w:val="24"/>
              </w:rPr>
            </w:pPr>
            <w:r w:rsidRPr="00C8737C">
              <w:rPr>
                <w:bCs/>
                <w:sz w:val="24"/>
              </w:rPr>
              <w:lastRenderedPageBreak/>
              <w:t>following dose, 500 mg bid, is considered as effective to prevent anthrax infection in humans.</w:t>
            </w:r>
            <w:r>
              <w:rPr>
                <w:bCs/>
                <w:sz w:val="24"/>
              </w:rPr>
              <w:t xml:space="preserve"> </w:t>
            </w:r>
            <w:r w:rsidRPr="00C8737C">
              <w:rPr>
                <w:bCs/>
                <w:sz w:val="24"/>
              </w:rPr>
              <w:t>The treating physician should refer to national and /or international consensus documents</w:t>
            </w:r>
            <w:r>
              <w:rPr>
                <w:bCs/>
                <w:sz w:val="24"/>
              </w:rPr>
              <w:t xml:space="preserve"> </w:t>
            </w:r>
            <w:r w:rsidRPr="00C8737C">
              <w:rPr>
                <w:bCs/>
                <w:sz w:val="24"/>
              </w:rPr>
              <w:t>regarding treatment of anthrax.</w:t>
            </w:r>
          </w:p>
          <w:p w14:paraId="22767C2B" w14:textId="7DBFE11F" w:rsidR="00C8737C" w:rsidRPr="00352F0C" w:rsidRDefault="00C8737C" w:rsidP="00352F0C">
            <w:pPr>
              <w:spacing w:after="0" w:line="360" w:lineRule="auto"/>
              <w:ind w:left="0" w:firstLine="0"/>
              <w:jc w:val="thaiDistribute"/>
              <w:rPr>
                <w:bCs/>
                <w:sz w:val="24"/>
              </w:rPr>
            </w:pPr>
            <w:r w:rsidRPr="00352F0C">
              <w:rPr>
                <w:bCs/>
                <w:sz w:val="24"/>
              </w:rPr>
              <w:t>(2):</w:t>
            </w:r>
            <w:r w:rsidRPr="00352F0C">
              <w:rPr>
                <w:bCs/>
                <w:sz w:val="24"/>
              </w:rPr>
              <w:t xml:space="preserve"> </w:t>
            </w:r>
            <w:r w:rsidR="00352F0C" w:rsidRPr="00352F0C">
              <w:rPr>
                <w:bCs/>
                <w:sz w:val="24"/>
              </w:rPr>
              <w:t>Methicillin-resistant S. aureus very commonly express co-resistance to fluoroquinolones. The rate of resistance to methicillin is around 20 to 50% among all staphylococcal species and is usually higher in nosocomial isolates.</w:t>
            </w:r>
          </w:p>
        </w:tc>
      </w:tr>
    </w:tbl>
    <w:p w14:paraId="1F85CAA6" w14:textId="77777777" w:rsidR="00AE0FAF" w:rsidRDefault="00AE0FAF">
      <w:pPr>
        <w:spacing w:after="0" w:line="259" w:lineRule="auto"/>
        <w:ind w:left="-1403" w:right="1048" w:firstLine="0"/>
      </w:pPr>
    </w:p>
    <w:p w14:paraId="45F5FF96" w14:textId="77777777" w:rsidR="00352F0C" w:rsidRPr="00352F0C" w:rsidRDefault="00000000" w:rsidP="00352F0C">
      <w:pPr>
        <w:pStyle w:val="Heading3"/>
        <w:numPr>
          <w:ilvl w:val="1"/>
          <w:numId w:val="7"/>
        </w:numPr>
        <w:spacing w:after="271" w:line="265" w:lineRule="auto"/>
        <w:ind w:right="723"/>
        <w:rPr>
          <w:sz w:val="28"/>
          <w:szCs w:val="36"/>
        </w:rPr>
      </w:pPr>
      <w:r w:rsidRPr="00352F0C">
        <w:rPr>
          <w:b/>
          <w:sz w:val="28"/>
          <w:szCs w:val="36"/>
          <w:u w:val="none"/>
        </w:rPr>
        <w:t>Pharmacokinetic properties</w:t>
      </w:r>
    </w:p>
    <w:p w14:paraId="079EB2DB" w14:textId="77777777" w:rsidR="00352F0C" w:rsidRPr="00352F0C" w:rsidRDefault="00000000" w:rsidP="00352F0C">
      <w:pPr>
        <w:pStyle w:val="Heading3"/>
        <w:spacing w:after="240" w:line="264" w:lineRule="auto"/>
        <w:ind w:left="794" w:right="726" w:firstLine="0"/>
        <w:rPr>
          <w:iCs/>
          <w:sz w:val="28"/>
          <w:szCs w:val="28"/>
        </w:rPr>
      </w:pPr>
      <w:r w:rsidRPr="00352F0C">
        <w:rPr>
          <w:iCs/>
          <w:sz w:val="28"/>
          <w:szCs w:val="28"/>
        </w:rPr>
        <w:t>Absorption</w:t>
      </w:r>
    </w:p>
    <w:p w14:paraId="7CA8C341" w14:textId="77777777" w:rsidR="00352F0C" w:rsidRPr="00352F0C" w:rsidRDefault="00000000" w:rsidP="00352F0C">
      <w:pPr>
        <w:pStyle w:val="Heading3"/>
        <w:spacing w:after="240" w:line="360" w:lineRule="auto"/>
        <w:ind w:left="794" w:right="726" w:firstLine="0"/>
        <w:jc w:val="thaiDistribute"/>
        <w:rPr>
          <w:sz w:val="28"/>
          <w:szCs w:val="28"/>
          <w:u w:val="none"/>
        </w:rPr>
      </w:pPr>
      <w:r w:rsidRPr="00352F0C">
        <w:rPr>
          <w:sz w:val="28"/>
          <w:szCs w:val="28"/>
          <w:u w:val="none"/>
        </w:rPr>
        <w:t xml:space="preserve">Following an intravenous infusion of </w:t>
      </w:r>
      <w:r w:rsidRPr="00352F0C">
        <w:rPr>
          <w:color w:val="FF0000"/>
          <w:sz w:val="28"/>
          <w:szCs w:val="28"/>
          <w:u w:val="none"/>
        </w:rPr>
        <w:t xml:space="preserve">&lt;GENERIC NAME&gt; </w:t>
      </w:r>
      <w:r w:rsidRPr="00352F0C">
        <w:rPr>
          <w:sz w:val="28"/>
          <w:szCs w:val="28"/>
          <w:u w:val="none"/>
        </w:rPr>
        <w:t xml:space="preserve">the mean maximum serum concentrations were achieved at the end of infusion. Pharmacokinetics of </w:t>
      </w:r>
      <w:r w:rsidRPr="00352F0C">
        <w:rPr>
          <w:color w:val="FF0000"/>
          <w:sz w:val="28"/>
          <w:szCs w:val="28"/>
          <w:u w:val="none"/>
        </w:rPr>
        <w:t xml:space="preserve">&lt;GENERIC NAME&gt; </w:t>
      </w:r>
      <w:r w:rsidRPr="00352F0C">
        <w:rPr>
          <w:sz w:val="28"/>
          <w:szCs w:val="28"/>
          <w:u w:val="none"/>
        </w:rPr>
        <w:t>were linear over the dose range up to 400 mg administered intravenously.</w:t>
      </w:r>
    </w:p>
    <w:p w14:paraId="17373776" w14:textId="77777777" w:rsidR="00352F0C" w:rsidRPr="00352F0C" w:rsidRDefault="00000000" w:rsidP="00352F0C">
      <w:pPr>
        <w:pStyle w:val="Heading3"/>
        <w:spacing w:after="240" w:line="360" w:lineRule="auto"/>
        <w:ind w:left="794" w:right="726" w:firstLine="0"/>
        <w:jc w:val="thaiDistribute"/>
        <w:rPr>
          <w:sz w:val="28"/>
          <w:szCs w:val="28"/>
          <w:u w:val="none"/>
        </w:rPr>
      </w:pPr>
      <w:r w:rsidRPr="00352F0C">
        <w:rPr>
          <w:sz w:val="28"/>
          <w:szCs w:val="28"/>
          <w:u w:val="none"/>
        </w:rPr>
        <w:t xml:space="preserve">Comparison of the pharmacokinetic parameters for a twice a day and three times a day intravenous dose regimen indicated no evidence of drug accumulation for </w:t>
      </w:r>
      <w:r w:rsidRPr="00352F0C">
        <w:rPr>
          <w:color w:val="FF0000"/>
          <w:sz w:val="28"/>
          <w:szCs w:val="28"/>
          <w:u w:val="none"/>
        </w:rPr>
        <w:t xml:space="preserve">&lt;GENERIC NAME&gt; </w:t>
      </w:r>
      <w:r w:rsidRPr="00352F0C">
        <w:rPr>
          <w:sz w:val="28"/>
          <w:szCs w:val="28"/>
          <w:u w:val="none"/>
        </w:rPr>
        <w:t>and its metabolites.</w:t>
      </w:r>
    </w:p>
    <w:p w14:paraId="35FB722A" w14:textId="77777777" w:rsidR="00352F0C" w:rsidRPr="00352F0C" w:rsidRDefault="00352F0C" w:rsidP="00352F0C">
      <w:pPr>
        <w:pStyle w:val="Heading3"/>
        <w:spacing w:after="240" w:line="360" w:lineRule="auto"/>
        <w:ind w:left="794" w:right="726" w:firstLine="0"/>
        <w:jc w:val="thaiDistribute"/>
        <w:rPr>
          <w:sz w:val="28"/>
          <w:szCs w:val="28"/>
          <w:u w:val="none"/>
        </w:rPr>
      </w:pPr>
      <w:r w:rsidRPr="00352F0C">
        <w:rPr>
          <w:sz w:val="28"/>
          <w:szCs w:val="28"/>
          <w:u w:val="none"/>
        </w:rPr>
        <w:t xml:space="preserve">A 60-minute intravenous infusion of 200 mg </w:t>
      </w:r>
      <w:r w:rsidRPr="00352F0C">
        <w:rPr>
          <w:color w:val="FF0000"/>
          <w:sz w:val="28"/>
          <w:szCs w:val="28"/>
          <w:u w:val="none"/>
        </w:rPr>
        <w:t xml:space="preserve">&lt;GENERIC NAME&gt; </w:t>
      </w:r>
      <w:r w:rsidRPr="00352F0C">
        <w:rPr>
          <w:sz w:val="28"/>
          <w:szCs w:val="28"/>
          <w:u w:val="none"/>
        </w:rPr>
        <w:t xml:space="preserve">or the oral administration of 250 mg </w:t>
      </w:r>
      <w:r w:rsidRPr="00352F0C">
        <w:rPr>
          <w:color w:val="FF0000"/>
          <w:sz w:val="28"/>
          <w:szCs w:val="28"/>
          <w:u w:val="none"/>
        </w:rPr>
        <w:t>&lt;GENERIC NAME&gt;</w:t>
      </w:r>
      <w:r w:rsidRPr="00352F0C">
        <w:rPr>
          <w:sz w:val="28"/>
          <w:szCs w:val="28"/>
          <w:u w:val="none"/>
        </w:rPr>
        <w:t>, both given every 12 hours, produced an equivalent area under the serum concentration time curve (AUC).</w:t>
      </w:r>
    </w:p>
    <w:p w14:paraId="00014806" w14:textId="77777777" w:rsidR="00352F0C" w:rsidRDefault="00352F0C">
      <w:pPr>
        <w:spacing w:after="160"/>
        <w:ind w:left="0" w:firstLine="0"/>
      </w:pPr>
      <w:r>
        <w:br w:type="page"/>
      </w:r>
    </w:p>
    <w:p w14:paraId="1E33B888" w14:textId="77777777" w:rsidR="00352F0C" w:rsidRDefault="00352F0C" w:rsidP="00352F0C">
      <w:pPr>
        <w:pStyle w:val="Heading3"/>
        <w:spacing w:after="240" w:line="360" w:lineRule="auto"/>
        <w:ind w:left="720" w:right="726" w:firstLine="74"/>
        <w:jc w:val="thaiDistribute"/>
      </w:pPr>
      <w:r w:rsidRPr="00352F0C">
        <w:rPr>
          <w:sz w:val="28"/>
          <w:szCs w:val="28"/>
          <w:u w:val="none"/>
        </w:rPr>
        <w:lastRenderedPageBreak/>
        <w:t xml:space="preserve">A 60-minute intravenous infusion of 400 mg </w:t>
      </w:r>
      <w:r w:rsidRPr="00352F0C">
        <w:rPr>
          <w:color w:val="FF0000"/>
          <w:sz w:val="28"/>
          <w:szCs w:val="28"/>
          <w:u w:val="none"/>
        </w:rPr>
        <w:t xml:space="preserve">&lt;GENERIC NAME&gt; </w:t>
      </w:r>
      <w:r w:rsidRPr="00352F0C">
        <w:rPr>
          <w:sz w:val="28"/>
          <w:szCs w:val="28"/>
          <w:u w:val="none"/>
        </w:rPr>
        <w:t>every 12 hours was bioequivalent to a 500 mg oral dose every 12 hours with regard to AUC.</w:t>
      </w:r>
    </w:p>
    <w:p w14:paraId="0E9F1F98" w14:textId="77777777" w:rsidR="00352F0C" w:rsidRDefault="00352F0C" w:rsidP="00352F0C">
      <w:pPr>
        <w:pStyle w:val="Heading3"/>
        <w:spacing w:after="240" w:line="360" w:lineRule="auto"/>
        <w:ind w:left="720" w:right="726" w:firstLine="74"/>
        <w:jc w:val="thaiDistribute"/>
        <w:rPr>
          <w:sz w:val="28"/>
          <w:szCs w:val="28"/>
          <w:u w:val="none"/>
        </w:rPr>
      </w:pPr>
      <w:r w:rsidRPr="00352F0C">
        <w:rPr>
          <w:sz w:val="28"/>
          <w:szCs w:val="28"/>
          <w:u w:val="none"/>
        </w:rPr>
        <w:t>The 400 mg intravenous dose administered over 60 minutes every 12 hours resulted in a Cmax similar to that observed with a 750 mg oral dose.</w:t>
      </w:r>
    </w:p>
    <w:p w14:paraId="333AC145" w14:textId="75E934E5" w:rsidR="00352F0C" w:rsidRPr="00352F0C" w:rsidRDefault="00000000" w:rsidP="00352F0C">
      <w:pPr>
        <w:pStyle w:val="Heading3"/>
        <w:spacing w:after="240" w:line="360" w:lineRule="auto"/>
        <w:ind w:left="23" w:right="726" w:firstLine="697"/>
        <w:jc w:val="thaiDistribute"/>
        <w:rPr>
          <w:sz w:val="28"/>
          <w:szCs w:val="28"/>
          <w:u w:val="none"/>
        </w:rPr>
      </w:pPr>
      <w:r w:rsidRPr="00352F0C">
        <w:rPr>
          <w:iCs/>
          <w:sz w:val="28"/>
          <w:szCs w:val="28"/>
        </w:rPr>
        <w:t>Distribution</w:t>
      </w:r>
    </w:p>
    <w:p w14:paraId="7DCCF26B" w14:textId="77777777" w:rsidR="00352F0C" w:rsidRPr="00352F0C" w:rsidRDefault="00000000" w:rsidP="00352F0C">
      <w:pPr>
        <w:spacing w:after="240" w:line="360" w:lineRule="auto"/>
        <w:ind w:left="720" w:firstLine="0"/>
        <w:jc w:val="thaiDistribute"/>
        <w:rPr>
          <w:sz w:val="28"/>
          <w:szCs w:val="28"/>
        </w:rPr>
      </w:pPr>
      <w:r w:rsidRPr="00352F0C">
        <w:rPr>
          <w:sz w:val="28"/>
          <w:szCs w:val="28"/>
        </w:rPr>
        <w:t>Protein binding of ciprofloxacin is low (20-30%). Ciprofloxacin is present in plasma largely in a nonionised form and has a large steady state distribution volume of 2-3 L/kg body weight.</w:t>
      </w:r>
    </w:p>
    <w:p w14:paraId="4759848D" w14:textId="77777777" w:rsidR="00352F0C" w:rsidRPr="00352F0C" w:rsidRDefault="00000000" w:rsidP="00352F0C">
      <w:pPr>
        <w:spacing w:after="240" w:line="360" w:lineRule="auto"/>
        <w:ind w:left="720" w:firstLine="0"/>
        <w:jc w:val="thaiDistribute"/>
        <w:rPr>
          <w:sz w:val="28"/>
          <w:szCs w:val="28"/>
        </w:rPr>
      </w:pPr>
      <w:r w:rsidRPr="00352F0C">
        <w:rPr>
          <w:sz w:val="28"/>
          <w:szCs w:val="28"/>
        </w:rPr>
        <w:t>Ciprofloxacin reaches high concentrations in a variety of tissues such as lung (epithelial fluid, alveolar macrophages, biopsy tissue), sinuses, inflamed lesions (cantharides blister fluid), and the urogenital tract (urine, prostate, endometrium) where total concentrations exceeding those of plasma concentrations are reached.</w:t>
      </w:r>
    </w:p>
    <w:p w14:paraId="70AE27B0" w14:textId="77777777" w:rsidR="00352F0C" w:rsidRPr="00352F0C" w:rsidRDefault="00000000" w:rsidP="00352F0C">
      <w:pPr>
        <w:spacing w:after="240" w:line="360" w:lineRule="auto"/>
        <w:ind w:left="720" w:firstLine="0"/>
        <w:jc w:val="thaiDistribute"/>
        <w:rPr>
          <w:sz w:val="28"/>
          <w:szCs w:val="28"/>
        </w:rPr>
      </w:pPr>
      <w:r w:rsidRPr="00352F0C">
        <w:rPr>
          <w:i/>
          <w:sz w:val="28"/>
          <w:szCs w:val="28"/>
          <w:u w:val="single" w:color="000000"/>
        </w:rPr>
        <w:t>Biotransformation</w:t>
      </w:r>
    </w:p>
    <w:p w14:paraId="0C03EF56" w14:textId="77777777" w:rsidR="00352F0C" w:rsidRPr="00352F0C" w:rsidRDefault="00000000" w:rsidP="00352F0C">
      <w:pPr>
        <w:spacing w:after="240" w:line="360" w:lineRule="auto"/>
        <w:ind w:left="720" w:firstLine="0"/>
        <w:jc w:val="thaiDistribute"/>
        <w:rPr>
          <w:sz w:val="28"/>
          <w:szCs w:val="28"/>
        </w:rPr>
      </w:pPr>
      <w:r w:rsidRPr="00352F0C">
        <w:rPr>
          <w:sz w:val="28"/>
          <w:szCs w:val="28"/>
        </w:rPr>
        <w:t xml:space="preserve">Low concentrations of four metabolites have been reported, which were identified as: desethyleneciprofloxacin (M 1), sulphociprofloxacin (M 2), oxociprofloxacin (M 3) and formylciprofloxacin (M 4). The metabolites display </w:t>
      </w:r>
      <w:r w:rsidRPr="00352F0C">
        <w:rPr>
          <w:i/>
          <w:sz w:val="28"/>
          <w:szCs w:val="28"/>
        </w:rPr>
        <w:t xml:space="preserve">in-vitro </w:t>
      </w:r>
      <w:r w:rsidRPr="00352F0C">
        <w:rPr>
          <w:sz w:val="28"/>
          <w:szCs w:val="28"/>
        </w:rPr>
        <w:t>antimicrobial activity but to a lower degree than the parent compound.</w:t>
      </w:r>
    </w:p>
    <w:p w14:paraId="28EC6D51" w14:textId="77777777" w:rsidR="00352F0C" w:rsidRPr="00352F0C" w:rsidRDefault="00000000" w:rsidP="00352F0C">
      <w:pPr>
        <w:spacing w:after="240" w:line="360" w:lineRule="auto"/>
        <w:ind w:left="720" w:firstLine="0"/>
        <w:jc w:val="thaiDistribute"/>
        <w:rPr>
          <w:sz w:val="28"/>
          <w:szCs w:val="28"/>
        </w:rPr>
      </w:pPr>
      <w:r w:rsidRPr="00352F0C">
        <w:rPr>
          <w:sz w:val="28"/>
          <w:szCs w:val="28"/>
        </w:rPr>
        <w:t>Ciprofloxacin is known to be a moderate inhibitor of the CYP 450 1A2 iso-enzymes.</w:t>
      </w:r>
    </w:p>
    <w:p w14:paraId="73BDFA0B" w14:textId="77777777" w:rsidR="00352F0C" w:rsidRPr="00352F0C" w:rsidRDefault="00000000" w:rsidP="00352F0C">
      <w:pPr>
        <w:spacing w:after="240" w:line="360" w:lineRule="auto"/>
        <w:ind w:left="720" w:firstLine="0"/>
        <w:jc w:val="thaiDistribute"/>
        <w:rPr>
          <w:sz w:val="28"/>
          <w:szCs w:val="28"/>
        </w:rPr>
      </w:pPr>
      <w:r w:rsidRPr="00352F0C">
        <w:rPr>
          <w:i/>
          <w:sz w:val="28"/>
          <w:szCs w:val="28"/>
          <w:u w:val="single" w:color="000000"/>
        </w:rPr>
        <w:lastRenderedPageBreak/>
        <w:t>Elimination</w:t>
      </w:r>
    </w:p>
    <w:p w14:paraId="697F470E" w14:textId="24EB58E4" w:rsidR="00AE0FAF" w:rsidRPr="00352F0C" w:rsidRDefault="00000000" w:rsidP="00352F0C">
      <w:pPr>
        <w:spacing w:after="0" w:line="360" w:lineRule="auto"/>
        <w:ind w:left="720" w:firstLine="0"/>
        <w:jc w:val="thaiDistribute"/>
        <w:rPr>
          <w:sz w:val="28"/>
          <w:szCs w:val="28"/>
        </w:rPr>
      </w:pPr>
      <w:r w:rsidRPr="00352F0C">
        <w:rPr>
          <w:sz w:val="28"/>
          <w:szCs w:val="28"/>
        </w:rPr>
        <w:t>Ciprofloxacin is largely excreted unchanged both renally and, to a smaller extent, faecally.</w:t>
      </w:r>
    </w:p>
    <w:tbl>
      <w:tblPr>
        <w:tblStyle w:val="TableGrid"/>
        <w:tblW w:w="7812" w:type="dxa"/>
        <w:jc w:val="right"/>
        <w:tblInd w:w="0" w:type="dxa"/>
        <w:tblCellMar>
          <w:top w:w="107" w:type="dxa"/>
          <w:left w:w="98" w:type="dxa"/>
          <w:bottom w:w="10" w:type="dxa"/>
          <w:right w:w="105" w:type="dxa"/>
        </w:tblCellMar>
        <w:tblLook w:val="04A0" w:firstRow="1" w:lastRow="0" w:firstColumn="1" w:lastColumn="0" w:noHBand="0" w:noVBand="1"/>
      </w:tblPr>
      <w:tblGrid>
        <w:gridCol w:w="2610"/>
        <w:gridCol w:w="2610"/>
        <w:gridCol w:w="2592"/>
      </w:tblGrid>
      <w:tr w:rsidR="00352F0C" w:rsidRPr="00352F0C" w14:paraId="270BB53E" w14:textId="77777777" w:rsidTr="00352F0C">
        <w:trPr>
          <w:trHeight w:val="69"/>
          <w:jc w:val="right"/>
        </w:trPr>
        <w:tc>
          <w:tcPr>
            <w:tcW w:w="7812" w:type="dxa"/>
            <w:gridSpan w:val="3"/>
            <w:tcBorders>
              <w:top w:val="single" w:sz="8" w:space="0" w:color="000000"/>
              <w:left w:val="single" w:sz="8" w:space="0" w:color="000000"/>
              <w:bottom w:val="single" w:sz="8" w:space="0" w:color="000000"/>
              <w:right w:val="single" w:sz="8" w:space="0" w:color="000000"/>
            </w:tcBorders>
            <w:vAlign w:val="center"/>
          </w:tcPr>
          <w:p w14:paraId="6D45BA5F" w14:textId="64F22A03" w:rsidR="00352F0C" w:rsidRPr="00352F0C" w:rsidRDefault="00352F0C" w:rsidP="00352F0C">
            <w:pPr>
              <w:spacing w:after="160" w:line="259" w:lineRule="auto"/>
              <w:ind w:left="0" w:firstLine="0"/>
              <w:jc w:val="center"/>
              <w:rPr>
                <w:sz w:val="24"/>
                <w:szCs w:val="24"/>
              </w:rPr>
            </w:pPr>
            <w:r w:rsidRPr="00352F0C">
              <w:rPr>
                <w:b/>
                <w:sz w:val="24"/>
                <w:szCs w:val="24"/>
              </w:rPr>
              <w:t>Excretion of ciprofloxacin (% of dose)</w:t>
            </w:r>
          </w:p>
        </w:tc>
      </w:tr>
      <w:tr w:rsidR="00352F0C" w:rsidRPr="00352F0C" w14:paraId="5131F9D8" w14:textId="77777777" w:rsidTr="00352F0C">
        <w:trPr>
          <w:trHeight w:val="35"/>
          <w:jc w:val="right"/>
        </w:trPr>
        <w:tc>
          <w:tcPr>
            <w:tcW w:w="2610" w:type="dxa"/>
            <w:vMerge w:val="restart"/>
            <w:tcBorders>
              <w:top w:val="single" w:sz="8" w:space="0" w:color="000000"/>
              <w:left w:val="single" w:sz="8" w:space="0" w:color="000000"/>
              <w:bottom w:val="single" w:sz="8" w:space="0" w:color="000000"/>
              <w:right w:val="single" w:sz="8" w:space="0" w:color="000000"/>
            </w:tcBorders>
            <w:vAlign w:val="center"/>
          </w:tcPr>
          <w:p w14:paraId="0734C034" w14:textId="77777777" w:rsidR="00352F0C" w:rsidRPr="00352F0C" w:rsidRDefault="00352F0C" w:rsidP="00352F0C">
            <w:pPr>
              <w:spacing w:after="160" w:line="259" w:lineRule="auto"/>
              <w:ind w:left="0" w:firstLine="0"/>
              <w:jc w:val="center"/>
              <w:rPr>
                <w:sz w:val="24"/>
                <w:szCs w:val="24"/>
              </w:rPr>
            </w:pPr>
          </w:p>
        </w:tc>
        <w:tc>
          <w:tcPr>
            <w:tcW w:w="5202" w:type="dxa"/>
            <w:gridSpan w:val="2"/>
            <w:tcBorders>
              <w:top w:val="single" w:sz="8" w:space="0" w:color="000000"/>
              <w:left w:val="single" w:sz="8" w:space="0" w:color="000000"/>
              <w:bottom w:val="single" w:sz="8" w:space="0" w:color="000000"/>
              <w:right w:val="single" w:sz="8" w:space="0" w:color="000000"/>
            </w:tcBorders>
            <w:vAlign w:val="center"/>
          </w:tcPr>
          <w:p w14:paraId="54A82220" w14:textId="541FE45D" w:rsidR="00352F0C" w:rsidRPr="00352F0C" w:rsidRDefault="00352F0C" w:rsidP="00352F0C">
            <w:pPr>
              <w:spacing w:after="160" w:line="259" w:lineRule="auto"/>
              <w:ind w:left="0" w:firstLine="0"/>
              <w:jc w:val="center"/>
              <w:rPr>
                <w:sz w:val="24"/>
                <w:szCs w:val="24"/>
              </w:rPr>
            </w:pPr>
            <w:r w:rsidRPr="00352F0C">
              <w:rPr>
                <w:b/>
                <w:sz w:val="24"/>
                <w:szCs w:val="24"/>
              </w:rPr>
              <w:t>Intravenous Administration</w:t>
            </w:r>
          </w:p>
        </w:tc>
      </w:tr>
      <w:tr w:rsidR="00AE0FAF" w:rsidRPr="00352F0C" w14:paraId="692FA72C" w14:textId="77777777" w:rsidTr="00352F0C">
        <w:trPr>
          <w:trHeight w:val="335"/>
          <w:jc w:val="right"/>
        </w:trPr>
        <w:tc>
          <w:tcPr>
            <w:tcW w:w="0" w:type="auto"/>
            <w:vMerge/>
            <w:tcBorders>
              <w:top w:val="nil"/>
              <w:left w:val="single" w:sz="8" w:space="0" w:color="000000"/>
              <w:bottom w:val="single" w:sz="8" w:space="0" w:color="000000"/>
              <w:right w:val="single" w:sz="8" w:space="0" w:color="000000"/>
            </w:tcBorders>
            <w:vAlign w:val="center"/>
          </w:tcPr>
          <w:p w14:paraId="054AB39B" w14:textId="77777777" w:rsidR="00AE0FAF" w:rsidRPr="00352F0C" w:rsidRDefault="00AE0FAF" w:rsidP="00352F0C">
            <w:pPr>
              <w:spacing w:after="160" w:line="259" w:lineRule="auto"/>
              <w:ind w:left="0" w:firstLine="0"/>
              <w:jc w:val="center"/>
              <w:rPr>
                <w:sz w:val="24"/>
                <w:szCs w:val="24"/>
              </w:rPr>
            </w:pPr>
          </w:p>
        </w:tc>
        <w:tc>
          <w:tcPr>
            <w:tcW w:w="2610" w:type="dxa"/>
            <w:tcBorders>
              <w:top w:val="single" w:sz="8" w:space="0" w:color="000000"/>
              <w:left w:val="single" w:sz="8" w:space="0" w:color="000000"/>
              <w:bottom w:val="single" w:sz="8" w:space="0" w:color="000000"/>
              <w:right w:val="single" w:sz="8" w:space="0" w:color="000000"/>
            </w:tcBorders>
            <w:vAlign w:val="center"/>
          </w:tcPr>
          <w:p w14:paraId="1DD8F683" w14:textId="77777777" w:rsidR="00AE0FAF" w:rsidRPr="00352F0C" w:rsidRDefault="00000000" w:rsidP="00352F0C">
            <w:pPr>
              <w:spacing w:after="0" w:line="259" w:lineRule="auto"/>
              <w:ind w:left="5" w:firstLine="0"/>
              <w:jc w:val="center"/>
              <w:rPr>
                <w:sz w:val="24"/>
                <w:szCs w:val="24"/>
              </w:rPr>
            </w:pPr>
            <w:r w:rsidRPr="00352F0C">
              <w:rPr>
                <w:b/>
                <w:sz w:val="24"/>
                <w:szCs w:val="24"/>
              </w:rPr>
              <w:t>Urine</w:t>
            </w:r>
          </w:p>
        </w:tc>
        <w:tc>
          <w:tcPr>
            <w:tcW w:w="2592" w:type="dxa"/>
            <w:tcBorders>
              <w:top w:val="single" w:sz="8" w:space="0" w:color="000000"/>
              <w:left w:val="single" w:sz="8" w:space="0" w:color="000000"/>
              <w:bottom w:val="single" w:sz="8" w:space="0" w:color="000000"/>
              <w:right w:val="single" w:sz="8" w:space="0" w:color="000000"/>
            </w:tcBorders>
            <w:vAlign w:val="center"/>
          </w:tcPr>
          <w:p w14:paraId="2775B1B8" w14:textId="77777777" w:rsidR="00AE0FAF" w:rsidRPr="00352F0C" w:rsidRDefault="00000000" w:rsidP="00352F0C">
            <w:pPr>
              <w:spacing w:after="0" w:line="259" w:lineRule="auto"/>
              <w:ind w:left="0" w:firstLine="0"/>
              <w:jc w:val="center"/>
              <w:rPr>
                <w:sz w:val="24"/>
                <w:szCs w:val="24"/>
              </w:rPr>
            </w:pPr>
            <w:r w:rsidRPr="00352F0C">
              <w:rPr>
                <w:b/>
                <w:sz w:val="24"/>
                <w:szCs w:val="24"/>
              </w:rPr>
              <w:t>Faeces</w:t>
            </w:r>
          </w:p>
        </w:tc>
      </w:tr>
      <w:tr w:rsidR="00AE0FAF" w:rsidRPr="00352F0C" w14:paraId="4430836D" w14:textId="77777777" w:rsidTr="00352F0C">
        <w:trPr>
          <w:trHeight w:val="315"/>
          <w:jc w:val="right"/>
        </w:trPr>
        <w:tc>
          <w:tcPr>
            <w:tcW w:w="2610" w:type="dxa"/>
            <w:tcBorders>
              <w:top w:val="single" w:sz="8" w:space="0" w:color="000000"/>
              <w:left w:val="single" w:sz="8" w:space="0" w:color="000000"/>
              <w:bottom w:val="single" w:sz="8" w:space="0" w:color="000000"/>
              <w:right w:val="single" w:sz="8" w:space="0" w:color="000000"/>
            </w:tcBorders>
          </w:tcPr>
          <w:p w14:paraId="642D4030" w14:textId="77777777" w:rsidR="00AE0FAF" w:rsidRPr="00352F0C" w:rsidRDefault="00000000">
            <w:pPr>
              <w:spacing w:after="0" w:line="259" w:lineRule="auto"/>
              <w:ind w:left="10" w:firstLine="0"/>
              <w:rPr>
                <w:b/>
                <w:bCs/>
                <w:sz w:val="24"/>
                <w:szCs w:val="24"/>
              </w:rPr>
            </w:pPr>
            <w:r w:rsidRPr="00352F0C">
              <w:rPr>
                <w:b/>
                <w:bCs/>
                <w:sz w:val="24"/>
                <w:szCs w:val="24"/>
              </w:rPr>
              <w:t>Ciprofloxacin</w:t>
            </w:r>
          </w:p>
        </w:tc>
        <w:tc>
          <w:tcPr>
            <w:tcW w:w="2610" w:type="dxa"/>
            <w:tcBorders>
              <w:top w:val="single" w:sz="8" w:space="0" w:color="000000"/>
              <w:left w:val="single" w:sz="8" w:space="0" w:color="000000"/>
              <w:bottom w:val="single" w:sz="8" w:space="0" w:color="000000"/>
              <w:right w:val="single" w:sz="8" w:space="0" w:color="000000"/>
            </w:tcBorders>
            <w:vAlign w:val="center"/>
          </w:tcPr>
          <w:p w14:paraId="37045F49" w14:textId="77777777" w:rsidR="00AE0FAF" w:rsidRPr="00352F0C" w:rsidRDefault="00000000" w:rsidP="00352F0C">
            <w:pPr>
              <w:spacing w:after="0" w:line="259" w:lineRule="auto"/>
              <w:ind w:left="5" w:firstLine="0"/>
              <w:jc w:val="center"/>
              <w:rPr>
                <w:sz w:val="24"/>
                <w:szCs w:val="24"/>
              </w:rPr>
            </w:pPr>
            <w:r w:rsidRPr="00352F0C">
              <w:rPr>
                <w:sz w:val="24"/>
                <w:szCs w:val="24"/>
              </w:rPr>
              <w:t>61.5</w:t>
            </w:r>
          </w:p>
        </w:tc>
        <w:tc>
          <w:tcPr>
            <w:tcW w:w="2592" w:type="dxa"/>
            <w:tcBorders>
              <w:top w:val="single" w:sz="8" w:space="0" w:color="000000"/>
              <w:left w:val="single" w:sz="8" w:space="0" w:color="000000"/>
              <w:bottom w:val="single" w:sz="8" w:space="0" w:color="000000"/>
              <w:right w:val="single" w:sz="8" w:space="0" w:color="000000"/>
            </w:tcBorders>
            <w:vAlign w:val="center"/>
          </w:tcPr>
          <w:p w14:paraId="3DC831EF" w14:textId="77777777" w:rsidR="00AE0FAF" w:rsidRPr="00352F0C" w:rsidRDefault="00000000" w:rsidP="00352F0C">
            <w:pPr>
              <w:spacing w:after="0" w:line="259" w:lineRule="auto"/>
              <w:ind w:left="0" w:firstLine="0"/>
              <w:jc w:val="center"/>
              <w:rPr>
                <w:sz w:val="24"/>
                <w:szCs w:val="24"/>
              </w:rPr>
            </w:pPr>
            <w:r w:rsidRPr="00352F0C">
              <w:rPr>
                <w:sz w:val="24"/>
                <w:szCs w:val="24"/>
              </w:rPr>
              <w:t>15.2</w:t>
            </w:r>
          </w:p>
        </w:tc>
      </w:tr>
      <w:tr w:rsidR="00AE0FAF" w:rsidRPr="00352F0C" w14:paraId="16EF7B6C" w14:textId="77777777" w:rsidTr="00352F0C">
        <w:trPr>
          <w:trHeight w:val="335"/>
          <w:jc w:val="right"/>
        </w:trPr>
        <w:tc>
          <w:tcPr>
            <w:tcW w:w="2610" w:type="dxa"/>
            <w:tcBorders>
              <w:top w:val="single" w:sz="8" w:space="0" w:color="000000"/>
              <w:left w:val="single" w:sz="8" w:space="0" w:color="000000"/>
              <w:bottom w:val="single" w:sz="8" w:space="0" w:color="000000"/>
              <w:right w:val="single" w:sz="8" w:space="0" w:color="000000"/>
            </w:tcBorders>
            <w:vAlign w:val="bottom"/>
          </w:tcPr>
          <w:p w14:paraId="142ED221" w14:textId="77777777" w:rsidR="00AE0FAF" w:rsidRPr="00352F0C" w:rsidRDefault="00000000">
            <w:pPr>
              <w:spacing w:after="0" w:line="259" w:lineRule="auto"/>
              <w:ind w:left="10" w:firstLine="0"/>
              <w:rPr>
                <w:b/>
                <w:bCs/>
                <w:sz w:val="24"/>
                <w:szCs w:val="24"/>
              </w:rPr>
            </w:pPr>
            <w:r w:rsidRPr="00352F0C">
              <w:rPr>
                <w:b/>
                <w:bCs/>
                <w:sz w:val="24"/>
                <w:szCs w:val="24"/>
              </w:rPr>
              <w:t>Metabolites (M1-M4)</w:t>
            </w:r>
          </w:p>
        </w:tc>
        <w:tc>
          <w:tcPr>
            <w:tcW w:w="2610" w:type="dxa"/>
            <w:tcBorders>
              <w:top w:val="single" w:sz="8" w:space="0" w:color="000000"/>
              <w:left w:val="single" w:sz="8" w:space="0" w:color="000000"/>
              <w:bottom w:val="single" w:sz="8" w:space="0" w:color="000000"/>
              <w:right w:val="single" w:sz="8" w:space="0" w:color="000000"/>
            </w:tcBorders>
            <w:vAlign w:val="center"/>
          </w:tcPr>
          <w:p w14:paraId="633FF42F" w14:textId="77777777" w:rsidR="00AE0FAF" w:rsidRPr="00352F0C" w:rsidRDefault="00000000" w:rsidP="00352F0C">
            <w:pPr>
              <w:spacing w:after="0" w:line="259" w:lineRule="auto"/>
              <w:ind w:left="5" w:firstLine="0"/>
              <w:jc w:val="center"/>
              <w:rPr>
                <w:sz w:val="24"/>
                <w:szCs w:val="24"/>
              </w:rPr>
            </w:pPr>
            <w:r w:rsidRPr="00352F0C">
              <w:rPr>
                <w:sz w:val="24"/>
                <w:szCs w:val="24"/>
              </w:rPr>
              <w:t>9.5</w:t>
            </w:r>
          </w:p>
        </w:tc>
        <w:tc>
          <w:tcPr>
            <w:tcW w:w="2592" w:type="dxa"/>
            <w:tcBorders>
              <w:top w:val="single" w:sz="8" w:space="0" w:color="000000"/>
              <w:left w:val="single" w:sz="8" w:space="0" w:color="000000"/>
              <w:bottom w:val="single" w:sz="8" w:space="0" w:color="000000"/>
              <w:right w:val="single" w:sz="8" w:space="0" w:color="000000"/>
            </w:tcBorders>
            <w:vAlign w:val="center"/>
          </w:tcPr>
          <w:p w14:paraId="278791C2" w14:textId="77777777" w:rsidR="00AE0FAF" w:rsidRPr="00352F0C" w:rsidRDefault="00000000" w:rsidP="00352F0C">
            <w:pPr>
              <w:spacing w:after="0" w:line="259" w:lineRule="auto"/>
              <w:ind w:left="0" w:firstLine="0"/>
              <w:jc w:val="center"/>
              <w:rPr>
                <w:sz w:val="24"/>
                <w:szCs w:val="24"/>
              </w:rPr>
            </w:pPr>
            <w:r w:rsidRPr="00352F0C">
              <w:rPr>
                <w:sz w:val="24"/>
                <w:szCs w:val="24"/>
              </w:rPr>
              <w:t>2.6</w:t>
            </w:r>
          </w:p>
        </w:tc>
      </w:tr>
    </w:tbl>
    <w:p w14:paraId="48AFE050" w14:textId="77777777" w:rsidR="00352F0C" w:rsidRDefault="00000000" w:rsidP="00352F0C">
      <w:pPr>
        <w:spacing w:before="240" w:after="240" w:line="360" w:lineRule="auto"/>
        <w:ind w:left="720" w:right="11" w:firstLine="0"/>
        <w:jc w:val="thaiDistribute"/>
        <w:rPr>
          <w:sz w:val="28"/>
          <w:szCs w:val="28"/>
        </w:rPr>
      </w:pPr>
      <w:r w:rsidRPr="00352F0C">
        <w:rPr>
          <w:sz w:val="28"/>
          <w:szCs w:val="28"/>
        </w:rPr>
        <w:t>Renal clearance is between 180-300 mL/kg/h and the total body clearance is between</w:t>
      </w:r>
      <w:r w:rsidR="00352F0C">
        <w:rPr>
          <w:sz w:val="28"/>
          <w:szCs w:val="28"/>
        </w:rPr>
        <w:t xml:space="preserve"> </w:t>
      </w:r>
      <w:r w:rsidRPr="00352F0C">
        <w:rPr>
          <w:sz w:val="28"/>
          <w:szCs w:val="28"/>
        </w:rPr>
        <w:t>480-600 mL/kg/h. Ciprofloxacin undergoes both glomerular filtration and tubular secretion. Severely impaired renal function leads to increased half lives of ciprofloxacin of up to 12 h.</w:t>
      </w:r>
    </w:p>
    <w:p w14:paraId="5D786E7F" w14:textId="77777777" w:rsidR="00352F0C" w:rsidRDefault="00000000" w:rsidP="00352F0C">
      <w:pPr>
        <w:spacing w:before="240" w:after="240" w:line="360" w:lineRule="auto"/>
        <w:ind w:left="720" w:right="11" w:firstLine="0"/>
        <w:jc w:val="thaiDistribute"/>
        <w:rPr>
          <w:sz w:val="28"/>
          <w:szCs w:val="28"/>
        </w:rPr>
      </w:pPr>
      <w:r w:rsidRPr="00352F0C">
        <w:rPr>
          <w:sz w:val="28"/>
          <w:szCs w:val="28"/>
        </w:rPr>
        <w:t>Non-renal clearance of ciprofloxacin is mainly due to active trans-intestinal secretion and metabolism.</w:t>
      </w:r>
      <w:r w:rsidR="00352F0C">
        <w:rPr>
          <w:sz w:val="28"/>
          <w:szCs w:val="28"/>
        </w:rPr>
        <w:t xml:space="preserve"> </w:t>
      </w:r>
      <w:r w:rsidRPr="00352F0C">
        <w:rPr>
          <w:sz w:val="28"/>
          <w:szCs w:val="28"/>
        </w:rPr>
        <w:t>1% of the dose is excreted via the biliary route. Ciprofloxacin is present in the bile in high concentrations.</w:t>
      </w:r>
    </w:p>
    <w:p w14:paraId="1664BE98" w14:textId="77777777" w:rsidR="00352F0C" w:rsidRPr="00352F0C" w:rsidRDefault="00000000" w:rsidP="00352F0C">
      <w:pPr>
        <w:spacing w:before="240" w:after="6" w:line="360" w:lineRule="auto"/>
        <w:ind w:left="720" w:right="13" w:firstLine="0"/>
        <w:jc w:val="thaiDistribute"/>
        <w:rPr>
          <w:iCs/>
          <w:sz w:val="28"/>
          <w:szCs w:val="28"/>
        </w:rPr>
      </w:pPr>
      <w:r w:rsidRPr="00352F0C">
        <w:rPr>
          <w:iCs/>
          <w:sz w:val="28"/>
          <w:szCs w:val="28"/>
          <w:u w:val="single" w:color="000000"/>
        </w:rPr>
        <w:t>Paediatric patients</w:t>
      </w:r>
    </w:p>
    <w:p w14:paraId="7213E297" w14:textId="77777777" w:rsidR="00352F0C" w:rsidRDefault="00000000" w:rsidP="00352F0C">
      <w:pPr>
        <w:spacing w:before="240" w:after="240" w:line="360" w:lineRule="auto"/>
        <w:ind w:left="720" w:right="11" w:firstLine="0"/>
        <w:jc w:val="thaiDistribute"/>
        <w:rPr>
          <w:sz w:val="28"/>
          <w:szCs w:val="28"/>
        </w:rPr>
      </w:pPr>
      <w:r w:rsidRPr="00352F0C">
        <w:rPr>
          <w:sz w:val="28"/>
          <w:szCs w:val="28"/>
        </w:rPr>
        <w:t>The pharmacokinetic data in paediatric patients are limited.</w:t>
      </w:r>
    </w:p>
    <w:p w14:paraId="7AC1EC6A" w14:textId="77777777" w:rsidR="00352F0C" w:rsidRDefault="00000000" w:rsidP="00352F0C">
      <w:pPr>
        <w:spacing w:before="240" w:after="240" w:line="360" w:lineRule="auto"/>
        <w:ind w:left="720" w:right="11" w:firstLine="0"/>
        <w:jc w:val="thaiDistribute"/>
        <w:rPr>
          <w:sz w:val="28"/>
          <w:szCs w:val="28"/>
        </w:rPr>
      </w:pPr>
      <w:r w:rsidRPr="00352F0C">
        <w:rPr>
          <w:sz w:val="28"/>
          <w:szCs w:val="28"/>
        </w:rPr>
        <w:t xml:space="preserve">In a study in children Cmax and AUC were not age-dependent (above one year of age). No notable increase in Cmax and AUC upon multiple dosing (10 mg/kg three times daily) was observed. In 10 children with severe sepsis Cmax was 6.1 mg/L (range 4.6-8.3 mg/L) after a 1-hour intravenous infusion of 10 mg/kg in children aged less than 1 year compared to 7.2 mg/L (range 4.7-11.8 mg/L) for children between 1 and </w:t>
      </w:r>
      <w:r w:rsidRPr="00352F0C">
        <w:rPr>
          <w:sz w:val="28"/>
          <w:szCs w:val="28"/>
        </w:rPr>
        <w:lastRenderedPageBreak/>
        <w:t>5 years of age. The AUC values were 17.4 mg*h/L (range 11.8-32.0 mg*h/L) and 16.5 mg*h/L (range 11.0-23.8 mg*h/L) in the respective age groups.</w:t>
      </w:r>
    </w:p>
    <w:p w14:paraId="27755F1C" w14:textId="2E046C77" w:rsidR="00AE0FAF" w:rsidRPr="00352F0C" w:rsidRDefault="00000000" w:rsidP="00352F0C">
      <w:pPr>
        <w:spacing w:before="240" w:after="240" w:line="360" w:lineRule="auto"/>
        <w:ind w:left="720" w:right="11" w:firstLine="0"/>
        <w:jc w:val="thaiDistribute"/>
        <w:rPr>
          <w:sz w:val="28"/>
          <w:szCs w:val="28"/>
        </w:rPr>
      </w:pPr>
      <w:r w:rsidRPr="00352F0C">
        <w:rPr>
          <w:sz w:val="28"/>
          <w:szCs w:val="28"/>
        </w:rPr>
        <w:t>These values are within the range reported for adults at therapeutic doses. Based on population pharmacokinetic analysis of paediatric patients with various infections, the predicted mean half-life in children is approx. 4-5 hours and the bioavailability of the oral suspension ranges from 50 to 80%.</w:t>
      </w:r>
    </w:p>
    <w:p w14:paraId="5CCE7768" w14:textId="084AE701" w:rsidR="00AE0FAF" w:rsidRPr="00352F0C" w:rsidRDefault="00000000" w:rsidP="00352F0C">
      <w:pPr>
        <w:pStyle w:val="Heading2"/>
        <w:numPr>
          <w:ilvl w:val="1"/>
          <w:numId w:val="7"/>
        </w:numPr>
        <w:tabs>
          <w:tab w:val="center" w:pos="1875"/>
        </w:tabs>
        <w:spacing w:after="240" w:line="264" w:lineRule="auto"/>
        <w:ind w:left="788" w:hanging="431"/>
        <w:rPr>
          <w:sz w:val="28"/>
          <w:szCs w:val="32"/>
        </w:rPr>
      </w:pPr>
      <w:r w:rsidRPr="00352F0C">
        <w:rPr>
          <w:sz w:val="28"/>
          <w:szCs w:val="32"/>
        </w:rPr>
        <w:t>Preclinical safety data</w:t>
      </w:r>
    </w:p>
    <w:p w14:paraId="77C7C07F" w14:textId="77777777" w:rsidR="00AE0FAF" w:rsidRPr="00352F0C" w:rsidRDefault="00000000" w:rsidP="00352F0C">
      <w:pPr>
        <w:spacing w:after="240" w:line="360" w:lineRule="auto"/>
        <w:ind w:left="759" w:right="11" w:hanging="11"/>
        <w:jc w:val="thaiDistribute"/>
        <w:rPr>
          <w:sz w:val="28"/>
          <w:szCs w:val="28"/>
        </w:rPr>
      </w:pPr>
      <w:r w:rsidRPr="00352F0C">
        <w:rPr>
          <w:sz w:val="28"/>
          <w:szCs w:val="28"/>
        </w:rPr>
        <w:t>Non-clinical data reveal no special hazards for humans based on conventional studies of single dose toxicity, repeated dose toxicity, carcinogenic potential, or toxicity to reproduction.</w:t>
      </w:r>
    </w:p>
    <w:p w14:paraId="4530C1AC" w14:textId="77777777" w:rsidR="00AE0FAF" w:rsidRPr="00352F0C" w:rsidRDefault="00000000" w:rsidP="00352F0C">
      <w:pPr>
        <w:spacing w:after="240" w:line="360" w:lineRule="auto"/>
        <w:ind w:left="759" w:right="11" w:hanging="11"/>
        <w:jc w:val="thaiDistribute"/>
        <w:rPr>
          <w:sz w:val="28"/>
          <w:szCs w:val="28"/>
        </w:rPr>
      </w:pPr>
      <w:r w:rsidRPr="00352F0C">
        <w:rPr>
          <w:sz w:val="28"/>
          <w:szCs w:val="28"/>
        </w:rPr>
        <w:t xml:space="preserve">Like a number of other quinolones, </w:t>
      </w:r>
      <w:r w:rsidRPr="00352F0C">
        <w:rPr>
          <w:color w:val="FF0000"/>
          <w:sz w:val="28"/>
          <w:szCs w:val="28"/>
        </w:rPr>
        <w:t xml:space="preserve">&lt;GENERIC NAME&gt; </w:t>
      </w:r>
      <w:r w:rsidRPr="00352F0C">
        <w:rPr>
          <w:sz w:val="28"/>
          <w:szCs w:val="28"/>
        </w:rPr>
        <w:t xml:space="preserve">is phototoxic in animals at clinically relevant exposure levels. Data on photomutagenicity/ photocarcinogenicity show a weak photomutagenic or phototumorigenic effect of </w:t>
      </w:r>
      <w:r w:rsidRPr="00352F0C">
        <w:rPr>
          <w:color w:val="FF0000"/>
          <w:sz w:val="28"/>
          <w:szCs w:val="28"/>
        </w:rPr>
        <w:t xml:space="preserve">&lt;GENERIC NAME&gt; </w:t>
      </w:r>
      <w:r w:rsidRPr="00352F0C">
        <w:rPr>
          <w:i/>
          <w:sz w:val="28"/>
          <w:szCs w:val="28"/>
        </w:rPr>
        <w:t xml:space="preserve">in-vitro </w:t>
      </w:r>
      <w:r w:rsidRPr="00352F0C">
        <w:rPr>
          <w:sz w:val="28"/>
          <w:szCs w:val="28"/>
        </w:rPr>
        <w:t>and in animal experiments. This effect was comparable to that of other gyrase inhibitors.</w:t>
      </w:r>
    </w:p>
    <w:p w14:paraId="7A82AEC9" w14:textId="77777777" w:rsidR="00AE0FAF" w:rsidRPr="00352F0C" w:rsidRDefault="00000000" w:rsidP="00352F0C">
      <w:pPr>
        <w:spacing w:after="240" w:line="259" w:lineRule="auto"/>
        <w:ind w:left="759" w:hanging="11"/>
        <w:jc w:val="thaiDistribute"/>
        <w:rPr>
          <w:iCs/>
          <w:sz w:val="28"/>
          <w:szCs w:val="28"/>
        </w:rPr>
      </w:pPr>
      <w:r w:rsidRPr="00352F0C">
        <w:rPr>
          <w:iCs/>
          <w:sz w:val="28"/>
          <w:szCs w:val="28"/>
          <w:u w:val="single" w:color="000000"/>
        </w:rPr>
        <w:t>Articular tolerability:</w:t>
      </w:r>
    </w:p>
    <w:p w14:paraId="027843EB" w14:textId="77777777" w:rsidR="00AE0FAF" w:rsidRDefault="00000000" w:rsidP="00352F0C">
      <w:pPr>
        <w:spacing w:after="240" w:line="360" w:lineRule="auto"/>
        <w:ind w:left="759" w:right="11" w:hanging="11"/>
        <w:jc w:val="thaiDistribute"/>
      </w:pPr>
      <w:r w:rsidRPr="00352F0C">
        <w:rPr>
          <w:sz w:val="28"/>
          <w:szCs w:val="28"/>
        </w:rPr>
        <w:t xml:space="preserve">As reported for other gyrase inhibitors, </w:t>
      </w:r>
      <w:r w:rsidRPr="00352F0C">
        <w:rPr>
          <w:color w:val="FF0000"/>
          <w:sz w:val="28"/>
          <w:szCs w:val="28"/>
        </w:rPr>
        <w:t xml:space="preserve">&lt;GENERIC NAME&gt; </w:t>
      </w:r>
      <w:r w:rsidRPr="00352F0C">
        <w:rPr>
          <w:sz w:val="28"/>
          <w:szCs w:val="28"/>
        </w:rPr>
        <w:t xml:space="preserve">causes damage to the large weightbearing joints in immature animals. The extent of the cartilage damage varies according to age, species and dose; the damage can be reduced by taking the weight off the joints. Studies with mature animals (rat, dog) revealed no evidence of cartilage </w:t>
      </w:r>
      <w:r w:rsidRPr="00352F0C">
        <w:rPr>
          <w:sz w:val="28"/>
          <w:szCs w:val="28"/>
        </w:rPr>
        <w:lastRenderedPageBreak/>
        <w:t xml:space="preserve">lesions. In a study in young beagle dogs, </w:t>
      </w:r>
      <w:r w:rsidRPr="00352F0C">
        <w:rPr>
          <w:color w:val="FF0000"/>
          <w:sz w:val="28"/>
          <w:szCs w:val="28"/>
        </w:rPr>
        <w:t xml:space="preserve">&lt;GENERIC NAME&gt; </w:t>
      </w:r>
      <w:r w:rsidRPr="00352F0C">
        <w:rPr>
          <w:sz w:val="28"/>
          <w:szCs w:val="28"/>
        </w:rPr>
        <w:t>caused severe articular changes at therapeutic doses after two weeks of treatment, which were still observed after 5 months</w:t>
      </w:r>
      <w:r>
        <w:t>.</w:t>
      </w:r>
    </w:p>
    <w:p w14:paraId="1A16F302" w14:textId="77777777" w:rsidR="00352F0C" w:rsidRDefault="00000000" w:rsidP="00731B2A">
      <w:pPr>
        <w:pStyle w:val="Heading1"/>
        <w:numPr>
          <w:ilvl w:val="0"/>
          <w:numId w:val="7"/>
        </w:numPr>
        <w:tabs>
          <w:tab w:val="center" w:pos="3120"/>
        </w:tabs>
        <w:spacing w:after="240" w:line="264" w:lineRule="auto"/>
        <w:ind w:left="357" w:hanging="357"/>
      </w:pPr>
      <w:r>
        <w:t>PHARMACEUTICAL PARTICULARS</w:t>
      </w:r>
    </w:p>
    <w:p w14:paraId="5AB9C2CC" w14:textId="77777777" w:rsidR="00731B2A" w:rsidRDefault="00000000" w:rsidP="00731B2A">
      <w:pPr>
        <w:pStyle w:val="Heading1"/>
        <w:numPr>
          <w:ilvl w:val="1"/>
          <w:numId w:val="7"/>
        </w:numPr>
        <w:tabs>
          <w:tab w:val="center" w:pos="3120"/>
        </w:tabs>
        <w:spacing w:after="240" w:line="264" w:lineRule="auto"/>
        <w:ind w:left="788" w:hanging="431"/>
      </w:pPr>
      <w:r>
        <w:t>List of excipients</w:t>
      </w:r>
    </w:p>
    <w:p w14:paraId="524ED57A" w14:textId="77777777" w:rsidR="00731B2A" w:rsidRDefault="00000000" w:rsidP="00731B2A">
      <w:pPr>
        <w:pStyle w:val="Heading1"/>
        <w:tabs>
          <w:tab w:val="center" w:pos="3120"/>
        </w:tabs>
        <w:spacing w:after="240" w:line="264" w:lineRule="auto"/>
        <w:ind w:left="794" w:firstLine="0"/>
        <w:rPr>
          <w:b w:val="0"/>
          <w:bCs/>
          <w:color w:val="FF0000"/>
        </w:rPr>
      </w:pPr>
      <w:r w:rsidRPr="00731B2A">
        <w:rPr>
          <w:b w:val="0"/>
          <w:bCs/>
          <w:color w:val="FF0000"/>
        </w:rPr>
        <w:t>&lt;REGARDING THE APPROVAL&gt;</w:t>
      </w:r>
    </w:p>
    <w:p w14:paraId="32CBF34B" w14:textId="7905104A" w:rsidR="00AE0FAF" w:rsidRPr="00731B2A" w:rsidRDefault="00000000" w:rsidP="00731B2A">
      <w:pPr>
        <w:pStyle w:val="Heading1"/>
        <w:numPr>
          <w:ilvl w:val="1"/>
          <w:numId w:val="7"/>
        </w:numPr>
        <w:tabs>
          <w:tab w:val="center" w:pos="3120"/>
        </w:tabs>
        <w:spacing w:after="240" w:line="264" w:lineRule="auto"/>
        <w:ind w:left="788" w:hanging="431"/>
        <w:rPr>
          <w:b w:val="0"/>
          <w:bCs/>
        </w:rPr>
      </w:pPr>
      <w:r>
        <w:rPr>
          <w:u w:color="000000"/>
        </w:rPr>
        <w:t>Incompatibilities</w:t>
      </w:r>
    </w:p>
    <w:p w14:paraId="7C96F69D" w14:textId="77777777" w:rsidR="00731B2A" w:rsidRDefault="00000000" w:rsidP="00731B2A">
      <w:pPr>
        <w:spacing w:after="240" w:line="360" w:lineRule="auto"/>
        <w:ind w:left="759" w:hanging="11"/>
        <w:jc w:val="both"/>
        <w:rPr>
          <w:sz w:val="28"/>
          <w:szCs w:val="28"/>
        </w:rPr>
      </w:pPr>
      <w:r w:rsidRPr="00731B2A">
        <w:rPr>
          <w:sz w:val="28"/>
          <w:szCs w:val="28"/>
        </w:rPr>
        <w:t>Unless compatibility with other solutions/drugs has been confirmed, the infusion solution must always be administered separately. The visual signs of incompatibility are e.g. precipitation, clouding, and discoloration.</w:t>
      </w:r>
    </w:p>
    <w:p w14:paraId="0BA0655D" w14:textId="77777777" w:rsidR="00731B2A" w:rsidRDefault="00000000" w:rsidP="00731B2A">
      <w:pPr>
        <w:spacing w:after="240" w:line="360" w:lineRule="auto"/>
        <w:ind w:left="759" w:hanging="11"/>
        <w:jc w:val="both"/>
        <w:rPr>
          <w:sz w:val="28"/>
          <w:szCs w:val="28"/>
        </w:rPr>
      </w:pPr>
      <w:r w:rsidRPr="00731B2A">
        <w:rPr>
          <w:sz w:val="28"/>
          <w:szCs w:val="28"/>
        </w:rPr>
        <w:t>Incompatibility appears with all infusion solutions/drugs that are physically or chemically unstable at the pH of the solutions (e.g. penicillins, heparin solutions), especially in combination with solutions adjusted to an alkaline pH (pH of ciprofloxacin solutions: 3.9 –</w:t>
      </w:r>
      <w:r w:rsidR="00731B2A">
        <w:rPr>
          <w:sz w:val="28"/>
          <w:szCs w:val="28"/>
        </w:rPr>
        <w:t xml:space="preserve"> </w:t>
      </w:r>
      <w:r w:rsidRPr="00731B2A">
        <w:rPr>
          <w:sz w:val="28"/>
          <w:szCs w:val="28"/>
        </w:rPr>
        <w:t>4.5).</w:t>
      </w:r>
    </w:p>
    <w:p w14:paraId="62405640" w14:textId="680464EA" w:rsidR="00AE0FAF" w:rsidRPr="00731B2A" w:rsidRDefault="00000000" w:rsidP="00731B2A">
      <w:pPr>
        <w:spacing w:after="306" w:line="360" w:lineRule="auto"/>
        <w:jc w:val="both"/>
        <w:rPr>
          <w:sz w:val="28"/>
          <w:szCs w:val="28"/>
        </w:rPr>
      </w:pPr>
      <w:r w:rsidRPr="00731B2A">
        <w:rPr>
          <w:sz w:val="28"/>
          <w:szCs w:val="28"/>
        </w:rPr>
        <w:t>This medicinal product must not be mixed with other medicinal products except those mentioned in section 6.6.</w:t>
      </w:r>
    </w:p>
    <w:p w14:paraId="12AEFE9B" w14:textId="77777777" w:rsidR="00731B2A" w:rsidRPr="00731B2A" w:rsidRDefault="00000000" w:rsidP="00731B2A">
      <w:pPr>
        <w:pStyle w:val="ListParagraph"/>
        <w:numPr>
          <w:ilvl w:val="1"/>
          <w:numId w:val="7"/>
        </w:numPr>
        <w:spacing w:after="240" w:line="264" w:lineRule="auto"/>
        <w:ind w:left="788" w:right="726" w:hanging="431"/>
        <w:contextualSpacing w:val="0"/>
        <w:rPr>
          <w:sz w:val="28"/>
          <w:szCs w:val="28"/>
        </w:rPr>
      </w:pPr>
      <w:r w:rsidRPr="00731B2A">
        <w:rPr>
          <w:b/>
          <w:sz w:val="28"/>
          <w:szCs w:val="28"/>
        </w:rPr>
        <w:t>Shelf life</w:t>
      </w:r>
    </w:p>
    <w:p w14:paraId="1ECC24D9" w14:textId="77777777" w:rsidR="00731B2A" w:rsidRDefault="00000000" w:rsidP="00731B2A">
      <w:pPr>
        <w:pStyle w:val="ListParagraph"/>
        <w:spacing w:after="240" w:line="264" w:lineRule="auto"/>
        <w:ind w:left="794" w:right="726" w:firstLine="0"/>
        <w:contextualSpacing w:val="0"/>
        <w:rPr>
          <w:color w:val="FF0000"/>
          <w:sz w:val="28"/>
          <w:szCs w:val="28"/>
        </w:rPr>
      </w:pPr>
      <w:r w:rsidRPr="00731B2A">
        <w:rPr>
          <w:color w:val="FF0000"/>
          <w:sz w:val="28"/>
          <w:szCs w:val="28"/>
        </w:rPr>
        <w:t>&lt;REGARDING THE APPROVAL&gt;</w:t>
      </w:r>
    </w:p>
    <w:p w14:paraId="2240C786" w14:textId="77777777" w:rsidR="00731B2A" w:rsidRPr="00731B2A" w:rsidRDefault="00000000" w:rsidP="00731B2A">
      <w:pPr>
        <w:pStyle w:val="ListParagraph"/>
        <w:numPr>
          <w:ilvl w:val="1"/>
          <w:numId w:val="7"/>
        </w:numPr>
        <w:spacing w:after="240" w:line="264" w:lineRule="auto"/>
        <w:ind w:left="788" w:right="726" w:hanging="431"/>
        <w:contextualSpacing w:val="0"/>
        <w:rPr>
          <w:sz w:val="28"/>
          <w:szCs w:val="28"/>
        </w:rPr>
      </w:pPr>
      <w:r w:rsidRPr="00731B2A">
        <w:rPr>
          <w:rFonts w:cs="Times New Roman"/>
          <w:b/>
          <w:sz w:val="28"/>
          <w:szCs w:val="28"/>
        </w:rPr>
        <w:t>Special precautions for storage</w:t>
      </w:r>
    </w:p>
    <w:p w14:paraId="69F224BE" w14:textId="6292512B" w:rsidR="00AE0FAF" w:rsidRPr="00731B2A" w:rsidRDefault="00000000" w:rsidP="00731B2A">
      <w:pPr>
        <w:pStyle w:val="ListParagraph"/>
        <w:spacing w:after="240" w:line="264" w:lineRule="auto"/>
        <w:ind w:left="794" w:right="726" w:firstLine="0"/>
        <w:contextualSpacing w:val="0"/>
        <w:rPr>
          <w:sz w:val="28"/>
          <w:szCs w:val="28"/>
        </w:rPr>
      </w:pPr>
      <w:r w:rsidRPr="00731B2A">
        <w:rPr>
          <w:color w:val="FF0000"/>
          <w:sz w:val="28"/>
          <w:szCs w:val="28"/>
        </w:rPr>
        <w:t>&lt;REGARDING THE APPROVAL&gt;</w:t>
      </w:r>
    </w:p>
    <w:p w14:paraId="49CBB470" w14:textId="77777777" w:rsidR="00731B2A" w:rsidRDefault="00731B2A">
      <w:pPr>
        <w:spacing w:after="160"/>
        <w:ind w:left="0" w:firstLine="0"/>
        <w:rPr>
          <w:rFonts w:cs="Angsana New"/>
          <w:b/>
          <w:sz w:val="28"/>
          <w:szCs w:val="28"/>
        </w:rPr>
      </w:pPr>
      <w:r>
        <w:rPr>
          <w:b/>
          <w:sz w:val="28"/>
          <w:szCs w:val="28"/>
        </w:rPr>
        <w:br w:type="page"/>
      </w:r>
    </w:p>
    <w:p w14:paraId="0EE4A89F" w14:textId="77777777" w:rsidR="00731B2A" w:rsidRPr="00731B2A" w:rsidRDefault="00000000" w:rsidP="00731B2A">
      <w:pPr>
        <w:pStyle w:val="ListParagraph"/>
        <w:numPr>
          <w:ilvl w:val="1"/>
          <w:numId w:val="7"/>
        </w:numPr>
        <w:spacing w:after="240" w:line="264" w:lineRule="auto"/>
        <w:ind w:left="788" w:right="726" w:hanging="431"/>
        <w:contextualSpacing w:val="0"/>
        <w:rPr>
          <w:sz w:val="28"/>
          <w:szCs w:val="28"/>
        </w:rPr>
      </w:pPr>
      <w:r w:rsidRPr="00731B2A">
        <w:rPr>
          <w:b/>
          <w:sz w:val="28"/>
          <w:szCs w:val="28"/>
        </w:rPr>
        <w:lastRenderedPageBreak/>
        <w:t>Nature and contents of container</w:t>
      </w:r>
    </w:p>
    <w:p w14:paraId="6FB7E849" w14:textId="6CC2F958" w:rsidR="00AE0FAF" w:rsidRPr="00731B2A" w:rsidRDefault="00000000" w:rsidP="00731B2A">
      <w:pPr>
        <w:pStyle w:val="ListParagraph"/>
        <w:spacing w:after="240" w:line="264" w:lineRule="auto"/>
        <w:ind w:left="794" w:right="726" w:firstLine="0"/>
        <w:contextualSpacing w:val="0"/>
        <w:rPr>
          <w:sz w:val="28"/>
          <w:szCs w:val="28"/>
        </w:rPr>
      </w:pPr>
      <w:r w:rsidRPr="00731B2A">
        <w:rPr>
          <w:color w:val="FF0000"/>
          <w:sz w:val="28"/>
          <w:szCs w:val="28"/>
        </w:rPr>
        <w:t>&lt;REGARDING THE APPROVAL&gt;</w:t>
      </w:r>
    </w:p>
    <w:p w14:paraId="5F7A6317" w14:textId="77777777" w:rsidR="00731B2A" w:rsidRPr="00731B2A" w:rsidRDefault="00000000" w:rsidP="00731B2A">
      <w:pPr>
        <w:pStyle w:val="ListParagraph"/>
        <w:numPr>
          <w:ilvl w:val="1"/>
          <w:numId w:val="7"/>
        </w:numPr>
        <w:spacing w:after="240" w:line="264" w:lineRule="auto"/>
        <w:ind w:left="788" w:hanging="431"/>
        <w:contextualSpacing w:val="0"/>
        <w:rPr>
          <w:sz w:val="28"/>
          <w:szCs w:val="28"/>
        </w:rPr>
      </w:pPr>
      <w:r w:rsidRPr="00731B2A">
        <w:rPr>
          <w:b/>
          <w:sz w:val="28"/>
          <w:szCs w:val="28"/>
        </w:rPr>
        <w:t>Special precautions for disposal and other handling</w:t>
      </w:r>
    </w:p>
    <w:p w14:paraId="12C0EA11" w14:textId="297DF05A" w:rsidR="00AE0FAF" w:rsidRPr="00731B2A" w:rsidRDefault="00000000" w:rsidP="00731B2A">
      <w:pPr>
        <w:pStyle w:val="ListParagraph"/>
        <w:spacing w:after="240" w:line="264" w:lineRule="auto"/>
        <w:ind w:left="794" w:firstLine="0"/>
        <w:contextualSpacing w:val="0"/>
        <w:rPr>
          <w:sz w:val="28"/>
          <w:szCs w:val="28"/>
        </w:rPr>
      </w:pPr>
      <w:r w:rsidRPr="00731B2A">
        <w:rPr>
          <w:color w:val="FF0000"/>
          <w:sz w:val="28"/>
          <w:szCs w:val="28"/>
        </w:rPr>
        <w:t>&lt;REGARDING THE APPROVAL&gt;</w:t>
      </w:r>
    </w:p>
    <w:p w14:paraId="32A8E574" w14:textId="77777777" w:rsidR="00731B2A" w:rsidRPr="00731B2A" w:rsidRDefault="00000000" w:rsidP="00731B2A">
      <w:pPr>
        <w:pStyle w:val="ListParagraph"/>
        <w:numPr>
          <w:ilvl w:val="0"/>
          <w:numId w:val="7"/>
        </w:numPr>
        <w:spacing w:after="240" w:line="264" w:lineRule="auto"/>
        <w:ind w:left="357" w:hanging="357"/>
        <w:contextualSpacing w:val="0"/>
        <w:rPr>
          <w:sz w:val="28"/>
          <w:szCs w:val="28"/>
        </w:rPr>
      </w:pPr>
      <w:r w:rsidRPr="00731B2A">
        <w:rPr>
          <w:b/>
          <w:sz w:val="28"/>
          <w:szCs w:val="28"/>
        </w:rPr>
        <w:t>MARKETING AUTHORISATION HOLDER</w:t>
      </w:r>
    </w:p>
    <w:p w14:paraId="725CD1A5" w14:textId="4B9F2059" w:rsidR="00AE0FAF" w:rsidRPr="00731B2A" w:rsidRDefault="00000000" w:rsidP="00731B2A">
      <w:pPr>
        <w:pStyle w:val="ListParagraph"/>
        <w:spacing w:after="240" w:line="264" w:lineRule="auto"/>
        <w:ind w:left="357" w:firstLine="0"/>
        <w:contextualSpacing w:val="0"/>
        <w:rPr>
          <w:sz w:val="28"/>
          <w:szCs w:val="28"/>
        </w:rPr>
      </w:pPr>
      <w:r w:rsidRPr="00731B2A">
        <w:rPr>
          <w:color w:val="FF0000"/>
          <w:sz w:val="28"/>
          <w:szCs w:val="28"/>
        </w:rPr>
        <w:t>&lt;REGARDING THE APPROVAL&gt;</w:t>
      </w:r>
    </w:p>
    <w:p w14:paraId="333C80BD" w14:textId="77777777" w:rsidR="00731B2A" w:rsidRPr="00731B2A" w:rsidRDefault="00000000" w:rsidP="00731B2A">
      <w:pPr>
        <w:pStyle w:val="ListParagraph"/>
        <w:numPr>
          <w:ilvl w:val="0"/>
          <w:numId w:val="7"/>
        </w:numPr>
        <w:spacing w:after="240" w:line="264" w:lineRule="auto"/>
        <w:ind w:left="357" w:hanging="357"/>
        <w:contextualSpacing w:val="0"/>
        <w:rPr>
          <w:sz w:val="28"/>
          <w:szCs w:val="28"/>
        </w:rPr>
      </w:pPr>
      <w:r w:rsidRPr="00731B2A">
        <w:rPr>
          <w:b/>
          <w:sz w:val="28"/>
          <w:szCs w:val="28"/>
        </w:rPr>
        <w:t>MARKETING AUTHORISATION NUMBER(S)</w:t>
      </w:r>
    </w:p>
    <w:p w14:paraId="5129FCF3" w14:textId="77777777" w:rsidR="00731B2A" w:rsidRDefault="00000000" w:rsidP="00731B2A">
      <w:pPr>
        <w:pStyle w:val="ListParagraph"/>
        <w:spacing w:after="240" w:line="264" w:lineRule="auto"/>
        <w:ind w:left="357" w:firstLine="0"/>
        <w:contextualSpacing w:val="0"/>
      </w:pPr>
      <w:r w:rsidRPr="00731B2A">
        <w:rPr>
          <w:color w:val="FF0000"/>
          <w:sz w:val="28"/>
          <w:szCs w:val="28"/>
        </w:rPr>
        <w:t>&lt;REGARDING THE APPROVAL&gt;</w:t>
      </w:r>
      <w:r w:rsidR="00731B2A" w:rsidRPr="00731B2A">
        <w:t xml:space="preserve"> </w:t>
      </w:r>
    </w:p>
    <w:p w14:paraId="331984A2" w14:textId="77777777" w:rsidR="00731B2A" w:rsidRDefault="00731B2A" w:rsidP="00731B2A">
      <w:pPr>
        <w:pStyle w:val="ListParagraph"/>
        <w:numPr>
          <w:ilvl w:val="0"/>
          <w:numId w:val="7"/>
        </w:numPr>
        <w:spacing w:after="240" w:line="360" w:lineRule="auto"/>
        <w:ind w:left="357" w:hanging="357"/>
        <w:contextualSpacing w:val="0"/>
        <w:rPr>
          <w:b/>
          <w:bCs/>
          <w:color w:val="000000" w:themeColor="text1"/>
          <w:sz w:val="28"/>
          <w:szCs w:val="28"/>
        </w:rPr>
      </w:pPr>
      <w:r w:rsidRPr="00731B2A">
        <w:rPr>
          <w:b/>
          <w:bCs/>
          <w:color w:val="000000" w:themeColor="text1"/>
          <w:sz w:val="28"/>
          <w:szCs w:val="28"/>
        </w:rPr>
        <w:t>DATE OF FIRST AUTHORISATION/RENEWAL OF THE AUTHORISATION</w:t>
      </w:r>
    </w:p>
    <w:p w14:paraId="693ACC8C" w14:textId="4A90E121" w:rsidR="00AE0FAF" w:rsidRPr="00731B2A" w:rsidRDefault="00000000" w:rsidP="00731B2A">
      <w:pPr>
        <w:pStyle w:val="ListParagraph"/>
        <w:spacing w:after="240" w:line="360" w:lineRule="auto"/>
        <w:ind w:left="357" w:firstLine="0"/>
        <w:contextualSpacing w:val="0"/>
        <w:rPr>
          <w:b/>
          <w:bCs/>
          <w:color w:val="000000" w:themeColor="text1"/>
          <w:sz w:val="28"/>
          <w:szCs w:val="28"/>
        </w:rPr>
      </w:pPr>
      <w:r w:rsidRPr="00731B2A">
        <w:rPr>
          <w:color w:val="FF0000"/>
          <w:sz w:val="28"/>
          <w:szCs w:val="28"/>
        </w:rPr>
        <w:t>&lt;REGARDING THE APPROVAL&gt;</w:t>
      </w:r>
    </w:p>
    <w:p w14:paraId="6F8A267E" w14:textId="77777777" w:rsidR="00731B2A" w:rsidRDefault="00000000" w:rsidP="00731B2A">
      <w:pPr>
        <w:pStyle w:val="Heading1"/>
        <w:numPr>
          <w:ilvl w:val="0"/>
          <w:numId w:val="7"/>
        </w:numPr>
        <w:tabs>
          <w:tab w:val="center" w:pos="3060"/>
        </w:tabs>
        <w:spacing w:after="240" w:line="360" w:lineRule="auto"/>
        <w:ind w:left="357" w:hanging="357"/>
        <w:rPr>
          <w:szCs w:val="28"/>
        </w:rPr>
      </w:pPr>
      <w:r w:rsidRPr="00731B2A">
        <w:rPr>
          <w:szCs w:val="28"/>
        </w:rPr>
        <w:t>DATE OF REVISION OF THE TEXT</w:t>
      </w:r>
      <w:r w:rsidRPr="00731B2A">
        <w:rPr>
          <w:szCs w:val="28"/>
          <w:vertAlign w:val="superscript"/>
        </w:rPr>
        <w:footnoteReference w:id="1"/>
      </w:r>
    </w:p>
    <w:p w14:paraId="3AEBAF74" w14:textId="2656EB35" w:rsidR="00AE0FAF" w:rsidRPr="00731B2A" w:rsidRDefault="00000000" w:rsidP="00731B2A">
      <w:pPr>
        <w:pStyle w:val="Heading1"/>
        <w:tabs>
          <w:tab w:val="center" w:pos="3060"/>
        </w:tabs>
        <w:spacing w:after="618"/>
        <w:ind w:left="360" w:firstLine="0"/>
        <w:rPr>
          <w:b w:val="0"/>
          <w:bCs/>
          <w:szCs w:val="28"/>
        </w:rPr>
      </w:pPr>
      <w:r w:rsidRPr="00731B2A">
        <w:rPr>
          <w:b w:val="0"/>
          <w:bCs/>
          <w:color w:val="FF0000"/>
          <w:szCs w:val="28"/>
        </w:rPr>
        <w:t>&lt;REGARDING THE APPROVAL&gt;</w:t>
      </w:r>
    </w:p>
    <w:sectPr w:rsidR="00AE0FAF" w:rsidRPr="00731B2A" w:rsidSect="001B6401">
      <w:footnotePr>
        <w:numRestart w:val="eachPage"/>
      </w:footnotePr>
      <w:pgSz w:w="11920" w:h="16840"/>
      <w:pgMar w:top="1985" w:right="1418" w:bottom="1985"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07CCE" w14:textId="77777777" w:rsidR="00077497" w:rsidRDefault="00077497">
      <w:pPr>
        <w:spacing w:after="0" w:line="240" w:lineRule="auto"/>
      </w:pPr>
      <w:r>
        <w:separator/>
      </w:r>
    </w:p>
  </w:endnote>
  <w:endnote w:type="continuationSeparator" w:id="0">
    <w:p w14:paraId="0BB9D58E" w14:textId="77777777" w:rsidR="00077497" w:rsidRDefault="0007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B8487" w14:textId="77777777" w:rsidR="00077497" w:rsidRDefault="00077497">
      <w:pPr>
        <w:spacing w:after="0" w:line="259" w:lineRule="auto"/>
        <w:ind w:left="15" w:firstLine="0"/>
      </w:pPr>
      <w:r>
        <w:separator/>
      </w:r>
    </w:p>
  </w:footnote>
  <w:footnote w:type="continuationSeparator" w:id="0">
    <w:p w14:paraId="6A723D89" w14:textId="77777777" w:rsidR="00077497" w:rsidRDefault="00077497">
      <w:pPr>
        <w:spacing w:after="0" w:line="259" w:lineRule="auto"/>
        <w:ind w:left="15" w:firstLine="0"/>
      </w:pPr>
      <w:r>
        <w:continuationSeparator/>
      </w:r>
    </w:p>
  </w:footnote>
  <w:footnote w:id="1">
    <w:p w14:paraId="2C322852" w14:textId="77777777" w:rsidR="00AE0FAF" w:rsidRDefault="00000000">
      <w:pPr>
        <w:pStyle w:val="footnotedescription"/>
      </w:pPr>
      <w:r>
        <w:rPr>
          <w:rStyle w:val="footnotemark"/>
        </w:rPr>
        <w:footnoteRef/>
      </w:r>
      <w:r>
        <w:t xml:space="preserve"> Ref: Ciprofloxacin, MHRA, </w:t>
      </w:r>
      <w:r>
        <w:rPr>
          <w:sz w:val="24"/>
        </w:rPr>
        <w:t>28/01/2021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224"/>
    <w:multiLevelType w:val="hybridMultilevel"/>
    <w:tmpl w:val="4E76602C"/>
    <w:lvl w:ilvl="0" w:tplc="04090001">
      <w:start w:val="1"/>
      <w:numFmt w:val="bullet"/>
      <w:lvlText w:val=""/>
      <w:lvlJc w:val="left"/>
      <w:pPr>
        <w:ind w:left="1108" w:hanging="360"/>
      </w:pPr>
      <w:rPr>
        <w:rFonts w:ascii="Symbol" w:hAnsi="Symbol" w:hint="default"/>
      </w:rPr>
    </w:lvl>
    <w:lvl w:ilvl="1" w:tplc="04090003">
      <w:start w:val="1"/>
      <w:numFmt w:val="bullet"/>
      <w:lvlText w:val="o"/>
      <w:lvlJc w:val="left"/>
      <w:pPr>
        <w:ind w:left="1828" w:hanging="360"/>
      </w:pPr>
      <w:rPr>
        <w:rFonts w:ascii="Courier New" w:hAnsi="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 w15:restartNumberingAfterBreak="0">
    <w:nsid w:val="0A871EF1"/>
    <w:multiLevelType w:val="hybridMultilevel"/>
    <w:tmpl w:val="93A8351E"/>
    <w:lvl w:ilvl="0" w:tplc="2D00E326">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10C598">
      <w:start w:val="1"/>
      <w:numFmt w:val="lowerLetter"/>
      <w:lvlText w:val="%2"/>
      <w:lvlJc w:val="left"/>
      <w:pPr>
        <w:ind w:left="1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96B3BE">
      <w:start w:val="1"/>
      <w:numFmt w:val="lowerRoman"/>
      <w:lvlText w:val="%3"/>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7A139E">
      <w:start w:val="1"/>
      <w:numFmt w:val="decimal"/>
      <w:lvlText w:val="%4"/>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C0C1A48">
      <w:start w:val="1"/>
      <w:numFmt w:val="lowerLetter"/>
      <w:lvlText w:val="%5"/>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B8E37E">
      <w:start w:val="1"/>
      <w:numFmt w:val="lowerRoman"/>
      <w:lvlText w:val="%6"/>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229100">
      <w:start w:val="1"/>
      <w:numFmt w:val="decimal"/>
      <w:lvlText w:val="%7"/>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96C684">
      <w:start w:val="1"/>
      <w:numFmt w:val="lowerLetter"/>
      <w:lvlText w:val="%8"/>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9EFAF0">
      <w:start w:val="1"/>
      <w:numFmt w:val="lowerRoman"/>
      <w:lvlText w:val="%9"/>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F7013C"/>
    <w:multiLevelType w:val="hybridMultilevel"/>
    <w:tmpl w:val="2B34F26E"/>
    <w:lvl w:ilvl="0" w:tplc="107841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0CB06">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246AC2">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BA318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6B5BC">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4A0E2">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D0968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A10B4">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5E6592">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AA51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5105A"/>
    <w:multiLevelType w:val="multilevel"/>
    <w:tmpl w:val="B8C8614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9F694E"/>
    <w:multiLevelType w:val="hybridMultilevel"/>
    <w:tmpl w:val="48D22A78"/>
    <w:lvl w:ilvl="0" w:tplc="B05C42E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4C1E6">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CB1AE">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8CC42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67128">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04F52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4C2C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EA8E8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A0F3EE">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C077FE"/>
    <w:multiLevelType w:val="hybridMultilevel"/>
    <w:tmpl w:val="3A8A2EC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BBA11C6"/>
    <w:multiLevelType w:val="hybridMultilevel"/>
    <w:tmpl w:val="B2E2018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43253607"/>
    <w:multiLevelType w:val="multilevel"/>
    <w:tmpl w:val="05E806A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747603"/>
    <w:multiLevelType w:val="hybridMultilevel"/>
    <w:tmpl w:val="40381BA0"/>
    <w:lvl w:ilvl="0" w:tplc="2F8C811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9C56C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10E8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140B5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209B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007B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41E2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A0C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09F2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781AD8"/>
    <w:multiLevelType w:val="hybridMultilevel"/>
    <w:tmpl w:val="EE8AA3DC"/>
    <w:lvl w:ilvl="0" w:tplc="AB08054A">
      <w:start w:val="1"/>
      <w:numFmt w:val="bullet"/>
      <w:lvlText w:val="•"/>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E43E7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48F7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A6759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50603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5280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46466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76C57A">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90D826">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8E5607"/>
    <w:multiLevelType w:val="multilevel"/>
    <w:tmpl w:val="B8C8614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044966"/>
    <w:multiLevelType w:val="hybridMultilevel"/>
    <w:tmpl w:val="1B5E4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4FE"/>
    <w:multiLevelType w:val="hybridMultilevel"/>
    <w:tmpl w:val="FC8AD34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77275B15"/>
    <w:multiLevelType w:val="hybridMultilevel"/>
    <w:tmpl w:val="D74E650A"/>
    <w:lvl w:ilvl="0" w:tplc="B4F6D86A">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22E28">
      <w:start w:val="1"/>
      <w:numFmt w:val="bullet"/>
      <w:lvlText w:val="o"/>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8898E4">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EE5A36">
      <w:start w:val="1"/>
      <w:numFmt w:val="bullet"/>
      <w:lvlText w:val="•"/>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868252">
      <w:start w:val="1"/>
      <w:numFmt w:val="bullet"/>
      <w:lvlText w:val="o"/>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B6A51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62C56E">
      <w:start w:val="1"/>
      <w:numFmt w:val="bullet"/>
      <w:lvlText w:val="•"/>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02888">
      <w:start w:val="1"/>
      <w:numFmt w:val="bullet"/>
      <w:lvlText w:val="o"/>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B0825E">
      <w:start w:val="1"/>
      <w:numFmt w:val="bullet"/>
      <w:lvlText w:val="▪"/>
      <w:lvlJc w:val="left"/>
      <w:pPr>
        <w:ind w:left="7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36963079">
    <w:abstractNumId w:val="14"/>
  </w:num>
  <w:num w:numId="2" w16cid:durableId="415248757">
    <w:abstractNumId w:val="10"/>
  </w:num>
  <w:num w:numId="3" w16cid:durableId="221408586">
    <w:abstractNumId w:val="2"/>
  </w:num>
  <w:num w:numId="4" w16cid:durableId="976229605">
    <w:abstractNumId w:val="5"/>
  </w:num>
  <w:num w:numId="5" w16cid:durableId="1385057866">
    <w:abstractNumId w:val="9"/>
  </w:num>
  <w:num w:numId="6" w16cid:durableId="1196042557">
    <w:abstractNumId w:val="1"/>
  </w:num>
  <w:num w:numId="7" w16cid:durableId="1473325240">
    <w:abstractNumId w:val="8"/>
  </w:num>
  <w:num w:numId="8" w16cid:durableId="1652517212">
    <w:abstractNumId w:val="7"/>
  </w:num>
  <w:num w:numId="9" w16cid:durableId="239214839">
    <w:abstractNumId w:val="12"/>
  </w:num>
  <w:num w:numId="10" w16cid:durableId="1802729594">
    <w:abstractNumId w:val="3"/>
  </w:num>
  <w:num w:numId="11" w16cid:durableId="1225676009">
    <w:abstractNumId w:val="6"/>
  </w:num>
  <w:num w:numId="12" w16cid:durableId="1078209941">
    <w:abstractNumId w:val="13"/>
  </w:num>
  <w:num w:numId="13" w16cid:durableId="1360622683">
    <w:abstractNumId w:val="0"/>
  </w:num>
  <w:num w:numId="14" w16cid:durableId="491339270">
    <w:abstractNumId w:val="4"/>
  </w:num>
  <w:num w:numId="15" w16cid:durableId="913590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AF"/>
    <w:rsid w:val="00077497"/>
    <w:rsid w:val="001A540A"/>
    <w:rsid w:val="001B6401"/>
    <w:rsid w:val="00352F0C"/>
    <w:rsid w:val="00446391"/>
    <w:rsid w:val="006F61A5"/>
    <w:rsid w:val="00731B2A"/>
    <w:rsid w:val="00AE0FAF"/>
    <w:rsid w:val="00B96E65"/>
    <w:rsid w:val="00C64B0D"/>
    <w:rsid w:val="00C8737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3552"/>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ind w:left="76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65" w:lineRule="auto"/>
      <w:ind w:left="2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623"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62" w:line="259" w:lineRule="auto"/>
      <w:ind w:left="25" w:hanging="10"/>
      <w:outlineLvl w:val="2"/>
    </w:pPr>
    <w:rPr>
      <w:rFonts w:ascii="Times New Roman" w:eastAsia="Times New Roman" w:hAnsi="Times New Roman" w:cs="Times New Roman"/>
      <w:color w:val="000000"/>
      <w:sz w:val="22"/>
      <w:u w:val="single" w:color="000000"/>
    </w:rPr>
  </w:style>
  <w:style w:type="paragraph" w:styleId="Heading4">
    <w:name w:val="heading 4"/>
    <w:next w:val="Normal"/>
    <w:link w:val="Heading4Char"/>
    <w:uiPriority w:val="9"/>
    <w:unhideWhenUsed/>
    <w:qFormat/>
    <w:pPr>
      <w:keepNext/>
      <w:keepLines/>
      <w:spacing w:after="298" w:line="265" w:lineRule="auto"/>
      <w:ind w:left="25" w:hanging="10"/>
      <w:outlineLvl w:val="3"/>
    </w:pPr>
    <w:rPr>
      <w:rFonts w:ascii="Times New Roman" w:eastAsia="Times New Roman" w:hAnsi="Times New Roman" w:cs="Times New Roman"/>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59" w:lineRule="auto"/>
      <w:ind w:left="1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B6401"/>
    <w:pPr>
      <w:ind w:left="720"/>
      <w:contextualSpacing/>
    </w:pPr>
    <w:rPr>
      <w:rFonts w:cs="Angsana New"/>
    </w:rPr>
  </w:style>
  <w:style w:type="table" w:styleId="TableGrid0">
    <w:name w:val="Table Grid"/>
    <w:basedOn w:val="TableNormal"/>
    <w:uiPriority w:val="39"/>
    <w:rsid w:val="006F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6</TotalTime>
  <Pages>39</Pages>
  <Words>7457</Words>
  <Characters>42511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7082_1_ciprofloxacin lactate_solutions for injections or infusions_smpc_MHRA.docx</vt:lpstr>
    </vt:vector>
  </TitlesOfParts>
  <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7082_1_ciprofloxacin lactate_solutions for injections or infusions_smpc_MHRA.docx</dc:title>
  <dc:subject/>
  <dc:creator>PIYATIDA PANITSUPAKAMOL</dc:creator>
  <cp:keywords/>
  <cp:lastModifiedBy>PIYATIDA PANITSUPAKAMOL</cp:lastModifiedBy>
  <cp:revision>3</cp:revision>
  <dcterms:created xsi:type="dcterms:W3CDTF">2024-09-06T07:37:00Z</dcterms:created>
  <dcterms:modified xsi:type="dcterms:W3CDTF">2024-09-06T07:37:00Z</dcterms:modified>
</cp:coreProperties>
</file>