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08F7A71" w:rsidR="00227FD4" w:rsidRPr="00E641A1" w:rsidRDefault="00A71BA5" w:rsidP="00AF212D">
      <w:pPr>
        <w:pStyle w:val="BodyTextSMPC"/>
        <w:rPr>
          <w:rFonts w:cstheme="minorBidi"/>
        </w:rPr>
      </w:pPr>
      <w:r w:rsidRPr="00A71BA5">
        <w:t>Tamoxifen</w:t>
      </w:r>
      <w:r w:rsidRPr="00A71BA5">
        <w:t xml:space="preserve"> </w:t>
      </w:r>
      <w:r w:rsidR="00C069FE" w:rsidRPr="005574FA">
        <w:rPr>
          <w:color w:val="FF0000"/>
        </w:rPr>
        <w:t>&lt;TRADE NAME&gt; &lt;STRENGTH&gt;</w:t>
      </w:r>
      <w:r w:rsidR="00A10233">
        <w:rPr>
          <w:color w:val="FF0000"/>
        </w:rPr>
        <w:t xml:space="preserve"> </w:t>
      </w:r>
      <w:r>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3178D730" w:rsidR="00A10233" w:rsidRDefault="00A71BA5" w:rsidP="00DA7EEB">
      <w:pPr>
        <w:pStyle w:val="BodyTextSMPC"/>
      </w:pPr>
      <w:r w:rsidRPr="00A71BA5">
        <w:t xml:space="preserve">Tamoxifen Citrate </w:t>
      </w:r>
      <w:r w:rsidRPr="005574FA">
        <w:rPr>
          <w:color w:val="FF0000"/>
        </w:rPr>
        <w:t>&lt;STRENGTH&gt;</w:t>
      </w:r>
      <w:r w:rsidRPr="00A71BA5">
        <w:t>, equivalent to</w:t>
      </w:r>
      <w:r>
        <w:t xml:space="preserve"> </w:t>
      </w:r>
      <w:r w:rsidRPr="005574FA">
        <w:rPr>
          <w:color w:val="FF0000"/>
        </w:rPr>
        <w:t>&lt;STRENGTH&gt;</w:t>
      </w:r>
      <w:r>
        <w:t xml:space="preserve"> </w:t>
      </w:r>
      <w:r w:rsidRPr="00A71BA5">
        <w:t>of tamoxifen.</w:t>
      </w:r>
      <w:r w:rsidR="00DA7EEB">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7D7AD266" w:rsidR="00227FD4" w:rsidRDefault="00A71BA5" w:rsidP="00AF212D">
      <w:pPr>
        <w:pStyle w:val="BodyTextSMPC"/>
        <w:rPr>
          <w:rFonts w:cs="Angsana New"/>
          <w:szCs w:val="35"/>
        </w:rPr>
      </w:pPr>
      <w:r>
        <w:t>Tablets</w:t>
      </w:r>
    </w:p>
    <w:p w14:paraId="5BF2474A" w14:textId="78A5CA8E" w:rsidR="000F74D6" w:rsidRPr="00070173" w:rsidRDefault="000F74D6" w:rsidP="00AF212D">
      <w:pPr>
        <w:pStyle w:val="BodyTextSMPC"/>
        <w:rPr>
          <w:rFonts w:cs="Angsana New"/>
          <w:szCs w:val="35"/>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D459955" w14:textId="081558C4" w:rsidR="00A71BA5" w:rsidRPr="00A71BA5" w:rsidRDefault="00A71BA5" w:rsidP="00A71BA5">
      <w:pPr>
        <w:pStyle w:val="BodyTextSMPC"/>
        <w:rPr>
          <w:rFonts w:cstheme="minorBidi"/>
        </w:rPr>
      </w:pPr>
      <w:r w:rsidRPr="00A71BA5">
        <w:rPr>
          <w:rFonts w:cstheme="minorBidi"/>
        </w:rPr>
        <w:t>Tamoxifen' is indicated for:</w:t>
      </w:r>
    </w:p>
    <w:p w14:paraId="2A11C161" w14:textId="35FB183E" w:rsidR="00A71BA5" w:rsidRPr="00A71BA5" w:rsidRDefault="00A71BA5" w:rsidP="00A71BA5">
      <w:pPr>
        <w:pStyle w:val="BodyTextSMPC"/>
        <w:rPr>
          <w:rFonts w:cstheme="minorBidi"/>
        </w:rPr>
      </w:pPr>
      <w:r w:rsidRPr="00A71BA5">
        <w:rPr>
          <w:rFonts w:cstheme="minorBidi"/>
        </w:rPr>
        <w:t>1. The treatment of breast cancer.</w:t>
      </w:r>
    </w:p>
    <w:p w14:paraId="225F87C6" w14:textId="7CDDCF79" w:rsidR="00A71BA5" w:rsidRPr="00A71BA5" w:rsidRDefault="00A71BA5" w:rsidP="00A71BA5">
      <w:pPr>
        <w:pStyle w:val="BodyTextSMPC"/>
        <w:rPr>
          <w:rFonts w:cstheme="minorBidi"/>
        </w:rPr>
      </w:pPr>
      <w:r w:rsidRPr="00A71BA5">
        <w:rPr>
          <w:rFonts w:cstheme="minorBidi"/>
        </w:rPr>
        <w:t>2. The treatment of anovulatory infertility.</w:t>
      </w:r>
    </w:p>
    <w:p w14:paraId="035A8606" w14:textId="646D43B3" w:rsidR="00A71BA5" w:rsidRPr="00A71BA5" w:rsidRDefault="00A71BA5" w:rsidP="00A71BA5">
      <w:pPr>
        <w:pStyle w:val="BodyTextSMPC"/>
        <w:rPr>
          <w:rFonts w:cstheme="minorBidi"/>
        </w:rPr>
      </w:pPr>
      <w:r w:rsidRPr="00A71BA5">
        <w:rPr>
          <w:rFonts w:cstheme="minorBidi"/>
        </w:rPr>
        <w:t>3. The primary prevention of breast cancer in women at moderate or high risk (see section 5.1)</w:t>
      </w:r>
    </w:p>
    <w:p w14:paraId="1340AB17" w14:textId="42D43692" w:rsidR="000F74D6" w:rsidRDefault="00A71BA5" w:rsidP="00A71BA5">
      <w:pPr>
        <w:pStyle w:val="BodyTextSMPC"/>
        <w:rPr>
          <w:rFonts w:cstheme="minorBidi"/>
        </w:rPr>
      </w:pPr>
      <w:r w:rsidRPr="00A71BA5">
        <w:rPr>
          <w:rFonts w:cstheme="minorBidi"/>
        </w:rPr>
        <w:t>Women aged less than 30 years old were excluded from primary prevention trials so the efficacy and safety of tamoxifen treatment in these younger women is unknown.</w:t>
      </w:r>
      <w:r w:rsidR="00DA7EEB" w:rsidRPr="00DA7EEB">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643D0E36" w14:textId="3CD1FA1D" w:rsidR="00DA7EEB" w:rsidRDefault="00DA7EEB" w:rsidP="001C0D1A">
      <w:pPr>
        <w:pStyle w:val="BodyTextSMPC"/>
        <w:rPr>
          <w:b/>
          <w:bCs/>
        </w:rPr>
      </w:pPr>
      <w:r w:rsidRPr="00DA7EEB">
        <w:rPr>
          <w:b/>
          <w:bCs/>
        </w:rPr>
        <w:t>Posology</w:t>
      </w:r>
    </w:p>
    <w:p w14:paraId="6B438DD5" w14:textId="77777777" w:rsidR="00A71BA5" w:rsidRPr="00A71BA5" w:rsidRDefault="00A71BA5" w:rsidP="00A71BA5">
      <w:pPr>
        <w:pStyle w:val="BodyTextSMPC"/>
        <w:spacing w:before="240"/>
        <w:rPr>
          <w:b/>
          <w:bCs/>
        </w:rPr>
      </w:pPr>
      <w:r w:rsidRPr="00A71BA5">
        <w:rPr>
          <w:b/>
          <w:bCs/>
        </w:rPr>
        <w:lastRenderedPageBreak/>
        <w:t xml:space="preserve">1. Breast Cancer </w:t>
      </w:r>
    </w:p>
    <w:p w14:paraId="19A509FC" w14:textId="77777777" w:rsidR="00A71BA5" w:rsidRPr="00A71BA5" w:rsidRDefault="00A71BA5" w:rsidP="00A71BA5">
      <w:pPr>
        <w:pStyle w:val="BodyTextSMPC"/>
        <w:spacing w:before="240"/>
        <w:rPr>
          <w:b/>
          <w:bCs/>
        </w:rPr>
      </w:pPr>
      <w:r w:rsidRPr="00A71BA5">
        <w:rPr>
          <w:b/>
          <w:bCs/>
        </w:rPr>
        <w:t xml:space="preserve">Adults </w:t>
      </w:r>
    </w:p>
    <w:p w14:paraId="0B204B18" w14:textId="4177451C" w:rsidR="00A71BA5" w:rsidRDefault="00A71BA5" w:rsidP="00A71BA5">
      <w:pPr>
        <w:pStyle w:val="BodyTextSMPC"/>
        <w:spacing w:before="240"/>
      </w:pPr>
      <w:r>
        <w:t xml:space="preserve">The recommended daily dose of tamoxifen is normally 20 mg. No additional benefit, in terms of delayed recurrence or improved survival in patients, has been demonstrated with higher doses. Substantive evidence supporting the use of treatment with 30-40 mg per day is not available, although these doses have been used in some patients with advanced disease. </w:t>
      </w:r>
    </w:p>
    <w:p w14:paraId="70ED941C" w14:textId="77777777" w:rsidR="00A71BA5" w:rsidRPr="00A71BA5" w:rsidRDefault="00A71BA5" w:rsidP="00A71BA5">
      <w:pPr>
        <w:pStyle w:val="BodyTextSMPC"/>
        <w:spacing w:before="240"/>
        <w:rPr>
          <w:b/>
          <w:bCs/>
        </w:rPr>
      </w:pPr>
      <w:r w:rsidRPr="00A71BA5">
        <w:rPr>
          <w:b/>
          <w:bCs/>
        </w:rPr>
        <w:t xml:space="preserve">Elderly people </w:t>
      </w:r>
    </w:p>
    <w:p w14:paraId="7723FA31" w14:textId="168EEA7A" w:rsidR="00A71BA5" w:rsidRDefault="00A71BA5" w:rsidP="00A71BA5">
      <w:pPr>
        <w:pStyle w:val="BodyTextSMPC"/>
        <w:spacing w:before="240"/>
      </w:pPr>
      <w:r>
        <w:t xml:space="preserve">Similar dosing regimens of </w:t>
      </w:r>
      <w:r w:rsidR="008D2F24">
        <w:t>Tamoxifen</w:t>
      </w:r>
      <w:r>
        <w:t xml:space="preserve"> have been used in the elderly with breast cancer and in some of these patients it has been used as sole therapy. </w:t>
      </w:r>
    </w:p>
    <w:p w14:paraId="3A422B94" w14:textId="77777777" w:rsidR="00A71BA5" w:rsidRPr="00A71BA5" w:rsidRDefault="00A71BA5" w:rsidP="00A71BA5">
      <w:pPr>
        <w:pStyle w:val="BodyTextSMPC"/>
        <w:spacing w:before="240"/>
        <w:rPr>
          <w:b/>
          <w:bCs/>
        </w:rPr>
      </w:pPr>
      <w:r w:rsidRPr="00A71BA5">
        <w:rPr>
          <w:b/>
          <w:bCs/>
        </w:rPr>
        <w:t xml:space="preserve">2. Anovulatory Infertility </w:t>
      </w:r>
    </w:p>
    <w:p w14:paraId="1E0FE0CF" w14:textId="01FE9931" w:rsidR="00A71BA5" w:rsidRDefault="00A71BA5" w:rsidP="00A71BA5">
      <w:pPr>
        <w:pStyle w:val="BodyTextSMPC"/>
        <w:spacing w:before="240"/>
      </w:pPr>
      <w:r>
        <w:t xml:space="preserve">Before commencing any course of treatment, whether initial or subsequent, the possibility of pregnancy must be excluded. In women who are menstruating regularly, but with </w:t>
      </w:r>
      <w:proofErr w:type="spellStart"/>
      <w:r>
        <w:t>anovular</w:t>
      </w:r>
      <w:proofErr w:type="spellEnd"/>
      <w:r>
        <w:t xml:space="preserve"> cycles, the initial course of treatment consists of 20 mg given daily on the second, third, fourth and fifth days of the menstrual cycle. If unsatisfactory basal temperature records or poor pre-ovulatory cervical mucus indicate that this initial course of treatment has been unsuccessful, further courses may be given during subsequent menstrual periods, increasing the dosage to 40 mg and then to 80 mg daily. </w:t>
      </w:r>
    </w:p>
    <w:p w14:paraId="1E689F07" w14:textId="5C999E3E" w:rsidR="00A71BA5" w:rsidRDefault="00A71BA5" w:rsidP="00A71BA5">
      <w:pPr>
        <w:pStyle w:val="BodyTextSMPC"/>
        <w:spacing w:before="240"/>
      </w:pPr>
      <w:r>
        <w:t xml:space="preserve">In women who are not menstruating regularly, the initial course may begin on any day. If no signs of ovulation are demonstrable, then a subsequent course of treatment may start 45 days later, with dosage increased as above. If a patient responds with menstruation, then the next course of treatment is commenced on the second day of the cycle. </w:t>
      </w:r>
    </w:p>
    <w:p w14:paraId="2EA99381" w14:textId="77777777" w:rsidR="00A71BA5" w:rsidRPr="00A71BA5" w:rsidRDefault="00A71BA5" w:rsidP="00A71BA5">
      <w:pPr>
        <w:pStyle w:val="BodyTextSMPC"/>
        <w:spacing w:before="240"/>
        <w:rPr>
          <w:b/>
          <w:bCs/>
        </w:rPr>
      </w:pPr>
      <w:r w:rsidRPr="00A71BA5">
        <w:rPr>
          <w:b/>
          <w:bCs/>
        </w:rPr>
        <w:t xml:space="preserve">3. Primary prevention of breast cancer </w:t>
      </w:r>
    </w:p>
    <w:p w14:paraId="79C85DF5" w14:textId="5E052883" w:rsidR="00A71BA5" w:rsidRDefault="008D2F24" w:rsidP="00A71BA5">
      <w:pPr>
        <w:pStyle w:val="BodyTextSMPC"/>
        <w:spacing w:before="240"/>
      </w:pPr>
      <w:r>
        <w:t>Tamoxifen</w:t>
      </w:r>
      <w:r w:rsidR="00A71BA5">
        <w:t xml:space="preserve"> treatment for the primary prevention of breast cancer should only be initiated by a medical practitioner experienced in prescribing for this indication, and as part of a shared care pathway arrangement, with appropriate patient identification, management and follow up. </w:t>
      </w:r>
    </w:p>
    <w:p w14:paraId="4E44D2A4" w14:textId="68CFF2B8" w:rsidR="00A71BA5" w:rsidRDefault="00A71BA5" w:rsidP="004B7208">
      <w:pPr>
        <w:pStyle w:val="BodyTextSMPC"/>
        <w:spacing w:before="240"/>
      </w:pPr>
      <w:r>
        <w:lastRenderedPageBreak/>
        <w:t xml:space="preserve">The recommended dose is 20 mg daily for 5 years for those women at moderate or high risk. There are insufficient data to support a higher dose or longer period of use. </w:t>
      </w:r>
    </w:p>
    <w:p w14:paraId="153BB8A0" w14:textId="43053D5A" w:rsidR="00A71BA5" w:rsidRDefault="00A71BA5" w:rsidP="004B7208">
      <w:pPr>
        <w:pStyle w:val="BodyTextSMPC"/>
        <w:spacing w:before="240"/>
      </w:pPr>
      <w:r>
        <w:t xml:space="preserve">Before commencing treatment, an assessment of the potential benefits and risks is essential, including calculating a patient’s risk of developing breast cancer according to local guidelines and risk assessment tools. Validated algorithms are available that calculate breast cancer risk based on features such as age, family history, genetic factors, reproductive factors and history of breast disease. </w:t>
      </w:r>
    </w:p>
    <w:p w14:paraId="584815AD" w14:textId="434CE747" w:rsidR="00A71BA5" w:rsidRDefault="00A71BA5" w:rsidP="004B7208">
      <w:pPr>
        <w:pStyle w:val="BodyTextSMPC"/>
        <w:spacing w:before="240"/>
      </w:pPr>
      <w:r>
        <w:t xml:space="preserve">The use of </w:t>
      </w:r>
      <w:r w:rsidR="008D2F24">
        <w:t>Tamoxifen</w:t>
      </w:r>
      <w:r>
        <w:t xml:space="preserve"> should be as part of a program including regular breast surveillance tailored to the individual woman, taking into account her risk of breast cancer. </w:t>
      </w:r>
    </w:p>
    <w:p w14:paraId="60746AFB" w14:textId="77777777" w:rsidR="00A71BA5" w:rsidRPr="004B7208" w:rsidRDefault="00A71BA5" w:rsidP="00A71BA5">
      <w:pPr>
        <w:pStyle w:val="BodyTextSMPC"/>
        <w:spacing w:before="240"/>
        <w:rPr>
          <w:b/>
          <w:bCs/>
        </w:rPr>
      </w:pPr>
      <w:proofErr w:type="spellStart"/>
      <w:r w:rsidRPr="004B7208">
        <w:rPr>
          <w:b/>
          <w:bCs/>
        </w:rPr>
        <w:t>Paediatric</w:t>
      </w:r>
      <w:proofErr w:type="spellEnd"/>
      <w:r w:rsidRPr="004B7208">
        <w:rPr>
          <w:b/>
          <w:bCs/>
        </w:rPr>
        <w:t xml:space="preserve"> population</w:t>
      </w:r>
    </w:p>
    <w:p w14:paraId="42311940" w14:textId="01881D7A" w:rsidR="00A71BA5" w:rsidRDefault="00A71BA5" w:rsidP="004B7208">
      <w:pPr>
        <w:pStyle w:val="BodyTextSMPC"/>
        <w:spacing w:before="240"/>
      </w:pPr>
      <w:r>
        <w:t xml:space="preserve">The use of </w:t>
      </w:r>
      <w:r w:rsidR="008D2F24">
        <w:t>Tamoxifen</w:t>
      </w:r>
      <w:r>
        <w:t xml:space="preserve"> is not recommended in children. The safety and efficacy of </w:t>
      </w:r>
      <w:r w:rsidR="008D2F24">
        <w:t>Tamoxifen</w:t>
      </w:r>
      <w:r>
        <w:t xml:space="preserve"> in children has not yet been established (see sections 5.1 and 5.2). </w:t>
      </w:r>
    </w:p>
    <w:p w14:paraId="70A28B08" w14:textId="77777777" w:rsidR="00A71BA5" w:rsidRPr="004B7208" w:rsidRDefault="00A71BA5" w:rsidP="00A71BA5">
      <w:pPr>
        <w:pStyle w:val="BodyTextSMPC"/>
        <w:spacing w:before="240"/>
        <w:rPr>
          <w:b/>
          <w:bCs/>
        </w:rPr>
      </w:pPr>
      <w:r w:rsidRPr="004B7208">
        <w:rPr>
          <w:b/>
          <w:bCs/>
        </w:rPr>
        <w:t xml:space="preserve">Method of administration </w:t>
      </w:r>
    </w:p>
    <w:p w14:paraId="73491B14" w14:textId="381085CB" w:rsidR="002E589F" w:rsidRDefault="00A71BA5" w:rsidP="004B7208">
      <w:pPr>
        <w:pStyle w:val="BodyTextSMPC"/>
        <w:spacing w:before="240"/>
      </w:pPr>
      <w:r>
        <w:t>For administration by the oral route.</w:t>
      </w:r>
    </w:p>
    <w:p w14:paraId="5B05A77F" w14:textId="77777777" w:rsidR="00671E86" w:rsidRPr="008F5678" w:rsidRDefault="00000000" w:rsidP="00233A79">
      <w:pPr>
        <w:pStyle w:val="SubHeafingSMPC"/>
      </w:pPr>
      <w:r w:rsidRPr="008F5678">
        <w:t>Contraindications</w:t>
      </w:r>
    </w:p>
    <w:p w14:paraId="28DE9F2F" w14:textId="09B120E7" w:rsidR="004B7208" w:rsidRPr="004B7208" w:rsidRDefault="004B7208" w:rsidP="004B7208">
      <w:pPr>
        <w:pStyle w:val="BodyTextSMPC"/>
        <w:rPr>
          <w:b/>
          <w:bCs/>
        </w:rPr>
      </w:pPr>
      <w:r w:rsidRPr="004B7208">
        <w:rPr>
          <w:b/>
          <w:bCs/>
        </w:rPr>
        <w:t>General contraindications (all indications)</w:t>
      </w:r>
    </w:p>
    <w:p w14:paraId="7F8D89DD" w14:textId="63E20D2D" w:rsidR="004B7208" w:rsidRDefault="008D2F24" w:rsidP="004B7208">
      <w:pPr>
        <w:pStyle w:val="BodyTextSMPC"/>
      </w:pPr>
      <w:r>
        <w:t>Tamoxifen</w:t>
      </w:r>
      <w:r w:rsidR="004B7208">
        <w:t xml:space="preserve"> should not be used in the following: </w:t>
      </w:r>
    </w:p>
    <w:p w14:paraId="327791CF" w14:textId="45433BFD" w:rsidR="004B7208" w:rsidRDefault="004B7208" w:rsidP="004B7208">
      <w:pPr>
        <w:pStyle w:val="BodyTextSMPC"/>
      </w:pPr>
      <w:r>
        <w:t xml:space="preserve">• Pregnancy. Premenopausal patients must be carefully examined before treatment for all indications to exclude the possibility of pregnancy (see also section 4.6). </w:t>
      </w:r>
    </w:p>
    <w:p w14:paraId="0F402D40" w14:textId="3F6130A7" w:rsidR="004B7208" w:rsidRDefault="004B7208" w:rsidP="004B7208">
      <w:pPr>
        <w:pStyle w:val="BodyTextSMPC"/>
      </w:pPr>
      <w:r>
        <w:t xml:space="preserve">• Hypersensitivity to the active substance or to any of the excipients listed in section 6.1. </w:t>
      </w:r>
    </w:p>
    <w:p w14:paraId="2C14B7BC" w14:textId="77777777" w:rsidR="004B7208" w:rsidRDefault="004B7208" w:rsidP="004B7208">
      <w:pPr>
        <w:pStyle w:val="BodyTextSMPC"/>
      </w:pPr>
      <w:r>
        <w:t xml:space="preserve">• Concurrent anastrozole therapy (see section 4.5). </w:t>
      </w:r>
    </w:p>
    <w:p w14:paraId="31D965B7" w14:textId="77777777" w:rsidR="004B7208" w:rsidRPr="004B7208" w:rsidRDefault="004B7208" w:rsidP="004B7208">
      <w:pPr>
        <w:pStyle w:val="BodyTextSMPC"/>
        <w:rPr>
          <w:b/>
          <w:bCs/>
        </w:rPr>
      </w:pPr>
      <w:r w:rsidRPr="004B7208">
        <w:rPr>
          <w:b/>
          <w:bCs/>
        </w:rPr>
        <w:t xml:space="preserve">Treatment for infertility </w:t>
      </w:r>
    </w:p>
    <w:p w14:paraId="7C1FDCB7" w14:textId="5F97B06C" w:rsidR="004B7208" w:rsidRDefault="008D2F24" w:rsidP="004B7208">
      <w:pPr>
        <w:pStyle w:val="BodyTextSMPC"/>
      </w:pPr>
      <w:r>
        <w:t>Tamoxifen</w:t>
      </w:r>
      <w:r w:rsidR="004B7208">
        <w:t xml:space="preserve"> should not be used in: </w:t>
      </w:r>
    </w:p>
    <w:p w14:paraId="190E6F26" w14:textId="0E94450C" w:rsidR="004B7208" w:rsidRDefault="004B7208" w:rsidP="004B7208">
      <w:pPr>
        <w:pStyle w:val="BodyTextSMPC"/>
      </w:pPr>
      <w:r>
        <w:lastRenderedPageBreak/>
        <w:t xml:space="preserve">• Patients with a personal or family history of confirmed idiopathic venous thromboembolic events or a known genetic defect. </w:t>
      </w:r>
    </w:p>
    <w:p w14:paraId="59CAC82A" w14:textId="77777777" w:rsidR="004B7208" w:rsidRPr="004B7208" w:rsidRDefault="004B7208" w:rsidP="004B7208">
      <w:pPr>
        <w:pStyle w:val="BodyTextSMPC"/>
        <w:rPr>
          <w:b/>
          <w:bCs/>
        </w:rPr>
      </w:pPr>
      <w:r w:rsidRPr="004B7208">
        <w:rPr>
          <w:b/>
          <w:bCs/>
        </w:rPr>
        <w:t xml:space="preserve">Primary prevention of breast cancer </w:t>
      </w:r>
    </w:p>
    <w:p w14:paraId="536DD869" w14:textId="22D7F317" w:rsidR="004B7208" w:rsidRDefault="008D2F24" w:rsidP="004B7208">
      <w:pPr>
        <w:pStyle w:val="BodyTextSMPC"/>
      </w:pPr>
      <w:r>
        <w:t>Tamoxifen</w:t>
      </w:r>
      <w:r w:rsidR="004B7208">
        <w:t xml:space="preserve"> should not be used in: </w:t>
      </w:r>
    </w:p>
    <w:p w14:paraId="3814163A" w14:textId="77777777" w:rsidR="004B7208" w:rsidRDefault="004B7208" w:rsidP="004B7208">
      <w:pPr>
        <w:pStyle w:val="BodyTextSMPC"/>
      </w:pPr>
      <w:r>
        <w:t xml:space="preserve">• Women with a history of deep vein thrombosis or pulmonary embolus. </w:t>
      </w:r>
    </w:p>
    <w:p w14:paraId="30F387E5" w14:textId="30DE875B" w:rsidR="004B7208" w:rsidRDefault="004B7208" w:rsidP="004B7208">
      <w:pPr>
        <w:pStyle w:val="BodyTextSMPC"/>
      </w:pPr>
      <w:r>
        <w:t>• Women who require concomitant coumarin-type anticoagulant therapy (see sections 4.4 and 4.5).</w:t>
      </w:r>
    </w:p>
    <w:p w14:paraId="5E2EEF17" w14:textId="41B81B7C" w:rsidR="00FF7482" w:rsidRPr="00B6762C" w:rsidRDefault="00000000" w:rsidP="00B6762C">
      <w:pPr>
        <w:pStyle w:val="SubHeafingSMPC"/>
      </w:pPr>
      <w:r w:rsidRPr="008F5678">
        <w:t xml:space="preserve">Special warnings and precautions for use </w:t>
      </w:r>
    </w:p>
    <w:p w14:paraId="2920A3B2" w14:textId="69BD7BB6" w:rsidR="004B7208" w:rsidRDefault="004B7208" w:rsidP="004B7208">
      <w:pPr>
        <w:pStyle w:val="BodyTextSMPC"/>
      </w:pPr>
      <w:r>
        <w:t xml:space="preserve">The warnings and precautions for use are different depending on the indication being treated. The specific warnings and precautions for the primary prevention of breast cancer can be found at the end of the section. </w:t>
      </w:r>
    </w:p>
    <w:p w14:paraId="54E12059" w14:textId="6CB0B6B8" w:rsidR="004B7208" w:rsidRDefault="004B7208" w:rsidP="00F96C0C">
      <w:pPr>
        <w:pStyle w:val="BodyTextSMPC"/>
      </w:pPr>
      <w:r>
        <w:t xml:space="preserve">Menstruation is suppressed in a proportion of premenopausal women receiving </w:t>
      </w:r>
      <w:r w:rsidR="008D2F24">
        <w:t>Tamoxifen</w:t>
      </w:r>
      <w:r>
        <w:t xml:space="preserve"> for the treatment of breast cancer. </w:t>
      </w:r>
    </w:p>
    <w:p w14:paraId="0E6DC5C4" w14:textId="33DB4067" w:rsidR="004B7208" w:rsidRDefault="004B7208" w:rsidP="00285556">
      <w:pPr>
        <w:pStyle w:val="BodyTextSMPC"/>
      </w:pPr>
      <w:r>
        <w:t xml:space="preserve">An increased incidence of endometrial changes including hyperplasia, polyps, cancer and uterine sarcoma (mostly malignant mixed Mullerian </w:t>
      </w:r>
      <w:proofErr w:type="spellStart"/>
      <w:r>
        <w:t>tumours</w:t>
      </w:r>
      <w:proofErr w:type="spellEnd"/>
      <w:r>
        <w:t xml:space="preserve">), has been reported in association with </w:t>
      </w:r>
      <w:r w:rsidR="008D2F24">
        <w:t>Tamoxifen</w:t>
      </w:r>
      <w:r>
        <w:t xml:space="preserve"> treatment. The underlying mechanism is unknown but may be related to the </w:t>
      </w:r>
      <w:proofErr w:type="spellStart"/>
      <w:r>
        <w:t>oestrogen</w:t>
      </w:r>
      <w:proofErr w:type="spellEnd"/>
      <w:r>
        <w:t xml:space="preserve">-like effect of </w:t>
      </w:r>
      <w:r w:rsidR="008D2F24">
        <w:t>Tamoxifen</w:t>
      </w:r>
      <w:r>
        <w:t xml:space="preserve">. </w:t>
      </w:r>
    </w:p>
    <w:p w14:paraId="5F5418BC" w14:textId="7D02D5DC" w:rsidR="004B7208" w:rsidRDefault="004B7208" w:rsidP="00285556">
      <w:pPr>
        <w:pStyle w:val="BodyTextSMPC"/>
      </w:pPr>
      <w:r>
        <w:t xml:space="preserve">There are several factors that influence the risk of developing endometrial cancer, with the majority of risk factors affecting </w:t>
      </w:r>
      <w:proofErr w:type="spellStart"/>
      <w:r>
        <w:t>oestrogen</w:t>
      </w:r>
      <w:proofErr w:type="spellEnd"/>
      <w:r>
        <w:t xml:space="preserve"> levels. Therefore, </w:t>
      </w:r>
      <w:r w:rsidR="008D2F24">
        <w:t>Tamoxifen</w:t>
      </w:r>
      <w:r>
        <w:t xml:space="preserve"> treatment may increase the incidence of endometrial cancer. In addition, other risk factors include obesity, nulliparity, diabetes mellitus, polycystic ovary syndrome and </w:t>
      </w:r>
      <w:proofErr w:type="spellStart"/>
      <w:r>
        <w:t>oestrogen</w:t>
      </w:r>
      <w:proofErr w:type="spellEnd"/>
      <w:r>
        <w:t xml:space="preserve">-only HRT. There is also the general risk for endometrial cancer with increasing age. </w:t>
      </w:r>
    </w:p>
    <w:p w14:paraId="056D057A" w14:textId="7725F156" w:rsidR="004B7208" w:rsidRDefault="004B7208" w:rsidP="00285556">
      <w:pPr>
        <w:pStyle w:val="BodyTextSMPC"/>
      </w:pPr>
      <w:r>
        <w:t xml:space="preserve">Any patient receiving or having previously received </w:t>
      </w:r>
      <w:r w:rsidR="008D2F24">
        <w:t>Tamoxifen</w:t>
      </w:r>
      <w:r>
        <w:t xml:space="preserve"> who report abnormal </w:t>
      </w:r>
      <w:proofErr w:type="spellStart"/>
      <w:r>
        <w:t>gynaecological</w:t>
      </w:r>
      <w:proofErr w:type="spellEnd"/>
      <w:r>
        <w:t xml:space="preserve"> symptoms, especially non-menstrual vaginal bleeding, or who presents with menstrual irregularities, vaginal discharge and symptoms such as pelvic pain or pressure should be promptly investigated. </w:t>
      </w:r>
    </w:p>
    <w:p w14:paraId="096E5A7C" w14:textId="25FAC4AF" w:rsidR="004B7208" w:rsidRDefault="004B7208" w:rsidP="00285556">
      <w:pPr>
        <w:pStyle w:val="BodyTextSMPC"/>
      </w:pPr>
      <w:r>
        <w:lastRenderedPageBreak/>
        <w:t xml:space="preserve">In patients with hereditary angioedema, </w:t>
      </w:r>
      <w:r w:rsidR="008D2F24">
        <w:t>Tamoxifen</w:t>
      </w:r>
      <w:r>
        <w:t xml:space="preserve"> may induce or exacerbate symptoms of angioedema. </w:t>
      </w:r>
    </w:p>
    <w:p w14:paraId="2C3A8E80" w14:textId="1B6B4DE5" w:rsidR="004B7208" w:rsidRDefault="004B7208" w:rsidP="00285556">
      <w:pPr>
        <w:pStyle w:val="BodyTextSMPC"/>
      </w:pPr>
      <w:r>
        <w:t xml:space="preserve">A number of second primary </w:t>
      </w:r>
      <w:proofErr w:type="spellStart"/>
      <w:r>
        <w:t>tumours</w:t>
      </w:r>
      <w:proofErr w:type="spellEnd"/>
      <w:r>
        <w:t xml:space="preserve">, occurring at sites other than the endometrium and the opposite breast, have been reported in clinical trials, following the treatment of breast cancer patients with tamoxifen. No causal link has been established and the clinical significance of these observations remains unclear. </w:t>
      </w:r>
    </w:p>
    <w:p w14:paraId="5D79A023" w14:textId="77777777" w:rsidR="004B7208" w:rsidRPr="00285556" w:rsidRDefault="004B7208" w:rsidP="004B7208">
      <w:pPr>
        <w:pStyle w:val="BodyTextSMPC"/>
        <w:rPr>
          <w:u w:val="single"/>
        </w:rPr>
      </w:pPr>
      <w:r w:rsidRPr="00285556">
        <w:rPr>
          <w:u w:val="single"/>
        </w:rPr>
        <w:t>Venous thromboembolism</w:t>
      </w:r>
    </w:p>
    <w:p w14:paraId="30BB078F" w14:textId="7E981770" w:rsidR="004B7208" w:rsidRDefault="004B7208" w:rsidP="00285556">
      <w:pPr>
        <w:pStyle w:val="BodyTextSMPC"/>
      </w:pPr>
      <w:r>
        <w:t xml:space="preserve">• A 2–3-fold increase in the risk for VTE has been demonstrated in healthy tamoxifen-treated women (see section 4.8). </w:t>
      </w:r>
    </w:p>
    <w:p w14:paraId="064A29AC" w14:textId="4A0CA4CB" w:rsidR="004B7208" w:rsidRDefault="004B7208" w:rsidP="00285556">
      <w:pPr>
        <w:pStyle w:val="BodyTextSMPC"/>
      </w:pPr>
      <w:r>
        <w:t xml:space="preserve">• In patients with breast cancer, prescribers should obtain careful histories with respect to the patient’s personal and family history of VTE. If suggestive of a prothrombotic risk, patients should be screened for </w:t>
      </w:r>
      <w:proofErr w:type="spellStart"/>
      <w:r>
        <w:t>thrombophilic</w:t>
      </w:r>
      <w:proofErr w:type="spellEnd"/>
      <w:r>
        <w:t xml:space="preserve"> factors. Patients who test positive should be counselled regarding their thrombotic risk. The decision to use tamoxifen in these patients should be based on the overall risk to the patient. In selected patients, the use of tamoxifen with prophylactic anticoagulation may be justified (cross-reference section 4.5) </w:t>
      </w:r>
    </w:p>
    <w:p w14:paraId="0A078591" w14:textId="12B6FB34" w:rsidR="004B7208" w:rsidRDefault="004B7208" w:rsidP="00285556">
      <w:pPr>
        <w:pStyle w:val="BodyTextSMPC"/>
      </w:pPr>
      <w:r>
        <w:t xml:space="preserve">• The risk of VTE is further increased by severe obesity, increasing age and all other risk factors for VTE. The risks and benefits should be carefully considered for all patients before treatment with tamoxifen. In patients with breast cancer, this risk is also increased by concomitant chemotherapy (see section 4.5). Long-term anticoagulant prophylaxis may be justified for some patients with breast cancer who have multiple risk factors for VTE. </w:t>
      </w:r>
    </w:p>
    <w:p w14:paraId="16D69506" w14:textId="130D5096" w:rsidR="004B7208" w:rsidRDefault="004B7208" w:rsidP="00285556">
      <w:pPr>
        <w:pStyle w:val="BodyTextSMPC"/>
      </w:pPr>
      <w:r>
        <w:t>• Surgery and immobility: For patients being treated for infertility, tamoxifen should be stopped at least 6 weeks before surgery or long</w:t>
      </w:r>
      <w:r w:rsidR="00285556">
        <w:t>-</w:t>
      </w:r>
      <w:r>
        <w:t xml:space="preserve">term immobility (when possible) and re-started only when the patient is fully mobile. For patients with breast cancer, tamoxifen treatment should only be stopped if the risk of tamoxifen-induced thrombosis clearly outweighs the risks associated with interrupting treatment. All patients should receive appropriate thrombosis prophylactic measures and should include graduated compression stockings for the period of </w:t>
      </w:r>
      <w:proofErr w:type="spellStart"/>
      <w:r>
        <w:t>hospitalisation</w:t>
      </w:r>
      <w:proofErr w:type="spellEnd"/>
      <w:r>
        <w:t xml:space="preserve">, early ambulation, if possible, and anticoagulant treatment. </w:t>
      </w:r>
    </w:p>
    <w:p w14:paraId="07DB991F" w14:textId="704E97A0" w:rsidR="004B7208" w:rsidRDefault="004B7208" w:rsidP="00285556">
      <w:pPr>
        <w:pStyle w:val="BodyTextSMPC"/>
      </w:pPr>
      <w:r>
        <w:lastRenderedPageBreak/>
        <w:t xml:space="preserve">• If any patient presents with VTE, tamoxifen should be stopped immediately and appropriate anti-thrombosis measures initiated. In patients being treated for infertility, tamoxifen should not be re-started unless there is a compelling alternative explanation for their thrombotic event. In patients receiving tamoxifen for breast cancer, the decision to re-start tamoxifen should be made with respect to the overall risk for the patient. In selected patients with breast cancer, the continued use of tamoxifen with prophylactic anticoagulation may be justified. </w:t>
      </w:r>
    </w:p>
    <w:p w14:paraId="6718478D" w14:textId="77777777" w:rsidR="003C3D72" w:rsidRDefault="004B7208" w:rsidP="00285556">
      <w:pPr>
        <w:pStyle w:val="BodyTextSMPC"/>
      </w:pPr>
      <w:r>
        <w:t xml:space="preserve">• All patients should be advised to contact their doctors immediately if they become aware of any symptoms of VTE. </w:t>
      </w:r>
    </w:p>
    <w:p w14:paraId="7528A300" w14:textId="759EA057" w:rsidR="004B7208" w:rsidRDefault="004B7208" w:rsidP="003C3D72">
      <w:pPr>
        <w:pStyle w:val="BodyTextSMPC"/>
      </w:pPr>
      <w:r>
        <w:t xml:space="preserve">In delayed microsurgical breast reconstruction </w:t>
      </w:r>
      <w:r w:rsidR="008D2F24">
        <w:t>Tamoxifen</w:t>
      </w:r>
      <w:r>
        <w:t xml:space="preserve"> may increase the risk of microvascular flap complications. </w:t>
      </w:r>
    </w:p>
    <w:p w14:paraId="5D1A4690" w14:textId="496A2240" w:rsidR="004B7208" w:rsidRDefault="004B7208" w:rsidP="003C3D72">
      <w:pPr>
        <w:pStyle w:val="BodyTextSMPC"/>
      </w:pPr>
      <w:r>
        <w:t xml:space="preserve">In an uncontrolled trial in 28 girls aged 2–10 years with McCune Albright Syndrome (MAS), who received 20 mg once a day for up to 12 months duration, mean uterine volume increased after 6 months of treatment and doubled at the end of the one-year study. While this finding is in line with the pharmacodynamic properties of tamoxifen, a causal relationship has not been established (see section 5.1). </w:t>
      </w:r>
    </w:p>
    <w:p w14:paraId="05A86933" w14:textId="227AB967" w:rsidR="004B7208" w:rsidRDefault="004B7208" w:rsidP="003C3D72">
      <w:pPr>
        <w:pStyle w:val="BodyTextSMPC"/>
      </w:pPr>
      <w:r>
        <w:t xml:space="preserve">In the literature it has been shown that CYP2D6 poor </w:t>
      </w:r>
      <w:proofErr w:type="spellStart"/>
      <w:r>
        <w:t>metabolisers</w:t>
      </w:r>
      <w:proofErr w:type="spellEnd"/>
      <w:r>
        <w:t xml:space="preserve"> have a lowered plasma level of </w:t>
      </w:r>
      <w:proofErr w:type="spellStart"/>
      <w:r>
        <w:t>endoxifen</w:t>
      </w:r>
      <w:proofErr w:type="spellEnd"/>
      <w:r>
        <w:t xml:space="preserve">, one of the most important active metabolites of tamoxifen (see section 5.2). </w:t>
      </w:r>
    </w:p>
    <w:p w14:paraId="2C37F16A" w14:textId="250ED2A4" w:rsidR="004B7208" w:rsidRDefault="004B7208" w:rsidP="003C3D72">
      <w:pPr>
        <w:pStyle w:val="BodyTextSMPC"/>
      </w:pPr>
      <w:r>
        <w:t xml:space="preserve">Concomitant medications that inhibit CYP2D6 may lead to reduced concentrations of the active metabolite </w:t>
      </w:r>
      <w:proofErr w:type="spellStart"/>
      <w:r>
        <w:t>endoxifen</w:t>
      </w:r>
      <w:proofErr w:type="spellEnd"/>
      <w:r>
        <w:t xml:space="preserve">. Therefore, potent inhibitors of CYP2D6 (e.g. paroxetine, fluoxetine, quinidine, cinacalcet or bupropion) should whenever possible be avoided during tamoxifen treatment (see sections 4.5 and 5.2). </w:t>
      </w:r>
    </w:p>
    <w:p w14:paraId="4AA1130B" w14:textId="0BFB8FFC" w:rsidR="004B7208" w:rsidRDefault="004B7208" w:rsidP="003C3D72">
      <w:pPr>
        <w:pStyle w:val="BodyTextSMPC"/>
      </w:pPr>
      <w:r>
        <w:t xml:space="preserve">Radiation recall has been reported very rarely in patients on </w:t>
      </w:r>
      <w:r w:rsidR="008D2F24">
        <w:t>Tamoxifen</w:t>
      </w:r>
      <w:r>
        <w:t xml:space="preserve"> who have received prior radiotherapy. The reaction is usually reversible upon temporary cessation of therapy and re-challenge may result in a milder reaction. Treatment with </w:t>
      </w:r>
      <w:r w:rsidR="008D2F24">
        <w:t>Tamoxifen</w:t>
      </w:r>
      <w:r>
        <w:t xml:space="preserve"> was continued in most cases. </w:t>
      </w:r>
    </w:p>
    <w:p w14:paraId="20647333" w14:textId="77777777" w:rsidR="004B7208" w:rsidRPr="003C3D72" w:rsidRDefault="004B7208" w:rsidP="004B7208">
      <w:pPr>
        <w:pStyle w:val="BodyTextSMPC"/>
        <w:rPr>
          <w:b/>
          <w:bCs/>
        </w:rPr>
      </w:pPr>
      <w:r w:rsidRPr="003C3D72">
        <w:rPr>
          <w:b/>
          <w:bCs/>
        </w:rPr>
        <w:t xml:space="preserve">Additional precautions relating to primary reduction of breast cancer risk </w:t>
      </w:r>
    </w:p>
    <w:p w14:paraId="796B80F3" w14:textId="4AAAAACB" w:rsidR="004B7208" w:rsidRDefault="008D2F24" w:rsidP="003C3D72">
      <w:pPr>
        <w:pStyle w:val="BodyTextSMPC"/>
      </w:pPr>
      <w:r>
        <w:lastRenderedPageBreak/>
        <w:t>Tamoxifen</w:t>
      </w:r>
      <w:r w:rsidR="004B7208">
        <w:t xml:space="preserve"> therapy for this indication has uncommonly been associated with serious side effects such as pulmonary embolus and uterine cancer (both endometrial adenocarcinoma and uterine sarcoma). In trials comparing tamoxifen to placebo for reduction of the incidence of breast cancer in women at increased risk of breast cancer, the use of tamoxifen was associated with an increased risk of serious and sometimes fatal adverse events including endometrial cancer (approximately 4 cases per 1000 women over 5 years of use) and thromboembolic events (including deep vein thrombosis and pulmonary embolism). Less serious side effects such as hot flushes, vaginal discharge, menstrual irregularities and </w:t>
      </w:r>
      <w:proofErr w:type="spellStart"/>
      <w:r w:rsidR="004B7208">
        <w:t>gynaecological</w:t>
      </w:r>
      <w:proofErr w:type="spellEnd"/>
      <w:r w:rsidR="004B7208">
        <w:t xml:space="preserve"> conditions may also occur. Non-</w:t>
      </w:r>
      <w:proofErr w:type="spellStart"/>
      <w:r w:rsidR="004B7208">
        <w:t>gynaecological</w:t>
      </w:r>
      <w:proofErr w:type="spellEnd"/>
      <w:r w:rsidR="004B7208">
        <w:t xml:space="preserve"> conditions such as cataracts were also increased (see section 4.8). Whether the benefits of treatment are considered to outweigh the risks depends on the woman's age, health history, and level of breast cancer risk (see sections 4.4, 4.8 and 5.1). </w:t>
      </w:r>
    </w:p>
    <w:p w14:paraId="43E06C05" w14:textId="33500459" w:rsidR="004B7208" w:rsidRDefault="004B7208" w:rsidP="003C3D72">
      <w:pPr>
        <w:pStyle w:val="BodyTextSMPC"/>
      </w:pPr>
      <w:r>
        <w:t xml:space="preserve">In the primary prevention studies, due to the limited number of patients with a confirmed BRCA mutation there is uncertainty about the absolute benefit in these patients treated with tamoxifen for primary prevention of breast cancer. </w:t>
      </w:r>
    </w:p>
    <w:p w14:paraId="21517F0C" w14:textId="19F44C99" w:rsidR="004B7208" w:rsidRDefault="004B7208" w:rsidP="003C3D72">
      <w:pPr>
        <w:pStyle w:val="BodyTextSMPC"/>
      </w:pPr>
      <w:r>
        <w:t xml:space="preserve">Benign </w:t>
      </w:r>
      <w:proofErr w:type="spellStart"/>
      <w:r>
        <w:t>gynaecological</w:t>
      </w:r>
      <w:proofErr w:type="spellEnd"/>
      <w:r>
        <w:t xml:space="preserve"> conditions (including endometrial polyps, endometriosis, and ovarian cysts) and </w:t>
      </w:r>
      <w:proofErr w:type="spellStart"/>
      <w:r>
        <w:t>gynaecological</w:t>
      </w:r>
      <w:proofErr w:type="spellEnd"/>
      <w:r>
        <w:t xml:space="preserve"> procedures (including hysteroscopy, dilation and curettage, and hysterectomy) were also found to occur more frequently with tamoxifen use. </w:t>
      </w:r>
    </w:p>
    <w:p w14:paraId="6733A921" w14:textId="5BF3F327" w:rsidR="004B7208" w:rsidRDefault="004B7208" w:rsidP="003C3D72">
      <w:pPr>
        <w:pStyle w:val="BodyTextSMPC"/>
      </w:pPr>
      <w:r>
        <w:t xml:space="preserve">Any women receiving or having previously received </w:t>
      </w:r>
      <w:r w:rsidR="008D2F24">
        <w:t>Tamoxifen</w:t>
      </w:r>
      <w:r>
        <w:t xml:space="preserve"> for risk reduction should be promptly investigated if any abnormal </w:t>
      </w:r>
      <w:proofErr w:type="spellStart"/>
      <w:r>
        <w:t>gynaecological</w:t>
      </w:r>
      <w:proofErr w:type="spellEnd"/>
      <w:r>
        <w:t xml:space="preserve"> symptoms develop, especially non-menstrual vaginal bleeding. </w:t>
      </w:r>
    </w:p>
    <w:p w14:paraId="3C89CA85" w14:textId="0684F0D7" w:rsidR="004B7208" w:rsidRDefault="004B7208" w:rsidP="003C3D72">
      <w:pPr>
        <w:pStyle w:val="BodyTextSMPC"/>
      </w:pPr>
      <w:r>
        <w:t xml:space="preserve">The risks of tamoxifen therapy are generally lower in younger women than in older women. In the primary prevention trials, in contrast to women aged 50 years or older, women younger than 50 years did not have an increased risk of endometrial cancer or pulmonary embolism and the increased risk of deep vein thrombosis was small and restricted to the treatment period. </w:t>
      </w:r>
    </w:p>
    <w:p w14:paraId="45E8158D" w14:textId="54FD47D1" w:rsidR="004B7208" w:rsidRDefault="004B7208" w:rsidP="00B15B39">
      <w:pPr>
        <w:pStyle w:val="BodyTextSMPC"/>
      </w:pPr>
      <w:r>
        <w:t xml:space="preserve">When considered for primary reduction of breast cancer risk, </w:t>
      </w:r>
      <w:r w:rsidR="008D2F24">
        <w:t>Tamoxifen</w:t>
      </w:r>
      <w:r>
        <w:t xml:space="preserve"> is contraindicated in women who require concomitant coumarin-type anticoagulant therapy or in women with a history of deep vein </w:t>
      </w:r>
      <w:r>
        <w:lastRenderedPageBreak/>
        <w:t xml:space="preserve">thrombosis or pulmonary embolus (see sections 4.3 and 4.5). In women who do not have a history of thromboembolic events, but who are at increased risk of thromboembolic events, the benefits and risks of tamoxifen for the primary reduction of breast cancer risk should be carefully considered. Risk factors for thromboembolic events include smoking, immobility and a family history of venous thrombosis; an additional risk factor, is concomitant oral contraceptive or hormone replacement therapy, which is not recommended in women taking tamoxifen. In women receiving tamoxifen for primary reduction of breast cancer risk, tamoxifen should be stopped approximately 6 weeks before undergoing elective surgery to reduce the risk of thromboembolic events. Consideration should also be given to discontinuing tamoxifen during periods of immobility. </w:t>
      </w:r>
    </w:p>
    <w:p w14:paraId="566CD9CB" w14:textId="2329E973" w:rsidR="004B7208" w:rsidRDefault="004B7208" w:rsidP="00B15B39">
      <w:pPr>
        <w:pStyle w:val="BodyTextSMPC"/>
      </w:pPr>
      <w:r>
        <w:t xml:space="preserve">The use of tamoxifen for reduction of breast cancer risk has been associated with reduced bone density in premenopausal women. Whether this may result in an increased risk of fracture is not known. Pre-menopausal women taking tamoxifen for this reason should be advised regarding measures to maintain bone health. </w:t>
      </w:r>
    </w:p>
    <w:p w14:paraId="28EC1C89" w14:textId="77777777" w:rsidR="004B7208" w:rsidRPr="00B15B39" w:rsidRDefault="004B7208" w:rsidP="004B7208">
      <w:pPr>
        <w:pStyle w:val="BodyTextSMPC"/>
        <w:rPr>
          <w:u w:val="single"/>
        </w:rPr>
      </w:pPr>
      <w:r w:rsidRPr="00B15B39">
        <w:rPr>
          <w:u w:val="single"/>
        </w:rPr>
        <w:t>Toxic epidermal necrolysis</w:t>
      </w:r>
    </w:p>
    <w:p w14:paraId="78752447" w14:textId="5C9926BC" w:rsidR="004B7208" w:rsidRDefault="004B7208" w:rsidP="00B15B39">
      <w:pPr>
        <w:pStyle w:val="BodyTextSMPC"/>
      </w:pPr>
      <w:r>
        <w:t xml:space="preserve">Severe cutaneous adverse reactions (SCARs) including Stevens-Johnson syndrome (SJS) and toxic epidermal necrolysis (TEN), which can be life-threatening or fatal, have been reported in association with </w:t>
      </w:r>
      <w:r w:rsidR="008D2F24">
        <w:t>Tamoxifen</w:t>
      </w:r>
      <w:r>
        <w:t xml:space="preserve"> treatment. At the time of prescription patients should be advised of the signs and symptoms and monitored closely for skin reactions. If signs and symptoms suggestive of these reactions appear, </w:t>
      </w:r>
      <w:r w:rsidR="008D2F24">
        <w:t>Tamoxifen</w:t>
      </w:r>
      <w:r>
        <w:t xml:space="preserve"> should be withdrawn immediately and an alternative treatment considered (as appropriate). If the patient has developed a serious reaction such as SJS or TEN with the use of </w:t>
      </w:r>
      <w:r w:rsidR="008D2F24">
        <w:t>Tamoxifen</w:t>
      </w:r>
      <w:r>
        <w:t xml:space="preserve">, treatment with </w:t>
      </w:r>
      <w:r w:rsidR="008D2F24">
        <w:t>Tamoxifen</w:t>
      </w:r>
      <w:r>
        <w:t xml:space="preserve"> must not be restarted in this patient at any time. </w:t>
      </w:r>
    </w:p>
    <w:p w14:paraId="40FDB586" w14:textId="77777777" w:rsidR="004B7208" w:rsidRPr="00B15B39" w:rsidRDefault="004B7208" w:rsidP="004B7208">
      <w:pPr>
        <w:pStyle w:val="BodyTextSMPC"/>
        <w:rPr>
          <w:u w:val="single"/>
        </w:rPr>
      </w:pPr>
      <w:r w:rsidRPr="00B15B39">
        <w:rPr>
          <w:u w:val="single"/>
        </w:rPr>
        <w:t>Exacerbation of hereditary angioedema</w:t>
      </w:r>
    </w:p>
    <w:p w14:paraId="57BBFC1C" w14:textId="177EA7DD" w:rsidR="004B7208" w:rsidRDefault="004B7208" w:rsidP="00B15B39">
      <w:pPr>
        <w:pStyle w:val="BodyTextSMPC"/>
      </w:pPr>
      <w:r>
        <w:t xml:space="preserve">In patients with hereditary angioedema, tamoxifen may induce or exacerbate symptoms of angioedema.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6A93C66" w14:textId="321572C3" w:rsidR="00B15B39" w:rsidRDefault="00B15B39" w:rsidP="00B15B39">
      <w:pPr>
        <w:pStyle w:val="BodyTextSMPC"/>
      </w:pPr>
      <w:r>
        <w:t xml:space="preserve">When </w:t>
      </w:r>
      <w:r w:rsidR="008D2F24">
        <w:t>Tamoxifen</w:t>
      </w:r>
      <w:r>
        <w:t xml:space="preserve"> is used in combination with coumarin-type anticoagulants, a significant increase in anticoagulant effect may occur. Where such co</w:t>
      </w:r>
      <w:r>
        <w:t>-</w:t>
      </w:r>
      <w:r>
        <w:t xml:space="preserve">administration is initiated for the treatment of breast cancer, careful monitoring of the patient is recommended. </w:t>
      </w:r>
    </w:p>
    <w:p w14:paraId="7717F153" w14:textId="6E77ECBE" w:rsidR="00B15B39" w:rsidRDefault="00B15B39" w:rsidP="00B15B39">
      <w:pPr>
        <w:pStyle w:val="BodyTextSMPC"/>
      </w:pPr>
      <w:r>
        <w:t xml:space="preserve">When </w:t>
      </w:r>
      <w:r w:rsidR="008D2F24">
        <w:t>Tamoxifen</w:t>
      </w:r>
      <w:r>
        <w:t xml:space="preserve"> is used in combination with cytotoxic agents for the treatment of breast cancer, there is increased risk of thromboembolic events occurring. (See also sections 4.4 and 4.8). Because of this increase in risk of VTE, thrombosis prophylaxis should be considered for these patients for the period of concomitant chemotherapy. </w:t>
      </w:r>
    </w:p>
    <w:p w14:paraId="38FECECE" w14:textId="24343A28" w:rsidR="00B15B39" w:rsidRDefault="00B15B39" w:rsidP="00B15B39">
      <w:pPr>
        <w:pStyle w:val="BodyTextSMPC"/>
      </w:pPr>
      <w:r>
        <w:t xml:space="preserve">The use of tamoxifen in combination with anastrozole as adjuvant therapy has not shown improved efficacy compared with tamoxifen alone. </w:t>
      </w:r>
    </w:p>
    <w:p w14:paraId="53C813E3" w14:textId="77F1614D" w:rsidR="00B15B39" w:rsidRDefault="00B15B39" w:rsidP="00B15B39">
      <w:pPr>
        <w:pStyle w:val="BodyTextSMPC"/>
      </w:pPr>
      <w:r>
        <w:t xml:space="preserve">As </w:t>
      </w:r>
      <w:r w:rsidR="008D2F24">
        <w:t>Tamoxifen</w:t>
      </w:r>
      <w:r>
        <w:t xml:space="preserve"> is </w:t>
      </w:r>
      <w:proofErr w:type="spellStart"/>
      <w:r>
        <w:t>metabolised</w:t>
      </w:r>
      <w:proofErr w:type="spellEnd"/>
      <w:r>
        <w:t xml:space="preserve"> by cytochrome P450 3A4, care is required when co</w:t>
      </w:r>
      <w:r>
        <w:t>-</w:t>
      </w:r>
      <w:r>
        <w:t xml:space="preserve">administering with drugs, such as rifampicin, known to induce this enzyme as tamoxifen levels may be reduced. The clinical relevance of this reduction is unknown. </w:t>
      </w:r>
    </w:p>
    <w:p w14:paraId="31CCBC07" w14:textId="22FB7ABD" w:rsidR="00B15B39" w:rsidRDefault="00B15B39" w:rsidP="00087D6D">
      <w:pPr>
        <w:pStyle w:val="BodyTextSMPC"/>
      </w:pPr>
      <w:r>
        <w:t>Pharmacokinetic interaction with CYP2D6 inhibitors, showing a reduction in plasma level of an active tamoxifen metabolite, 4-hydroxy-N-desmethyltamoxifen (</w:t>
      </w:r>
      <w:proofErr w:type="spellStart"/>
      <w:r>
        <w:t>endoxifen</w:t>
      </w:r>
      <w:proofErr w:type="spellEnd"/>
      <w:r>
        <w:t xml:space="preserve">), has been reported in the literature. Pharmacokinetic interaction with CYP2D6 inhibitors, showing a 65-75% reduction in plasma levels of one of the more active forms of the drug, i.e. </w:t>
      </w:r>
      <w:proofErr w:type="spellStart"/>
      <w:r>
        <w:t>endoxifen</w:t>
      </w:r>
      <w:proofErr w:type="spellEnd"/>
      <w:r>
        <w:t xml:space="preserve">, has been reported in the literature. Reduced efficacy of tamoxifen has been reported with concomitant usage of some SSRI antidepressants (e.g. paroxetine) in some studies. As a reduced effect of tamoxifen cannot be excluded, co-administration with potent CYP2D6 inhibitors (e.g. paroxetine, fluoxetine, quinidine, cinacalcet or bupropion) should whenever possible be avoided (see sections 4.4 and 5.2). </w:t>
      </w:r>
    </w:p>
    <w:p w14:paraId="16562A4B" w14:textId="77777777" w:rsidR="00B15B39" w:rsidRPr="00087D6D" w:rsidRDefault="00B15B39" w:rsidP="00B15B39">
      <w:pPr>
        <w:pStyle w:val="BodyTextSMPC"/>
        <w:rPr>
          <w:b/>
          <w:bCs/>
        </w:rPr>
      </w:pPr>
      <w:r w:rsidRPr="00087D6D">
        <w:rPr>
          <w:b/>
          <w:bCs/>
        </w:rPr>
        <w:t>Primary prevention of breast cancer risk</w:t>
      </w:r>
    </w:p>
    <w:p w14:paraId="46CD5D69" w14:textId="77777777" w:rsidR="00087D6D" w:rsidRDefault="00B15B39" w:rsidP="00087D6D">
      <w:pPr>
        <w:pStyle w:val="BodyTextSMPC"/>
      </w:pPr>
      <w:r>
        <w:lastRenderedPageBreak/>
        <w:t xml:space="preserve">In women receiving tamoxifen for the primary prevention of breast cancer, the use of coumarin type anticoagulants is contraindicated (see sections 4.3 and 4.4). </w:t>
      </w:r>
    </w:p>
    <w:p w14:paraId="671F337F" w14:textId="7EF4938A" w:rsidR="003B51C2" w:rsidRDefault="00B15B39" w:rsidP="00087D6D">
      <w:pPr>
        <w:pStyle w:val="BodyTextSMPC"/>
      </w:pPr>
      <w:r>
        <w:t>There is some evidence that hormone replacement therapy may reduce the effectiveness of tamoxifen, and the concomitant use of tamoxifen and oral hormonal contraceptives is not recommended. Therefore, the use of hormone replacement therapy or oral hormonal contraceptives to manage tamoxifen side effects is not recommended (see section 5.1).</w:t>
      </w:r>
    </w:p>
    <w:p w14:paraId="622B2896" w14:textId="178152B9" w:rsidR="009D6FFD" w:rsidRPr="009D6FFD" w:rsidRDefault="00000000" w:rsidP="004A5AB4">
      <w:pPr>
        <w:pStyle w:val="SubHeafingSMPC"/>
      </w:pPr>
      <w:r w:rsidRPr="008F5678">
        <w:t xml:space="preserve">Fertility, pregnancy and lactation </w:t>
      </w:r>
    </w:p>
    <w:p w14:paraId="0ACDBFEA" w14:textId="77777777" w:rsidR="00194F10" w:rsidRDefault="00194F10" w:rsidP="00AF79C1">
      <w:pPr>
        <w:pStyle w:val="BodyTextSMPC"/>
      </w:pPr>
      <w:r w:rsidRPr="00194F10">
        <w:rPr>
          <w:b/>
          <w:bCs/>
        </w:rPr>
        <w:t>Women of childbearing potential</w:t>
      </w:r>
    </w:p>
    <w:p w14:paraId="7C31E3E4" w14:textId="54C3FF2F" w:rsidR="00D32C40" w:rsidRDefault="00087D6D" w:rsidP="00087D6D">
      <w:pPr>
        <w:pStyle w:val="BodyTextSMPC"/>
      </w:pPr>
      <w:r>
        <w:t xml:space="preserve">Women should be advised not to become pregnant whilst taking </w:t>
      </w:r>
      <w:r w:rsidR="008D2F24">
        <w:t>Tamoxifen</w:t>
      </w:r>
      <w:r>
        <w:t xml:space="preserve"> and for nine months following the cessation of therapy and should use barrier or other non</w:t>
      </w:r>
      <w:r>
        <w:t>-</w:t>
      </w:r>
      <w:r>
        <w:t xml:space="preserve">hormonal contraceptive methods if sexually active. Premenopausal patients must be carefully examined before treatment to exclude pregnancy. Women should be informed of the potential risks to the </w:t>
      </w:r>
      <w:proofErr w:type="spellStart"/>
      <w:r>
        <w:t>foetus</w:t>
      </w:r>
      <w:proofErr w:type="spellEnd"/>
      <w:r>
        <w:t xml:space="preserve">, should they become pregnant whilst taking </w:t>
      </w:r>
      <w:r w:rsidR="008D2F24">
        <w:t>Tamoxifen</w:t>
      </w:r>
      <w:r>
        <w:t xml:space="preserve"> or within nine months of cessation of therapy.</w:t>
      </w:r>
    </w:p>
    <w:p w14:paraId="092C1B94" w14:textId="3C043418" w:rsidR="00194F10" w:rsidRDefault="00194F10" w:rsidP="00194F10">
      <w:pPr>
        <w:pStyle w:val="BodyTextSMPC"/>
        <w:rPr>
          <w:b/>
          <w:bCs/>
        </w:rPr>
      </w:pPr>
      <w:r w:rsidRPr="00194F10">
        <w:rPr>
          <w:b/>
          <w:bCs/>
        </w:rPr>
        <w:t>Pregnancy</w:t>
      </w:r>
    </w:p>
    <w:p w14:paraId="3D9E544E" w14:textId="723711BB" w:rsidR="00087D6D" w:rsidRDefault="008D2F24" w:rsidP="00087D6D">
      <w:pPr>
        <w:pStyle w:val="BodyTextSMPC"/>
      </w:pPr>
      <w:r>
        <w:t>Tamoxifen</w:t>
      </w:r>
      <w:r w:rsidR="00087D6D">
        <w:t xml:space="preserve"> must not be administered during pregnancy. There have been a small number of reports of spontaneous abortions, birth defects and </w:t>
      </w:r>
      <w:proofErr w:type="spellStart"/>
      <w:r w:rsidR="00087D6D">
        <w:t>foetal</w:t>
      </w:r>
      <w:proofErr w:type="spellEnd"/>
      <w:r w:rsidR="00087D6D">
        <w:t xml:space="preserve"> deaths after women have taken </w:t>
      </w:r>
      <w:r>
        <w:t>Tamoxifen</w:t>
      </w:r>
      <w:r w:rsidR="00087D6D">
        <w:t xml:space="preserve">, although no causal relationship has been established. </w:t>
      </w:r>
    </w:p>
    <w:p w14:paraId="6249B27F" w14:textId="7E151175" w:rsidR="00087D6D" w:rsidRDefault="00087D6D" w:rsidP="00087D6D">
      <w:pPr>
        <w:pStyle w:val="BodyTextSMPC"/>
      </w:pPr>
      <w:r>
        <w:t xml:space="preserve">Reproductive toxicology studies in rats, rabbits and monkeys have shown no teratogenic potential. </w:t>
      </w:r>
    </w:p>
    <w:p w14:paraId="67ACD2A0" w14:textId="74D32891" w:rsidR="00194F10" w:rsidRPr="00194F10" w:rsidRDefault="00087D6D" w:rsidP="00087D6D">
      <w:pPr>
        <w:pStyle w:val="BodyTextSMPC"/>
      </w:pPr>
      <w:r>
        <w:t xml:space="preserve">In rodent models of </w:t>
      </w:r>
      <w:proofErr w:type="spellStart"/>
      <w:r>
        <w:t>foetal</w:t>
      </w:r>
      <w:proofErr w:type="spellEnd"/>
      <w:r>
        <w:t xml:space="preserve"> reproductive tract development, tamoxifen was associated with changes similar to those caused by estradiol, </w:t>
      </w:r>
      <w:proofErr w:type="spellStart"/>
      <w:r>
        <w:t>ethinylestradiol</w:t>
      </w:r>
      <w:proofErr w:type="spellEnd"/>
      <w:r>
        <w:t xml:space="preserve">, clomiphene and </w:t>
      </w:r>
      <w:proofErr w:type="spellStart"/>
      <w:r>
        <w:t>diethylstilboestrol</w:t>
      </w:r>
      <w:proofErr w:type="spellEnd"/>
      <w:r>
        <w:t xml:space="preserve"> (DES). Although the clinical relevance of these changes is unknown, some of them, especially vaginal adenosis, are similar to those seen in young women who were exposed to DES in utero and who have a 1 in 1000 risk of developing clear-cell carcinoma of the vagina or cervix. Only a small number of pregnant women have been exposed to tamoxifen. Such exposure has not been reported to cause subsequent vaginal adenosis or </w:t>
      </w:r>
      <w:r>
        <w:lastRenderedPageBreak/>
        <w:t>clear-cell carcinoma of the vagina or cervix in young women exposed in utero to tamoxifen</w:t>
      </w:r>
      <w:r w:rsidR="00194F10">
        <w:t>.</w:t>
      </w:r>
    </w:p>
    <w:p w14:paraId="0F6D438F" w14:textId="43842091" w:rsidR="00D32C40" w:rsidRPr="00D32C40" w:rsidRDefault="00D32C40" w:rsidP="00D32C40">
      <w:pPr>
        <w:pStyle w:val="BodyTextSMPC"/>
        <w:rPr>
          <w:b/>
          <w:bCs/>
        </w:rPr>
      </w:pPr>
      <w:r w:rsidRPr="00D32C40">
        <w:rPr>
          <w:b/>
          <w:bCs/>
        </w:rPr>
        <w:t>Breast-feeding</w:t>
      </w:r>
    </w:p>
    <w:p w14:paraId="174E23E2" w14:textId="0B03259F" w:rsidR="00194F10" w:rsidRDefault="00087D6D" w:rsidP="00087D6D">
      <w:pPr>
        <w:pStyle w:val="BodyTextSMPC"/>
      </w:pPr>
      <w:r>
        <w:t xml:space="preserve">Limited data suggest that </w:t>
      </w:r>
      <w:r w:rsidR="008D2F24">
        <w:t>Tamoxifen</w:t>
      </w:r>
      <w:r>
        <w:t xml:space="preserve"> and its active metabolites are excreted and accumulate over time in human milk, therefore the drug is not recommended during breast-feeding. The decision either to discontinue nursing or discontinue </w:t>
      </w:r>
      <w:r w:rsidR="008D2F24">
        <w:t>Tamoxifen</w:t>
      </w:r>
      <w:r>
        <w:t xml:space="preserve"> should take into account the importance of the drug to the mother</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454627C7" w:rsidR="00227FD4" w:rsidRPr="009D6FFD" w:rsidRDefault="008D2F24" w:rsidP="00087D6D">
      <w:pPr>
        <w:pStyle w:val="BodyTextSMPC"/>
      </w:pPr>
      <w:r>
        <w:t>Tamoxifen</w:t>
      </w:r>
      <w:r w:rsidR="00087D6D">
        <w:t xml:space="preserve"> is unlikely to impair the ability of patients to drive or operate machinery. However, fatigue has been reported with the use of </w:t>
      </w:r>
      <w:r>
        <w:t>Tamoxifen</w:t>
      </w:r>
      <w:r w:rsidR="00087D6D">
        <w:t xml:space="preserve"> and caution should be observed when driving or using machinery while such symptoms persist</w:t>
      </w:r>
      <w:r w:rsidR="009636CF">
        <w:t>.</w:t>
      </w:r>
      <w:r w:rsidR="009636CF" w:rsidRPr="00096B28">
        <w:t xml:space="preserve"> </w:t>
      </w:r>
    </w:p>
    <w:p w14:paraId="071D62C3" w14:textId="1176E362" w:rsidR="00227FD4" w:rsidRPr="008F5678" w:rsidRDefault="00000000" w:rsidP="00671E86">
      <w:pPr>
        <w:pStyle w:val="SubHeafingSMPC"/>
      </w:pPr>
      <w:r w:rsidRPr="008F5678">
        <w:t xml:space="preserve">Undesirable effects </w:t>
      </w:r>
    </w:p>
    <w:p w14:paraId="5D039107" w14:textId="77777777" w:rsidR="00CA207F" w:rsidRPr="00CA207F" w:rsidRDefault="00CA207F" w:rsidP="00CA207F">
      <w:pPr>
        <w:pStyle w:val="BodyTextSMPC"/>
        <w:rPr>
          <w:u w:val="single"/>
        </w:rPr>
      </w:pPr>
      <w:r w:rsidRPr="00CA207F">
        <w:rPr>
          <w:u w:val="single"/>
        </w:rPr>
        <w:t>Tabulated list of adverse reactions</w:t>
      </w:r>
    </w:p>
    <w:p w14:paraId="6EADD73D" w14:textId="19BACEB1" w:rsidR="00CA207F" w:rsidRDefault="00CA207F" w:rsidP="00CA207F">
      <w:pPr>
        <w:pStyle w:val="BodyTextSMPC"/>
      </w:pPr>
      <w:r>
        <w:t xml:space="preserve">The following definitions apply to the incidence of undesirable effects: Frequencies are defined as: very common (≥ 1/10); common (≥ 1/100 to &lt; 1/10); uncommon (≥ 1/1,000 to &lt; 1/100); rare (≥ 1/10,000 to &lt; 1/1,000); very rare (&lt; 1/10,000), not known (cannot be estimated from the available data). </w:t>
      </w:r>
    </w:p>
    <w:p w14:paraId="1999B3F5" w14:textId="47C4611A" w:rsidR="00DF0DD2" w:rsidRDefault="00CA207F" w:rsidP="00CA207F">
      <w:pPr>
        <w:pStyle w:val="BodyTextSMPC"/>
      </w:pPr>
      <w:r>
        <w:t>Unless specified, the following frequency categories were calculated from the number of adverse events reported in a large phase III study conducted in 9366 postmenopausal women patients with operable breast cancer treated for 5 years and unless specified, no account was taken of the frequency within the comparative treatment group or whether the investigator considered it to be related to study medication. The safety findings in the breast cancer prevention trials appeared consistent overall with the established safety profile of tamoxifen</w:t>
      </w:r>
      <w:r w:rsidR="00096B28" w:rsidRPr="00096B28">
        <w:t>.</w:t>
      </w:r>
      <w:r w:rsidR="000F6998">
        <w:t xml:space="preserve"> </w:t>
      </w:r>
    </w:p>
    <w:p w14:paraId="11EF4BD5" w14:textId="0CDE4EF5" w:rsidR="00527795" w:rsidRDefault="00CA207F" w:rsidP="00527795">
      <w:pPr>
        <w:pStyle w:val="BodyTextSMPC"/>
      </w:pPr>
      <w:r w:rsidRPr="00CA207F">
        <w:rPr>
          <w:b/>
          <w:bCs/>
        </w:rPr>
        <w:t>Table 1 Adverse Drug Reactions (ADR) seen with Tamoxifen</w:t>
      </w:r>
    </w:p>
    <w:tbl>
      <w:tblPr>
        <w:tblW w:w="8363" w:type="dxa"/>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24"/>
        <w:gridCol w:w="3879"/>
        <w:gridCol w:w="3260"/>
      </w:tblGrid>
      <w:tr w:rsidR="00CA207F" w:rsidRPr="00860227" w14:paraId="62F41C23" w14:textId="77777777" w:rsidTr="00860227">
        <w:trPr>
          <w:tblCellSpacing w:w="0" w:type="dxa"/>
        </w:trPr>
        <w:tc>
          <w:tcPr>
            <w:tcW w:w="732" w:type="pct"/>
            <w:tcBorders>
              <w:top w:val="outset" w:sz="6" w:space="0" w:color="auto"/>
              <w:left w:val="outset" w:sz="6" w:space="0" w:color="auto"/>
              <w:bottom w:val="outset" w:sz="6" w:space="0" w:color="auto"/>
              <w:right w:val="outset" w:sz="6" w:space="0" w:color="auto"/>
            </w:tcBorders>
            <w:shd w:val="clear" w:color="auto" w:fill="FFFFFF"/>
            <w:hideMark/>
          </w:tcPr>
          <w:p w14:paraId="1A897FAE" w14:textId="77777777" w:rsidR="00CA207F" w:rsidRPr="00CA207F" w:rsidRDefault="00CA207F" w:rsidP="00CA207F">
            <w:pPr>
              <w:pStyle w:val="BodyTextSMPC"/>
              <w:spacing w:after="0"/>
              <w:ind w:left="0"/>
              <w:rPr>
                <w:b/>
                <w:bCs/>
                <w:sz w:val="24"/>
                <w:szCs w:val="24"/>
              </w:rPr>
            </w:pPr>
            <w:r w:rsidRPr="00CA207F">
              <w:rPr>
                <w:b/>
                <w:bCs/>
                <w:sz w:val="24"/>
                <w:szCs w:val="24"/>
              </w:rPr>
              <w:t>Frequency</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7F3E844" w14:textId="77777777" w:rsidR="00CA207F" w:rsidRPr="00CA207F" w:rsidRDefault="00CA207F" w:rsidP="00CA207F">
            <w:pPr>
              <w:pStyle w:val="BodyTextSMPC"/>
              <w:spacing w:after="0"/>
              <w:ind w:left="0"/>
              <w:rPr>
                <w:b/>
                <w:bCs/>
                <w:sz w:val="24"/>
                <w:szCs w:val="24"/>
              </w:rPr>
            </w:pPr>
            <w:r w:rsidRPr="00CA207F">
              <w:rPr>
                <w:b/>
                <w:bCs/>
                <w:sz w:val="24"/>
                <w:szCs w:val="24"/>
              </w:rPr>
              <w:t>System Organ Class (SOC)</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53223911" w14:textId="77777777" w:rsidR="00CA207F" w:rsidRPr="00CA207F" w:rsidRDefault="00CA207F" w:rsidP="00CA207F">
            <w:pPr>
              <w:pStyle w:val="BodyTextSMPC"/>
              <w:spacing w:after="0"/>
              <w:ind w:left="0"/>
              <w:rPr>
                <w:b/>
                <w:bCs/>
                <w:sz w:val="24"/>
                <w:szCs w:val="24"/>
              </w:rPr>
            </w:pPr>
            <w:r w:rsidRPr="00CA207F">
              <w:rPr>
                <w:b/>
                <w:bCs/>
                <w:sz w:val="24"/>
                <w:szCs w:val="24"/>
              </w:rPr>
              <w:t>ADR</w:t>
            </w:r>
          </w:p>
        </w:tc>
      </w:tr>
      <w:tr w:rsidR="00CA207F" w:rsidRPr="00860227" w14:paraId="5BE8B32C" w14:textId="77777777" w:rsidTr="00860227">
        <w:trPr>
          <w:tblCellSpacing w:w="0" w:type="dxa"/>
        </w:trPr>
        <w:tc>
          <w:tcPr>
            <w:tcW w:w="7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9E8582F" w14:textId="77777777" w:rsidR="00CA207F" w:rsidRPr="00CA207F" w:rsidRDefault="00CA207F" w:rsidP="00CA207F">
            <w:pPr>
              <w:pStyle w:val="BodyTextSMPC"/>
              <w:spacing w:after="0"/>
              <w:ind w:left="0"/>
              <w:rPr>
                <w:sz w:val="24"/>
                <w:szCs w:val="24"/>
              </w:rPr>
            </w:pPr>
            <w:r w:rsidRPr="00CA207F">
              <w:rPr>
                <w:sz w:val="24"/>
                <w:szCs w:val="24"/>
              </w:rPr>
              <w:t>Very common</w:t>
            </w:r>
          </w:p>
          <w:p w14:paraId="718BEB5F" w14:textId="77777777" w:rsidR="00CA207F" w:rsidRPr="00CA207F" w:rsidRDefault="00CA207F" w:rsidP="00CA207F">
            <w:pPr>
              <w:pStyle w:val="BodyTextSMPC"/>
              <w:spacing w:after="0"/>
              <w:ind w:left="0"/>
              <w:rPr>
                <w:sz w:val="24"/>
                <w:szCs w:val="24"/>
              </w:rPr>
            </w:pPr>
            <w:r w:rsidRPr="00CA207F">
              <w:rPr>
                <w:sz w:val="24"/>
                <w:szCs w:val="24"/>
              </w:rPr>
              <w:lastRenderedPageBreak/>
              <w:t>(≥ 10%)</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FD195B9" w14:textId="77777777" w:rsidR="00CA207F" w:rsidRPr="00CA207F" w:rsidRDefault="00CA207F" w:rsidP="00CA207F">
            <w:pPr>
              <w:pStyle w:val="BodyTextSMPC"/>
              <w:spacing w:after="0"/>
              <w:ind w:left="0"/>
              <w:rPr>
                <w:sz w:val="24"/>
                <w:szCs w:val="24"/>
              </w:rPr>
            </w:pPr>
            <w:r w:rsidRPr="00CA207F">
              <w:rPr>
                <w:sz w:val="24"/>
                <w:szCs w:val="24"/>
              </w:rPr>
              <w:lastRenderedPageBreak/>
              <w:t>Metabolism and nutrition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46699793" w14:textId="77777777" w:rsidR="00CA207F" w:rsidRPr="00CA207F" w:rsidRDefault="00CA207F" w:rsidP="00CA207F">
            <w:pPr>
              <w:pStyle w:val="BodyTextSMPC"/>
              <w:spacing w:after="0"/>
              <w:ind w:left="0"/>
              <w:rPr>
                <w:sz w:val="24"/>
                <w:szCs w:val="24"/>
              </w:rPr>
            </w:pPr>
            <w:r w:rsidRPr="00CA207F">
              <w:rPr>
                <w:sz w:val="24"/>
                <w:szCs w:val="24"/>
              </w:rPr>
              <w:t>• Fluid retention</w:t>
            </w:r>
          </w:p>
        </w:tc>
      </w:tr>
      <w:tr w:rsidR="00CA207F" w:rsidRPr="00860227" w14:paraId="21CD23AB"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092E97D9"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B8412C8" w14:textId="77777777" w:rsidR="00CA207F" w:rsidRPr="00CA207F" w:rsidRDefault="00CA207F" w:rsidP="00CA207F">
            <w:pPr>
              <w:pStyle w:val="BodyTextSMPC"/>
              <w:spacing w:after="0"/>
              <w:ind w:left="0"/>
              <w:rPr>
                <w:sz w:val="24"/>
                <w:szCs w:val="24"/>
              </w:rPr>
            </w:pPr>
            <w:r w:rsidRPr="00CA207F">
              <w:rPr>
                <w:sz w:val="24"/>
                <w:szCs w:val="24"/>
              </w:rPr>
              <w:t>Vascular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4D17046" w14:textId="77777777" w:rsidR="00CA207F" w:rsidRPr="00CA207F" w:rsidRDefault="00CA207F" w:rsidP="00CA207F">
            <w:pPr>
              <w:pStyle w:val="BodyTextSMPC"/>
              <w:spacing w:after="0"/>
              <w:ind w:left="0"/>
              <w:rPr>
                <w:sz w:val="24"/>
                <w:szCs w:val="24"/>
              </w:rPr>
            </w:pPr>
            <w:r w:rsidRPr="00CA207F">
              <w:rPr>
                <w:sz w:val="24"/>
                <w:szCs w:val="24"/>
              </w:rPr>
              <w:t>• Hot flushes</w:t>
            </w:r>
          </w:p>
        </w:tc>
      </w:tr>
      <w:tr w:rsidR="00CA207F" w:rsidRPr="00860227" w14:paraId="107B7A4A"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5DE22DF"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45ECB75A" w14:textId="77777777" w:rsidR="00CA207F" w:rsidRPr="00CA207F" w:rsidRDefault="00CA207F" w:rsidP="00CA207F">
            <w:pPr>
              <w:pStyle w:val="BodyTextSMPC"/>
              <w:spacing w:after="0"/>
              <w:ind w:left="0"/>
              <w:rPr>
                <w:sz w:val="24"/>
                <w:szCs w:val="24"/>
              </w:rPr>
            </w:pPr>
            <w:r w:rsidRPr="00CA207F">
              <w:rPr>
                <w:sz w:val="24"/>
                <w:szCs w:val="24"/>
              </w:rPr>
              <w:t>Gastrointestinal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2542D894" w14:textId="77777777" w:rsidR="00CA207F" w:rsidRPr="00CA207F" w:rsidRDefault="00CA207F" w:rsidP="00CA207F">
            <w:pPr>
              <w:pStyle w:val="BodyTextSMPC"/>
              <w:spacing w:after="0"/>
              <w:ind w:left="0"/>
              <w:rPr>
                <w:sz w:val="24"/>
                <w:szCs w:val="24"/>
              </w:rPr>
            </w:pPr>
            <w:r w:rsidRPr="00CA207F">
              <w:rPr>
                <w:sz w:val="24"/>
                <w:szCs w:val="24"/>
              </w:rPr>
              <w:t>• Nausea</w:t>
            </w:r>
          </w:p>
        </w:tc>
      </w:tr>
      <w:tr w:rsidR="00CA207F" w:rsidRPr="00860227" w14:paraId="2FF130ED"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C0F1829"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A1ECE57" w14:textId="77777777" w:rsidR="00CA207F" w:rsidRPr="00CA207F" w:rsidRDefault="00CA207F" w:rsidP="00CA207F">
            <w:pPr>
              <w:pStyle w:val="BodyTextSMPC"/>
              <w:spacing w:after="0"/>
              <w:ind w:left="0"/>
              <w:rPr>
                <w:sz w:val="24"/>
                <w:szCs w:val="24"/>
              </w:rPr>
            </w:pPr>
            <w:r w:rsidRPr="00CA207F">
              <w:rPr>
                <w:sz w:val="24"/>
                <w:szCs w:val="24"/>
              </w:rPr>
              <w:t>Reproductive system and breast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2ADE9362" w14:textId="77777777" w:rsidR="00CA207F" w:rsidRPr="00CA207F" w:rsidRDefault="00CA207F" w:rsidP="00CA207F">
            <w:pPr>
              <w:pStyle w:val="BodyTextSMPC"/>
              <w:spacing w:after="0"/>
              <w:ind w:left="0"/>
              <w:rPr>
                <w:sz w:val="24"/>
                <w:szCs w:val="24"/>
              </w:rPr>
            </w:pPr>
            <w:r w:rsidRPr="00CA207F">
              <w:rPr>
                <w:sz w:val="24"/>
                <w:szCs w:val="24"/>
              </w:rPr>
              <w:t>• Vaginal bleeding</w:t>
            </w:r>
          </w:p>
          <w:p w14:paraId="37C8DDC9" w14:textId="77777777" w:rsidR="00CA207F" w:rsidRPr="00CA207F" w:rsidRDefault="00CA207F" w:rsidP="00CA207F">
            <w:pPr>
              <w:pStyle w:val="BodyTextSMPC"/>
              <w:spacing w:after="0"/>
              <w:ind w:left="0"/>
              <w:rPr>
                <w:sz w:val="24"/>
                <w:szCs w:val="24"/>
              </w:rPr>
            </w:pPr>
            <w:r w:rsidRPr="00CA207F">
              <w:rPr>
                <w:sz w:val="24"/>
                <w:szCs w:val="24"/>
              </w:rPr>
              <w:t>• Vaginal discharge</w:t>
            </w:r>
          </w:p>
        </w:tc>
      </w:tr>
      <w:tr w:rsidR="00CA207F" w:rsidRPr="00860227" w14:paraId="454C75EA"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2EEC3D2"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CDB3352" w14:textId="77777777" w:rsidR="00CA207F" w:rsidRPr="00CA207F" w:rsidRDefault="00CA207F" w:rsidP="00CA207F">
            <w:pPr>
              <w:pStyle w:val="BodyTextSMPC"/>
              <w:spacing w:after="0"/>
              <w:ind w:left="0"/>
              <w:rPr>
                <w:sz w:val="24"/>
                <w:szCs w:val="24"/>
              </w:rPr>
            </w:pPr>
            <w:r w:rsidRPr="00CA207F">
              <w:rPr>
                <w:sz w:val="24"/>
                <w:szCs w:val="24"/>
              </w:rPr>
              <w:t>Skin and subcutaneous tissue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04C9712" w14:textId="77777777" w:rsidR="00CA207F" w:rsidRPr="00CA207F" w:rsidRDefault="00CA207F" w:rsidP="00CA207F">
            <w:pPr>
              <w:pStyle w:val="BodyTextSMPC"/>
              <w:spacing w:after="0"/>
              <w:ind w:left="0"/>
              <w:rPr>
                <w:sz w:val="24"/>
                <w:szCs w:val="24"/>
              </w:rPr>
            </w:pPr>
            <w:r w:rsidRPr="00CA207F">
              <w:rPr>
                <w:sz w:val="24"/>
                <w:szCs w:val="24"/>
              </w:rPr>
              <w:t>• Skin rash</w:t>
            </w:r>
          </w:p>
        </w:tc>
      </w:tr>
      <w:tr w:rsidR="00CA207F" w:rsidRPr="00860227" w14:paraId="2F1C41AE"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1546CE6"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EE273B2" w14:textId="77777777" w:rsidR="00CA207F" w:rsidRPr="00CA207F" w:rsidRDefault="00CA207F" w:rsidP="00CA207F">
            <w:pPr>
              <w:pStyle w:val="BodyTextSMPC"/>
              <w:spacing w:after="0"/>
              <w:ind w:left="0"/>
              <w:rPr>
                <w:sz w:val="24"/>
                <w:szCs w:val="24"/>
              </w:rPr>
            </w:pPr>
            <w:r w:rsidRPr="00CA207F">
              <w:rPr>
                <w:sz w:val="24"/>
                <w:szCs w:val="24"/>
              </w:rPr>
              <w:t>General disorders and administration site conditions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107D39BA" w14:textId="77777777" w:rsidR="00CA207F" w:rsidRPr="00CA207F" w:rsidRDefault="00CA207F" w:rsidP="00CA207F">
            <w:pPr>
              <w:pStyle w:val="BodyTextSMPC"/>
              <w:spacing w:after="0"/>
              <w:ind w:left="0"/>
              <w:rPr>
                <w:sz w:val="24"/>
                <w:szCs w:val="24"/>
              </w:rPr>
            </w:pPr>
            <w:r w:rsidRPr="00CA207F">
              <w:rPr>
                <w:sz w:val="24"/>
                <w:szCs w:val="24"/>
              </w:rPr>
              <w:t>• Fatigue</w:t>
            </w:r>
          </w:p>
        </w:tc>
      </w:tr>
      <w:tr w:rsidR="00CA207F" w:rsidRPr="00860227" w14:paraId="39A74111" w14:textId="77777777" w:rsidTr="00860227">
        <w:trPr>
          <w:tblCellSpacing w:w="0" w:type="dxa"/>
        </w:trPr>
        <w:tc>
          <w:tcPr>
            <w:tcW w:w="7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A107106" w14:textId="77777777" w:rsidR="00CA207F" w:rsidRPr="00CA207F" w:rsidRDefault="00CA207F" w:rsidP="00CA207F">
            <w:pPr>
              <w:pStyle w:val="BodyTextSMPC"/>
              <w:spacing w:after="0"/>
              <w:ind w:left="0"/>
              <w:rPr>
                <w:sz w:val="24"/>
                <w:szCs w:val="24"/>
              </w:rPr>
            </w:pPr>
            <w:r w:rsidRPr="00CA207F">
              <w:rPr>
                <w:sz w:val="24"/>
                <w:szCs w:val="24"/>
              </w:rPr>
              <w:t>Common</w:t>
            </w:r>
          </w:p>
          <w:p w14:paraId="13CCD198" w14:textId="77777777" w:rsidR="00CA207F" w:rsidRPr="00CA207F" w:rsidRDefault="00CA207F" w:rsidP="00CA207F">
            <w:pPr>
              <w:pStyle w:val="BodyTextSMPC"/>
              <w:spacing w:after="0"/>
              <w:ind w:left="0"/>
              <w:rPr>
                <w:sz w:val="24"/>
                <w:szCs w:val="24"/>
              </w:rPr>
            </w:pPr>
            <w:r w:rsidRPr="00CA207F">
              <w:rPr>
                <w:sz w:val="24"/>
                <w:szCs w:val="24"/>
              </w:rPr>
              <w:t>(≥ 1% and &lt;10%)</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391629A" w14:textId="77777777" w:rsidR="00CA207F" w:rsidRPr="00CA207F" w:rsidRDefault="00CA207F" w:rsidP="00CA207F">
            <w:pPr>
              <w:pStyle w:val="BodyTextSMPC"/>
              <w:spacing w:after="0"/>
              <w:ind w:left="0"/>
              <w:rPr>
                <w:sz w:val="24"/>
                <w:szCs w:val="24"/>
              </w:rPr>
            </w:pPr>
            <w:r w:rsidRPr="00CA207F">
              <w:rPr>
                <w:sz w:val="24"/>
                <w:szCs w:val="24"/>
              </w:rPr>
              <w:t>Neoplasms benign, malignant and unspecified (incl cysts and polyps)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6B807221" w14:textId="77777777" w:rsidR="00CA207F" w:rsidRPr="00CA207F" w:rsidRDefault="00CA207F" w:rsidP="00CA207F">
            <w:pPr>
              <w:pStyle w:val="BodyTextSMPC"/>
              <w:spacing w:after="0"/>
              <w:ind w:left="0"/>
              <w:rPr>
                <w:sz w:val="24"/>
                <w:szCs w:val="24"/>
              </w:rPr>
            </w:pPr>
            <w:r w:rsidRPr="00CA207F">
              <w:rPr>
                <w:sz w:val="24"/>
                <w:szCs w:val="24"/>
              </w:rPr>
              <w:t>• Uterine fibroids</w:t>
            </w:r>
          </w:p>
        </w:tc>
      </w:tr>
      <w:tr w:rsidR="00CA207F" w:rsidRPr="00860227" w14:paraId="628A0E67"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078045D"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774C3FCB" w14:textId="77777777" w:rsidR="00CA207F" w:rsidRPr="00CA207F" w:rsidRDefault="00CA207F" w:rsidP="00CA207F">
            <w:pPr>
              <w:pStyle w:val="BodyTextSMPC"/>
              <w:spacing w:after="0"/>
              <w:ind w:left="0"/>
              <w:rPr>
                <w:sz w:val="24"/>
                <w:szCs w:val="24"/>
              </w:rPr>
            </w:pPr>
            <w:r w:rsidRPr="00CA207F">
              <w:rPr>
                <w:sz w:val="24"/>
                <w:szCs w:val="24"/>
              </w:rPr>
              <w:t>Blood and lymphatic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4338510C"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Anaemia</w:t>
            </w:r>
            <w:proofErr w:type="spellEnd"/>
          </w:p>
        </w:tc>
      </w:tr>
      <w:tr w:rsidR="00CA207F" w:rsidRPr="00860227" w14:paraId="4071A8B8"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5576579"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64DCCDEA" w14:textId="77777777" w:rsidR="00CA207F" w:rsidRPr="00CA207F" w:rsidRDefault="00CA207F" w:rsidP="00CA207F">
            <w:pPr>
              <w:pStyle w:val="BodyTextSMPC"/>
              <w:spacing w:after="0"/>
              <w:ind w:left="0"/>
              <w:rPr>
                <w:sz w:val="24"/>
                <w:szCs w:val="24"/>
              </w:rPr>
            </w:pPr>
            <w:r w:rsidRPr="00CA207F">
              <w:rPr>
                <w:sz w:val="24"/>
                <w:szCs w:val="24"/>
              </w:rPr>
              <w:t>Immune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5D466A0" w14:textId="77777777" w:rsidR="00CA207F" w:rsidRPr="00CA207F" w:rsidRDefault="00CA207F" w:rsidP="00CA207F">
            <w:pPr>
              <w:pStyle w:val="BodyTextSMPC"/>
              <w:spacing w:after="0"/>
              <w:ind w:left="0"/>
              <w:rPr>
                <w:sz w:val="24"/>
                <w:szCs w:val="24"/>
              </w:rPr>
            </w:pPr>
            <w:r w:rsidRPr="00CA207F">
              <w:rPr>
                <w:sz w:val="24"/>
                <w:szCs w:val="24"/>
              </w:rPr>
              <w:t>• Hypersensitivity reactions</w:t>
            </w:r>
          </w:p>
        </w:tc>
      </w:tr>
      <w:tr w:rsidR="00CA207F" w:rsidRPr="00860227" w14:paraId="4FBADE6A"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3627535"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3374E57" w14:textId="77777777" w:rsidR="00CA207F" w:rsidRPr="00CA207F" w:rsidRDefault="00CA207F" w:rsidP="00CA207F">
            <w:pPr>
              <w:pStyle w:val="BodyTextSMPC"/>
              <w:spacing w:after="0"/>
              <w:ind w:left="0"/>
              <w:rPr>
                <w:sz w:val="24"/>
                <w:szCs w:val="24"/>
              </w:rPr>
            </w:pPr>
            <w:r w:rsidRPr="00CA207F">
              <w:rPr>
                <w:sz w:val="24"/>
                <w:szCs w:val="24"/>
              </w:rPr>
              <w:t>Nervous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BC54284"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Ischaemic</w:t>
            </w:r>
            <w:proofErr w:type="spellEnd"/>
            <w:r w:rsidRPr="00CA207F">
              <w:rPr>
                <w:sz w:val="24"/>
                <w:szCs w:val="24"/>
              </w:rPr>
              <w:t xml:space="preserve"> cerebrovascular events</w:t>
            </w:r>
          </w:p>
          <w:p w14:paraId="29956C70" w14:textId="77777777" w:rsidR="00CA207F" w:rsidRPr="00CA207F" w:rsidRDefault="00CA207F" w:rsidP="00CA207F">
            <w:pPr>
              <w:pStyle w:val="BodyTextSMPC"/>
              <w:spacing w:after="0"/>
              <w:ind w:left="0"/>
              <w:rPr>
                <w:sz w:val="24"/>
                <w:szCs w:val="24"/>
              </w:rPr>
            </w:pPr>
            <w:r w:rsidRPr="00CA207F">
              <w:rPr>
                <w:sz w:val="24"/>
                <w:szCs w:val="24"/>
              </w:rPr>
              <w:t>• Headache</w:t>
            </w:r>
          </w:p>
          <w:p w14:paraId="646DDE26" w14:textId="77777777" w:rsidR="00CA207F" w:rsidRPr="00CA207F" w:rsidRDefault="00CA207F" w:rsidP="00CA207F">
            <w:pPr>
              <w:pStyle w:val="BodyTextSMPC"/>
              <w:spacing w:after="0"/>
              <w:ind w:left="0"/>
              <w:rPr>
                <w:sz w:val="24"/>
                <w:szCs w:val="24"/>
              </w:rPr>
            </w:pPr>
            <w:r w:rsidRPr="00CA207F">
              <w:rPr>
                <w:sz w:val="24"/>
                <w:szCs w:val="24"/>
              </w:rPr>
              <w:t>• Light headedness</w:t>
            </w:r>
          </w:p>
          <w:p w14:paraId="65F0535C" w14:textId="77777777" w:rsidR="00CA207F" w:rsidRPr="00CA207F" w:rsidRDefault="00CA207F" w:rsidP="00CA207F">
            <w:pPr>
              <w:pStyle w:val="BodyTextSMPC"/>
              <w:spacing w:after="0"/>
              <w:ind w:left="0"/>
              <w:rPr>
                <w:sz w:val="24"/>
                <w:szCs w:val="24"/>
              </w:rPr>
            </w:pPr>
            <w:r w:rsidRPr="00CA207F">
              <w:rPr>
                <w:sz w:val="24"/>
                <w:szCs w:val="24"/>
              </w:rPr>
              <w:t xml:space="preserve">• Sensory disturbances (including </w:t>
            </w:r>
            <w:proofErr w:type="spellStart"/>
            <w:r w:rsidRPr="00CA207F">
              <w:rPr>
                <w:sz w:val="24"/>
                <w:szCs w:val="24"/>
              </w:rPr>
              <w:t>paraesthesia</w:t>
            </w:r>
            <w:proofErr w:type="spellEnd"/>
            <w:r w:rsidRPr="00CA207F">
              <w:rPr>
                <w:sz w:val="24"/>
                <w:szCs w:val="24"/>
              </w:rPr>
              <w:t xml:space="preserve"> and dysgeusia)</w:t>
            </w:r>
          </w:p>
        </w:tc>
      </w:tr>
      <w:tr w:rsidR="00CA207F" w:rsidRPr="00860227" w14:paraId="69D396BC"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4EF37B39"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6DCB1711" w14:textId="77777777" w:rsidR="00CA207F" w:rsidRPr="00CA207F" w:rsidRDefault="00CA207F" w:rsidP="00CA207F">
            <w:pPr>
              <w:pStyle w:val="BodyTextSMPC"/>
              <w:spacing w:after="0"/>
              <w:ind w:left="0"/>
              <w:rPr>
                <w:sz w:val="24"/>
                <w:szCs w:val="24"/>
              </w:rPr>
            </w:pPr>
            <w:r w:rsidRPr="00CA207F">
              <w:rPr>
                <w:sz w:val="24"/>
                <w:szCs w:val="24"/>
              </w:rPr>
              <w:t>Eye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2340CD74" w14:textId="77777777" w:rsidR="00CA207F" w:rsidRPr="00CA207F" w:rsidRDefault="00CA207F" w:rsidP="00CA207F">
            <w:pPr>
              <w:pStyle w:val="BodyTextSMPC"/>
              <w:spacing w:after="0"/>
              <w:ind w:left="0"/>
              <w:rPr>
                <w:sz w:val="24"/>
                <w:szCs w:val="24"/>
              </w:rPr>
            </w:pPr>
            <w:r w:rsidRPr="00CA207F">
              <w:rPr>
                <w:sz w:val="24"/>
                <w:szCs w:val="24"/>
              </w:rPr>
              <w:t>• Cataracts</w:t>
            </w:r>
          </w:p>
          <w:p w14:paraId="0816B2BC" w14:textId="77777777" w:rsidR="00CA207F" w:rsidRPr="00CA207F" w:rsidRDefault="00CA207F" w:rsidP="00CA207F">
            <w:pPr>
              <w:pStyle w:val="BodyTextSMPC"/>
              <w:spacing w:after="0"/>
              <w:ind w:left="0"/>
              <w:rPr>
                <w:sz w:val="24"/>
                <w:szCs w:val="24"/>
              </w:rPr>
            </w:pPr>
            <w:r w:rsidRPr="00CA207F">
              <w:rPr>
                <w:sz w:val="24"/>
                <w:szCs w:val="24"/>
              </w:rPr>
              <w:t>• Retinopathy</w:t>
            </w:r>
          </w:p>
        </w:tc>
      </w:tr>
      <w:tr w:rsidR="00CA207F" w:rsidRPr="00860227" w14:paraId="70E8D7B5"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754A8C3A"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47F2766B" w14:textId="77777777" w:rsidR="00CA207F" w:rsidRPr="00CA207F" w:rsidRDefault="00CA207F" w:rsidP="00CA207F">
            <w:pPr>
              <w:pStyle w:val="BodyTextSMPC"/>
              <w:spacing w:after="0"/>
              <w:ind w:left="0"/>
              <w:rPr>
                <w:sz w:val="24"/>
                <w:szCs w:val="24"/>
              </w:rPr>
            </w:pPr>
            <w:r w:rsidRPr="00CA207F">
              <w:rPr>
                <w:sz w:val="24"/>
                <w:szCs w:val="24"/>
              </w:rPr>
              <w:t>Gastrointestinal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3BB5CFB2" w14:textId="77777777" w:rsidR="00CA207F" w:rsidRPr="00CA207F" w:rsidRDefault="00CA207F" w:rsidP="00CA207F">
            <w:pPr>
              <w:pStyle w:val="BodyTextSMPC"/>
              <w:spacing w:after="0"/>
              <w:ind w:left="0"/>
              <w:rPr>
                <w:sz w:val="24"/>
                <w:szCs w:val="24"/>
              </w:rPr>
            </w:pPr>
            <w:r w:rsidRPr="00CA207F">
              <w:rPr>
                <w:sz w:val="24"/>
                <w:szCs w:val="24"/>
              </w:rPr>
              <w:t>• Vomiting</w:t>
            </w:r>
          </w:p>
          <w:p w14:paraId="48EDBDEC"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Diarrhoea</w:t>
            </w:r>
            <w:proofErr w:type="spellEnd"/>
          </w:p>
          <w:p w14:paraId="639BF3E7" w14:textId="77777777" w:rsidR="00CA207F" w:rsidRPr="00CA207F" w:rsidRDefault="00CA207F" w:rsidP="00CA207F">
            <w:pPr>
              <w:pStyle w:val="BodyTextSMPC"/>
              <w:spacing w:after="0"/>
              <w:ind w:left="0"/>
              <w:rPr>
                <w:sz w:val="24"/>
                <w:szCs w:val="24"/>
              </w:rPr>
            </w:pPr>
            <w:r w:rsidRPr="00CA207F">
              <w:rPr>
                <w:sz w:val="24"/>
                <w:szCs w:val="24"/>
              </w:rPr>
              <w:t>• Constipation</w:t>
            </w:r>
          </w:p>
        </w:tc>
      </w:tr>
      <w:tr w:rsidR="00CA207F" w:rsidRPr="00860227" w14:paraId="6B185EBA"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FA81F16"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FBD4ADC" w14:textId="77777777" w:rsidR="00CA207F" w:rsidRPr="00CA207F" w:rsidRDefault="00CA207F" w:rsidP="00CA207F">
            <w:pPr>
              <w:pStyle w:val="BodyTextSMPC"/>
              <w:spacing w:after="0"/>
              <w:ind w:left="0"/>
              <w:rPr>
                <w:sz w:val="24"/>
                <w:szCs w:val="24"/>
              </w:rPr>
            </w:pPr>
            <w:r w:rsidRPr="00CA207F">
              <w:rPr>
                <w:sz w:val="24"/>
                <w:szCs w:val="24"/>
              </w:rPr>
              <w:t>Hepatobiliary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BEDB8C7" w14:textId="77777777" w:rsidR="00CA207F" w:rsidRPr="00CA207F" w:rsidRDefault="00CA207F" w:rsidP="00CA207F">
            <w:pPr>
              <w:pStyle w:val="BodyTextSMPC"/>
              <w:spacing w:after="0"/>
              <w:ind w:left="0"/>
              <w:rPr>
                <w:sz w:val="24"/>
                <w:szCs w:val="24"/>
              </w:rPr>
            </w:pPr>
            <w:r w:rsidRPr="00CA207F">
              <w:rPr>
                <w:sz w:val="24"/>
                <w:szCs w:val="24"/>
              </w:rPr>
              <w:t>• Changes in liver enzymes</w:t>
            </w:r>
          </w:p>
          <w:p w14:paraId="69D6A8D8" w14:textId="77777777" w:rsidR="00CA207F" w:rsidRPr="00CA207F" w:rsidRDefault="00CA207F" w:rsidP="00CA207F">
            <w:pPr>
              <w:pStyle w:val="BodyTextSMPC"/>
              <w:spacing w:after="0"/>
              <w:ind w:left="0"/>
              <w:rPr>
                <w:sz w:val="24"/>
                <w:szCs w:val="24"/>
              </w:rPr>
            </w:pPr>
            <w:r w:rsidRPr="00CA207F">
              <w:rPr>
                <w:sz w:val="24"/>
                <w:szCs w:val="24"/>
              </w:rPr>
              <w:t>• Fatty liver</w:t>
            </w:r>
          </w:p>
        </w:tc>
      </w:tr>
      <w:tr w:rsidR="00CA207F" w:rsidRPr="00860227" w14:paraId="6D762801"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0F6F3DE"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CF64D83" w14:textId="77777777" w:rsidR="00CA207F" w:rsidRPr="00CA207F" w:rsidRDefault="00CA207F" w:rsidP="00CA207F">
            <w:pPr>
              <w:pStyle w:val="BodyTextSMPC"/>
              <w:spacing w:after="0"/>
              <w:ind w:left="0"/>
              <w:rPr>
                <w:sz w:val="24"/>
                <w:szCs w:val="24"/>
              </w:rPr>
            </w:pPr>
            <w:r w:rsidRPr="00CA207F">
              <w:rPr>
                <w:sz w:val="24"/>
                <w:szCs w:val="24"/>
              </w:rPr>
              <w:t>Skin and subcutaneous tissue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50086777" w14:textId="77777777" w:rsidR="00CA207F" w:rsidRPr="00CA207F" w:rsidRDefault="00CA207F" w:rsidP="00CA207F">
            <w:pPr>
              <w:pStyle w:val="BodyTextSMPC"/>
              <w:spacing w:after="0"/>
              <w:ind w:left="0"/>
              <w:rPr>
                <w:sz w:val="24"/>
                <w:szCs w:val="24"/>
              </w:rPr>
            </w:pPr>
            <w:r w:rsidRPr="00CA207F">
              <w:rPr>
                <w:sz w:val="24"/>
                <w:szCs w:val="24"/>
              </w:rPr>
              <w:t>• Alopecia</w:t>
            </w:r>
          </w:p>
        </w:tc>
      </w:tr>
      <w:tr w:rsidR="00CA207F" w:rsidRPr="00860227" w14:paraId="535FEC57"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8E99E27"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65653EAB" w14:textId="77777777" w:rsidR="00CA207F" w:rsidRPr="00CA207F" w:rsidRDefault="00CA207F" w:rsidP="00CA207F">
            <w:pPr>
              <w:pStyle w:val="BodyTextSMPC"/>
              <w:spacing w:after="0"/>
              <w:ind w:left="0"/>
              <w:rPr>
                <w:sz w:val="24"/>
                <w:szCs w:val="24"/>
              </w:rPr>
            </w:pPr>
            <w:r w:rsidRPr="00CA207F">
              <w:rPr>
                <w:sz w:val="24"/>
                <w:szCs w:val="24"/>
              </w:rPr>
              <w:t>Musculoskeletal and connective tissue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82213AA" w14:textId="77777777" w:rsidR="00CA207F" w:rsidRPr="00CA207F" w:rsidRDefault="00CA207F" w:rsidP="00CA207F">
            <w:pPr>
              <w:pStyle w:val="BodyTextSMPC"/>
              <w:spacing w:after="0"/>
              <w:ind w:left="0"/>
              <w:rPr>
                <w:sz w:val="24"/>
                <w:szCs w:val="24"/>
              </w:rPr>
            </w:pPr>
            <w:r w:rsidRPr="00CA207F">
              <w:rPr>
                <w:sz w:val="24"/>
                <w:szCs w:val="24"/>
              </w:rPr>
              <w:t>• Leg cramp</w:t>
            </w:r>
          </w:p>
          <w:p w14:paraId="4E595007" w14:textId="77777777" w:rsidR="00CA207F" w:rsidRPr="00CA207F" w:rsidRDefault="00CA207F" w:rsidP="00CA207F">
            <w:pPr>
              <w:pStyle w:val="BodyTextSMPC"/>
              <w:spacing w:after="0"/>
              <w:ind w:left="0"/>
              <w:rPr>
                <w:sz w:val="24"/>
                <w:szCs w:val="24"/>
              </w:rPr>
            </w:pPr>
            <w:r w:rsidRPr="00CA207F">
              <w:rPr>
                <w:sz w:val="24"/>
                <w:szCs w:val="24"/>
              </w:rPr>
              <w:t>• Myalgia</w:t>
            </w:r>
          </w:p>
        </w:tc>
      </w:tr>
      <w:tr w:rsidR="00CA207F" w:rsidRPr="00860227" w14:paraId="79380044"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1FAB09B"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955EC79" w14:textId="77777777" w:rsidR="00CA207F" w:rsidRPr="00CA207F" w:rsidRDefault="00CA207F" w:rsidP="00CA207F">
            <w:pPr>
              <w:pStyle w:val="BodyTextSMPC"/>
              <w:spacing w:after="0"/>
              <w:ind w:left="0"/>
              <w:rPr>
                <w:sz w:val="24"/>
                <w:szCs w:val="24"/>
              </w:rPr>
            </w:pPr>
            <w:r w:rsidRPr="00CA207F">
              <w:rPr>
                <w:sz w:val="24"/>
                <w:szCs w:val="24"/>
              </w:rPr>
              <w:t>Reproductive system and breast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605DA058" w14:textId="77777777" w:rsidR="00CA207F" w:rsidRPr="00CA207F" w:rsidRDefault="00CA207F" w:rsidP="00CA207F">
            <w:pPr>
              <w:pStyle w:val="BodyTextSMPC"/>
              <w:spacing w:after="0"/>
              <w:ind w:left="0"/>
              <w:rPr>
                <w:sz w:val="24"/>
                <w:szCs w:val="24"/>
              </w:rPr>
            </w:pPr>
            <w:r w:rsidRPr="00CA207F">
              <w:rPr>
                <w:sz w:val="24"/>
                <w:szCs w:val="24"/>
              </w:rPr>
              <w:t xml:space="preserve">• Pruritus </w:t>
            </w:r>
            <w:proofErr w:type="spellStart"/>
            <w:r w:rsidRPr="00CA207F">
              <w:rPr>
                <w:sz w:val="24"/>
                <w:szCs w:val="24"/>
              </w:rPr>
              <w:t>valvae</w:t>
            </w:r>
            <w:proofErr w:type="spellEnd"/>
          </w:p>
          <w:p w14:paraId="02DD2744" w14:textId="77777777" w:rsidR="00CA207F" w:rsidRPr="00CA207F" w:rsidRDefault="00CA207F" w:rsidP="00CA207F">
            <w:pPr>
              <w:pStyle w:val="BodyTextSMPC"/>
              <w:spacing w:after="0"/>
              <w:ind w:left="0"/>
              <w:rPr>
                <w:sz w:val="24"/>
                <w:szCs w:val="24"/>
              </w:rPr>
            </w:pPr>
            <w:r w:rsidRPr="00CA207F">
              <w:rPr>
                <w:sz w:val="24"/>
                <w:szCs w:val="24"/>
              </w:rPr>
              <w:t>• Endometrial changes (including hyperplasia and polyps)</w:t>
            </w:r>
          </w:p>
        </w:tc>
      </w:tr>
      <w:tr w:rsidR="00CA207F" w:rsidRPr="00860227" w14:paraId="0960A721"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746F231E"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66A334C0" w14:textId="77777777" w:rsidR="00CA207F" w:rsidRPr="00CA207F" w:rsidRDefault="00CA207F" w:rsidP="00CA207F">
            <w:pPr>
              <w:pStyle w:val="BodyTextSMPC"/>
              <w:spacing w:after="0"/>
              <w:ind w:left="0"/>
              <w:rPr>
                <w:sz w:val="24"/>
                <w:szCs w:val="24"/>
              </w:rPr>
            </w:pPr>
            <w:r w:rsidRPr="00CA207F">
              <w:rPr>
                <w:sz w:val="24"/>
                <w:szCs w:val="24"/>
              </w:rPr>
              <w:t>Investigations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1E2B9786" w14:textId="77777777" w:rsidR="00CA207F" w:rsidRPr="00CA207F" w:rsidRDefault="00CA207F" w:rsidP="00CA207F">
            <w:pPr>
              <w:pStyle w:val="BodyTextSMPC"/>
              <w:spacing w:after="0"/>
              <w:ind w:left="0"/>
              <w:rPr>
                <w:sz w:val="24"/>
                <w:szCs w:val="24"/>
              </w:rPr>
            </w:pPr>
            <w:r w:rsidRPr="00CA207F">
              <w:rPr>
                <w:sz w:val="24"/>
                <w:szCs w:val="24"/>
              </w:rPr>
              <w:t>• Elevated triglycerides</w:t>
            </w:r>
          </w:p>
        </w:tc>
      </w:tr>
      <w:tr w:rsidR="00CA207F" w:rsidRPr="00860227" w14:paraId="422B30E9"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BF86059"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62951B7C" w14:textId="77777777" w:rsidR="00CA207F" w:rsidRPr="00CA207F" w:rsidRDefault="00CA207F" w:rsidP="00CA207F">
            <w:pPr>
              <w:pStyle w:val="BodyTextSMPC"/>
              <w:spacing w:after="0"/>
              <w:ind w:left="0"/>
              <w:rPr>
                <w:sz w:val="24"/>
                <w:szCs w:val="24"/>
              </w:rPr>
            </w:pPr>
            <w:r w:rsidRPr="00CA207F">
              <w:rPr>
                <w:sz w:val="24"/>
                <w:szCs w:val="24"/>
              </w:rPr>
              <w:t>Multiple SOC Terms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D4C4622" w14:textId="77777777" w:rsidR="00CA207F" w:rsidRPr="00CA207F" w:rsidRDefault="00CA207F" w:rsidP="00CA207F">
            <w:pPr>
              <w:pStyle w:val="BodyTextSMPC"/>
              <w:spacing w:after="0"/>
              <w:ind w:left="0"/>
              <w:rPr>
                <w:sz w:val="24"/>
                <w:szCs w:val="24"/>
              </w:rPr>
            </w:pPr>
            <w:r w:rsidRPr="00CA207F">
              <w:rPr>
                <w:sz w:val="24"/>
                <w:szCs w:val="24"/>
              </w:rPr>
              <w:t>• Thromboembolic events (including deep vein thrombosis, microvascular thrombosis and pulmonary embolism)</w:t>
            </w:r>
          </w:p>
        </w:tc>
      </w:tr>
      <w:tr w:rsidR="00CA207F" w:rsidRPr="00860227" w14:paraId="58671467" w14:textId="77777777" w:rsidTr="00860227">
        <w:trPr>
          <w:tblCellSpacing w:w="0" w:type="dxa"/>
        </w:trPr>
        <w:tc>
          <w:tcPr>
            <w:tcW w:w="7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E003B15" w14:textId="77777777" w:rsidR="00CA207F" w:rsidRPr="00CA207F" w:rsidRDefault="00CA207F" w:rsidP="00CA207F">
            <w:pPr>
              <w:pStyle w:val="BodyTextSMPC"/>
              <w:spacing w:after="0"/>
              <w:ind w:left="0"/>
              <w:rPr>
                <w:sz w:val="24"/>
                <w:szCs w:val="24"/>
              </w:rPr>
            </w:pPr>
            <w:r w:rsidRPr="00CA207F">
              <w:rPr>
                <w:sz w:val="24"/>
                <w:szCs w:val="24"/>
              </w:rPr>
              <w:t>Uncommon</w:t>
            </w:r>
          </w:p>
          <w:p w14:paraId="39E73F57" w14:textId="77777777" w:rsidR="00CA207F" w:rsidRPr="00CA207F" w:rsidRDefault="00CA207F" w:rsidP="00CA207F">
            <w:pPr>
              <w:pStyle w:val="BodyTextSMPC"/>
              <w:spacing w:after="0"/>
              <w:ind w:left="0"/>
              <w:rPr>
                <w:sz w:val="24"/>
                <w:szCs w:val="24"/>
              </w:rPr>
            </w:pPr>
            <w:r w:rsidRPr="00CA207F">
              <w:rPr>
                <w:sz w:val="24"/>
                <w:szCs w:val="24"/>
              </w:rPr>
              <w:t>(≥ 0.1% and &lt;1%)</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7775B49C" w14:textId="77777777" w:rsidR="00CA207F" w:rsidRPr="00CA207F" w:rsidRDefault="00CA207F" w:rsidP="00CA207F">
            <w:pPr>
              <w:pStyle w:val="BodyTextSMPC"/>
              <w:spacing w:after="0"/>
              <w:ind w:left="0"/>
              <w:rPr>
                <w:sz w:val="24"/>
                <w:szCs w:val="24"/>
              </w:rPr>
            </w:pPr>
            <w:r w:rsidRPr="00CA207F">
              <w:rPr>
                <w:sz w:val="24"/>
                <w:szCs w:val="24"/>
              </w:rPr>
              <w:t>Neoplasms benign, malignant and unspecified (incl cysts and polyps)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99EB3DD" w14:textId="77777777" w:rsidR="00CA207F" w:rsidRPr="00CA207F" w:rsidRDefault="00CA207F" w:rsidP="00CA207F">
            <w:pPr>
              <w:pStyle w:val="BodyTextSMPC"/>
              <w:spacing w:after="0"/>
              <w:ind w:left="0"/>
              <w:rPr>
                <w:sz w:val="24"/>
                <w:szCs w:val="24"/>
              </w:rPr>
            </w:pPr>
            <w:r w:rsidRPr="00CA207F">
              <w:rPr>
                <w:sz w:val="24"/>
                <w:szCs w:val="24"/>
              </w:rPr>
              <w:t>• Endometrial cancer</w:t>
            </w:r>
          </w:p>
        </w:tc>
      </w:tr>
      <w:tr w:rsidR="00CA207F" w:rsidRPr="00860227" w14:paraId="37E4B66E"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05869BA6"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80DD5D2" w14:textId="77777777" w:rsidR="00CA207F" w:rsidRPr="00CA207F" w:rsidRDefault="00CA207F" w:rsidP="00CA207F">
            <w:pPr>
              <w:pStyle w:val="BodyTextSMPC"/>
              <w:spacing w:after="0"/>
              <w:ind w:left="0"/>
              <w:rPr>
                <w:sz w:val="24"/>
                <w:szCs w:val="24"/>
              </w:rPr>
            </w:pPr>
            <w:r w:rsidRPr="00CA207F">
              <w:rPr>
                <w:sz w:val="24"/>
                <w:szCs w:val="24"/>
              </w:rPr>
              <w:t>Blood and lymphatic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65D09AB3" w14:textId="77777777" w:rsidR="00CA207F" w:rsidRPr="00CA207F" w:rsidRDefault="00CA207F" w:rsidP="00CA207F">
            <w:pPr>
              <w:pStyle w:val="BodyTextSMPC"/>
              <w:spacing w:after="0"/>
              <w:ind w:left="0"/>
              <w:rPr>
                <w:sz w:val="24"/>
                <w:szCs w:val="24"/>
              </w:rPr>
            </w:pPr>
            <w:r w:rsidRPr="00CA207F">
              <w:rPr>
                <w:sz w:val="24"/>
                <w:szCs w:val="24"/>
              </w:rPr>
              <w:t>• Thrombocytopenia</w:t>
            </w:r>
          </w:p>
          <w:p w14:paraId="0ECBB4D3" w14:textId="77777777" w:rsidR="00CA207F" w:rsidRPr="00CA207F" w:rsidRDefault="00CA207F" w:rsidP="00CA207F">
            <w:pPr>
              <w:pStyle w:val="BodyTextSMPC"/>
              <w:spacing w:after="0"/>
              <w:ind w:left="0"/>
              <w:rPr>
                <w:sz w:val="24"/>
                <w:szCs w:val="24"/>
              </w:rPr>
            </w:pPr>
            <w:r w:rsidRPr="00CA207F">
              <w:rPr>
                <w:sz w:val="24"/>
                <w:szCs w:val="24"/>
              </w:rPr>
              <w:t>• Leukopenia</w:t>
            </w:r>
          </w:p>
        </w:tc>
      </w:tr>
      <w:tr w:rsidR="00CA207F" w:rsidRPr="00860227" w14:paraId="4E77A41D"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C376124"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3969159" w14:textId="77777777" w:rsidR="00CA207F" w:rsidRPr="00CA207F" w:rsidRDefault="00CA207F" w:rsidP="00CA207F">
            <w:pPr>
              <w:pStyle w:val="BodyTextSMPC"/>
              <w:spacing w:after="0"/>
              <w:ind w:left="0"/>
              <w:rPr>
                <w:sz w:val="24"/>
                <w:szCs w:val="24"/>
              </w:rPr>
            </w:pPr>
            <w:r w:rsidRPr="00CA207F">
              <w:rPr>
                <w:sz w:val="24"/>
                <w:szCs w:val="24"/>
              </w:rPr>
              <w:t>Metabolism and nutrition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5252D30E"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Hypercalcaemia</w:t>
            </w:r>
            <w:proofErr w:type="spellEnd"/>
            <w:r w:rsidRPr="00CA207F">
              <w:rPr>
                <w:sz w:val="24"/>
                <w:szCs w:val="24"/>
              </w:rPr>
              <w:t xml:space="preserve"> (in patients with bony metastases)</w:t>
            </w:r>
          </w:p>
        </w:tc>
      </w:tr>
      <w:tr w:rsidR="00CA207F" w:rsidRPr="00860227" w14:paraId="4079BE5F"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EDFD92E"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4C9BA216" w14:textId="77777777" w:rsidR="00CA207F" w:rsidRPr="00CA207F" w:rsidRDefault="00CA207F" w:rsidP="00CA207F">
            <w:pPr>
              <w:pStyle w:val="BodyTextSMPC"/>
              <w:spacing w:after="0"/>
              <w:ind w:left="0"/>
              <w:rPr>
                <w:sz w:val="24"/>
                <w:szCs w:val="24"/>
              </w:rPr>
            </w:pPr>
            <w:r w:rsidRPr="00CA207F">
              <w:rPr>
                <w:sz w:val="24"/>
                <w:szCs w:val="24"/>
              </w:rPr>
              <w:t>Eye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9A600CF" w14:textId="77777777" w:rsidR="00CA207F" w:rsidRPr="00CA207F" w:rsidRDefault="00CA207F" w:rsidP="00CA207F">
            <w:pPr>
              <w:pStyle w:val="BodyTextSMPC"/>
              <w:spacing w:after="0"/>
              <w:ind w:left="0"/>
              <w:rPr>
                <w:sz w:val="24"/>
                <w:szCs w:val="24"/>
              </w:rPr>
            </w:pPr>
            <w:r w:rsidRPr="00CA207F">
              <w:rPr>
                <w:sz w:val="24"/>
                <w:szCs w:val="24"/>
              </w:rPr>
              <w:t>• Visual disturbances</w:t>
            </w:r>
          </w:p>
        </w:tc>
      </w:tr>
      <w:tr w:rsidR="00CA207F" w:rsidRPr="00860227" w14:paraId="58E19EFB"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19890CB2"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9B8B566" w14:textId="77777777" w:rsidR="00CA207F" w:rsidRPr="00CA207F" w:rsidRDefault="00CA207F" w:rsidP="00CA207F">
            <w:pPr>
              <w:pStyle w:val="BodyTextSMPC"/>
              <w:spacing w:after="0"/>
              <w:ind w:left="0"/>
              <w:rPr>
                <w:sz w:val="24"/>
                <w:szCs w:val="24"/>
              </w:rPr>
            </w:pPr>
            <w:r w:rsidRPr="00CA207F">
              <w:rPr>
                <w:sz w:val="24"/>
                <w:szCs w:val="24"/>
              </w:rPr>
              <w:t>Respiratory, thoracic and mediastinal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E13CE63" w14:textId="77777777" w:rsidR="00CA207F" w:rsidRPr="00CA207F" w:rsidRDefault="00CA207F" w:rsidP="00CA207F">
            <w:pPr>
              <w:pStyle w:val="BodyTextSMPC"/>
              <w:spacing w:after="0"/>
              <w:ind w:left="0"/>
              <w:rPr>
                <w:sz w:val="24"/>
                <w:szCs w:val="24"/>
              </w:rPr>
            </w:pPr>
            <w:r w:rsidRPr="00CA207F">
              <w:rPr>
                <w:sz w:val="24"/>
                <w:szCs w:val="24"/>
              </w:rPr>
              <w:t>• Interstitial pneumonitis</w:t>
            </w:r>
          </w:p>
        </w:tc>
      </w:tr>
      <w:tr w:rsidR="00CA207F" w:rsidRPr="00860227" w14:paraId="146F6A11"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629CD621"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5CF8CC0" w14:textId="77777777" w:rsidR="00CA207F" w:rsidRPr="00CA207F" w:rsidRDefault="00CA207F" w:rsidP="00CA207F">
            <w:pPr>
              <w:pStyle w:val="BodyTextSMPC"/>
              <w:spacing w:after="0"/>
              <w:ind w:left="0"/>
              <w:rPr>
                <w:sz w:val="24"/>
                <w:szCs w:val="24"/>
              </w:rPr>
            </w:pPr>
            <w:r w:rsidRPr="00CA207F">
              <w:rPr>
                <w:sz w:val="24"/>
                <w:szCs w:val="24"/>
              </w:rPr>
              <w:t>Gastrointestinal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65776A4" w14:textId="77777777" w:rsidR="00CA207F" w:rsidRPr="00CA207F" w:rsidRDefault="00CA207F" w:rsidP="00CA207F">
            <w:pPr>
              <w:pStyle w:val="BodyTextSMPC"/>
              <w:spacing w:after="0"/>
              <w:ind w:left="0"/>
              <w:rPr>
                <w:sz w:val="24"/>
                <w:szCs w:val="24"/>
              </w:rPr>
            </w:pPr>
            <w:r w:rsidRPr="00CA207F">
              <w:rPr>
                <w:sz w:val="24"/>
                <w:szCs w:val="24"/>
              </w:rPr>
              <w:t>• Pancreatitis</w:t>
            </w:r>
          </w:p>
        </w:tc>
      </w:tr>
      <w:tr w:rsidR="00CA207F" w:rsidRPr="00860227" w14:paraId="586103F9"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1144C4A7"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638F02B" w14:textId="77777777" w:rsidR="00CA207F" w:rsidRPr="00CA207F" w:rsidRDefault="00CA207F" w:rsidP="00CA207F">
            <w:pPr>
              <w:pStyle w:val="BodyTextSMPC"/>
              <w:spacing w:after="0"/>
              <w:ind w:left="0"/>
              <w:rPr>
                <w:sz w:val="24"/>
                <w:szCs w:val="24"/>
              </w:rPr>
            </w:pPr>
            <w:r w:rsidRPr="00CA207F">
              <w:rPr>
                <w:sz w:val="24"/>
                <w:szCs w:val="24"/>
              </w:rPr>
              <w:t>Hepatobiliary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21626FA0" w14:textId="77777777" w:rsidR="00CA207F" w:rsidRPr="00CA207F" w:rsidRDefault="00CA207F" w:rsidP="00CA207F">
            <w:pPr>
              <w:pStyle w:val="BodyTextSMPC"/>
              <w:spacing w:after="0"/>
              <w:ind w:left="0"/>
              <w:rPr>
                <w:sz w:val="24"/>
                <w:szCs w:val="24"/>
              </w:rPr>
            </w:pPr>
            <w:r w:rsidRPr="00CA207F">
              <w:rPr>
                <w:sz w:val="24"/>
                <w:szCs w:val="24"/>
              </w:rPr>
              <w:t>• Cirrhosis of the liver</w:t>
            </w:r>
          </w:p>
        </w:tc>
      </w:tr>
      <w:tr w:rsidR="00CA207F" w:rsidRPr="00860227" w14:paraId="4870FE3C" w14:textId="77777777" w:rsidTr="00860227">
        <w:trPr>
          <w:tblCellSpacing w:w="0" w:type="dxa"/>
        </w:trPr>
        <w:tc>
          <w:tcPr>
            <w:tcW w:w="7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CE23FCD" w14:textId="77777777" w:rsidR="00CA207F" w:rsidRPr="00CA207F" w:rsidRDefault="00CA207F" w:rsidP="00CA207F">
            <w:pPr>
              <w:pStyle w:val="BodyTextSMPC"/>
              <w:spacing w:after="0"/>
              <w:ind w:left="0"/>
              <w:rPr>
                <w:sz w:val="24"/>
                <w:szCs w:val="24"/>
              </w:rPr>
            </w:pPr>
            <w:r w:rsidRPr="00CA207F">
              <w:rPr>
                <w:sz w:val="24"/>
                <w:szCs w:val="24"/>
              </w:rPr>
              <w:t>Rare</w:t>
            </w:r>
          </w:p>
          <w:p w14:paraId="2EB654DE" w14:textId="77777777" w:rsidR="00CA207F" w:rsidRPr="00CA207F" w:rsidRDefault="00CA207F" w:rsidP="00CA207F">
            <w:pPr>
              <w:pStyle w:val="BodyTextSMPC"/>
              <w:spacing w:after="0"/>
              <w:ind w:left="0"/>
              <w:rPr>
                <w:sz w:val="24"/>
                <w:szCs w:val="24"/>
              </w:rPr>
            </w:pPr>
            <w:r w:rsidRPr="00CA207F">
              <w:rPr>
                <w:sz w:val="24"/>
                <w:szCs w:val="24"/>
              </w:rPr>
              <w:t>(≥ 0.01% and &lt;0.1%)</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3E2A7BC" w14:textId="77777777" w:rsidR="00CA207F" w:rsidRPr="00CA207F" w:rsidRDefault="00CA207F" w:rsidP="00CA207F">
            <w:pPr>
              <w:pStyle w:val="BodyTextSMPC"/>
              <w:spacing w:after="0"/>
              <w:ind w:left="0"/>
              <w:rPr>
                <w:sz w:val="24"/>
                <w:szCs w:val="24"/>
              </w:rPr>
            </w:pPr>
            <w:r w:rsidRPr="00CA207F">
              <w:rPr>
                <w:sz w:val="24"/>
                <w:szCs w:val="24"/>
              </w:rPr>
              <w:t>Neoplasms benign, malignant and unspecified (incl cysts and polyps)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49499E07" w14:textId="77777777" w:rsidR="00CA207F" w:rsidRPr="00CA207F" w:rsidRDefault="00CA207F" w:rsidP="00CA207F">
            <w:pPr>
              <w:pStyle w:val="BodyTextSMPC"/>
              <w:spacing w:after="0"/>
              <w:ind w:left="0"/>
              <w:rPr>
                <w:sz w:val="24"/>
                <w:szCs w:val="24"/>
              </w:rPr>
            </w:pPr>
            <w:r w:rsidRPr="00CA207F">
              <w:rPr>
                <w:sz w:val="24"/>
                <w:szCs w:val="24"/>
              </w:rPr>
              <w:t xml:space="preserve">• Uterine sarcoma (mostly malignant mixed Mullerian </w:t>
            </w:r>
            <w:proofErr w:type="spellStart"/>
            <w:r w:rsidRPr="00CA207F">
              <w:rPr>
                <w:sz w:val="24"/>
                <w:szCs w:val="24"/>
              </w:rPr>
              <w:t>tumours</w:t>
            </w:r>
            <w:proofErr w:type="spellEnd"/>
            <w:r w:rsidRPr="00CA207F">
              <w:rPr>
                <w:sz w:val="24"/>
                <w:szCs w:val="24"/>
              </w:rPr>
              <w:t>)</w:t>
            </w:r>
            <w:r w:rsidRPr="00CA207F">
              <w:rPr>
                <w:sz w:val="24"/>
                <w:szCs w:val="24"/>
                <w:vertAlign w:val="superscript"/>
              </w:rPr>
              <w:t>a</w:t>
            </w:r>
          </w:p>
          <w:p w14:paraId="28405E5E"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Tumour</w:t>
            </w:r>
            <w:proofErr w:type="spellEnd"/>
            <w:r w:rsidRPr="00CA207F">
              <w:rPr>
                <w:sz w:val="24"/>
                <w:szCs w:val="24"/>
              </w:rPr>
              <w:t xml:space="preserve"> </w:t>
            </w:r>
            <w:proofErr w:type="spellStart"/>
            <w:r w:rsidRPr="00CA207F">
              <w:rPr>
                <w:sz w:val="24"/>
                <w:szCs w:val="24"/>
              </w:rPr>
              <w:t>flare</w:t>
            </w:r>
            <w:r w:rsidRPr="00CA207F">
              <w:rPr>
                <w:sz w:val="24"/>
                <w:szCs w:val="24"/>
                <w:vertAlign w:val="superscript"/>
              </w:rPr>
              <w:t>a</w:t>
            </w:r>
            <w:proofErr w:type="spellEnd"/>
          </w:p>
        </w:tc>
      </w:tr>
      <w:tr w:rsidR="00CA207F" w:rsidRPr="00860227" w14:paraId="028B22D6"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31D62594"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7F6C7A2D" w14:textId="77777777" w:rsidR="00CA207F" w:rsidRPr="00CA207F" w:rsidRDefault="00CA207F" w:rsidP="00CA207F">
            <w:pPr>
              <w:pStyle w:val="BodyTextSMPC"/>
              <w:spacing w:after="0"/>
              <w:ind w:left="0"/>
              <w:rPr>
                <w:sz w:val="24"/>
                <w:szCs w:val="24"/>
              </w:rPr>
            </w:pPr>
            <w:r w:rsidRPr="00CA207F">
              <w:rPr>
                <w:sz w:val="24"/>
                <w:szCs w:val="24"/>
              </w:rPr>
              <w:t>Blood and lymphatic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F980143"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Neutropenia</w:t>
            </w:r>
            <w:r w:rsidRPr="00CA207F">
              <w:rPr>
                <w:sz w:val="24"/>
                <w:szCs w:val="24"/>
                <w:vertAlign w:val="superscript"/>
              </w:rPr>
              <w:t>a</w:t>
            </w:r>
            <w:proofErr w:type="spellEnd"/>
          </w:p>
          <w:p w14:paraId="05755D5B"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Agranulocytosis</w:t>
            </w:r>
            <w:r w:rsidRPr="00CA207F">
              <w:rPr>
                <w:sz w:val="24"/>
                <w:szCs w:val="24"/>
                <w:vertAlign w:val="superscript"/>
              </w:rPr>
              <w:t>a</w:t>
            </w:r>
            <w:proofErr w:type="spellEnd"/>
          </w:p>
        </w:tc>
      </w:tr>
      <w:tr w:rsidR="00CA207F" w:rsidRPr="00860227" w14:paraId="6250A914"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EC416C1"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33A9A7A2" w14:textId="77777777" w:rsidR="00CA207F" w:rsidRPr="00CA207F" w:rsidRDefault="00CA207F" w:rsidP="00CA207F">
            <w:pPr>
              <w:pStyle w:val="BodyTextSMPC"/>
              <w:spacing w:after="0"/>
              <w:ind w:left="0"/>
              <w:rPr>
                <w:sz w:val="24"/>
                <w:szCs w:val="24"/>
              </w:rPr>
            </w:pPr>
            <w:r w:rsidRPr="00CA207F">
              <w:rPr>
                <w:sz w:val="24"/>
                <w:szCs w:val="24"/>
              </w:rPr>
              <w:t>Nervous system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E90C134" w14:textId="77777777" w:rsidR="00CA207F" w:rsidRPr="00CA207F" w:rsidRDefault="00CA207F" w:rsidP="00CA207F">
            <w:pPr>
              <w:pStyle w:val="BodyTextSMPC"/>
              <w:spacing w:after="0"/>
              <w:ind w:left="0"/>
              <w:rPr>
                <w:sz w:val="24"/>
                <w:szCs w:val="24"/>
              </w:rPr>
            </w:pPr>
            <w:r w:rsidRPr="00CA207F">
              <w:rPr>
                <w:sz w:val="24"/>
                <w:szCs w:val="24"/>
              </w:rPr>
              <w:t>• Optic neuritis</w:t>
            </w:r>
          </w:p>
        </w:tc>
      </w:tr>
      <w:tr w:rsidR="00CA207F" w:rsidRPr="00860227" w14:paraId="4D12A6E8"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4B733F27"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F4AA1AC" w14:textId="77777777" w:rsidR="00CA207F" w:rsidRPr="00CA207F" w:rsidRDefault="00CA207F" w:rsidP="00CA207F">
            <w:pPr>
              <w:pStyle w:val="BodyTextSMPC"/>
              <w:spacing w:after="0"/>
              <w:ind w:left="0"/>
              <w:rPr>
                <w:sz w:val="24"/>
                <w:szCs w:val="24"/>
              </w:rPr>
            </w:pPr>
            <w:r w:rsidRPr="00CA207F">
              <w:rPr>
                <w:sz w:val="24"/>
                <w:szCs w:val="24"/>
              </w:rPr>
              <w:t>Eye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D29098C" w14:textId="77777777" w:rsidR="00CA207F" w:rsidRPr="00CA207F" w:rsidRDefault="00CA207F" w:rsidP="00CA207F">
            <w:pPr>
              <w:pStyle w:val="BodyTextSMPC"/>
              <w:spacing w:after="0"/>
              <w:ind w:left="0"/>
              <w:rPr>
                <w:sz w:val="24"/>
                <w:szCs w:val="24"/>
              </w:rPr>
            </w:pPr>
            <w:r w:rsidRPr="00CA207F">
              <w:rPr>
                <w:sz w:val="24"/>
                <w:szCs w:val="24"/>
              </w:rPr>
              <w:t>• Corneal changes</w:t>
            </w:r>
          </w:p>
          <w:p w14:paraId="7A5FECF7" w14:textId="77777777" w:rsidR="00CA207F" w:rsidRPr="00CA207F" w:rsidRDefault="00CA207F" w:rsidP="00CA207F">
            <w:pPr>
              <w:pStyle w:val="BodyTextSMPC"/>
              <w:spacing w:after="0"/>
              <w:ind w:left="0"/>
              <w:rPr>
                <w:sz w:val="24"/>
                <w:szCs w:val="24"/>
              </w:rPr>
            </w:pPr>
            <w:r w:rsidRPr="00CA207F">
              <w:rPr>
                <w:sz w:val="24"/>
                <w:szCs w:val="24"/>
              </w:rPr>
              <w:t xml:space="preserve">• Optic </w:t>
            </w:r>
            <w:proofErr w:type="spellStart"/>
            <w:r w:rsidRPr="00CA207F">
              <w:rPr>
                <w:sz w:val="24"/>
                <w:szCs w:val="24"/>
              </w:rPr>
              <w:t>neuropathy</w:t>
            </w:r>
            <w:r w:rsidRPr="00CA207F">
              <w:rPr>
                <w:sz w:val="24"/>
                <w:szCs w:val="24"/>
                <w:vertAlign w:val="superscript"/>
              </w:rPr>
              <w:t>a</w:t>
            </w:r>
            <w:proofErr w:type="spellEnd"/>
          </w:p>
        </w:tc>
      </w:tr>
      <w:tr w:rsidR="00CA207F" w:rsidRPr="00860227" w14:paraId="65B9FE2E"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5F99F0C4"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FB66AEB" w14:textId="77777777" w:rsidR="00CA207F" w:rsidRPr="00CA207F" w:rsidRDefault="00CA207F" w:rsidP="00CA207F">
            <w:pPr>
              <w:pStyle w:val="BodyTextSMPC"/>
              <w:spacing w:after="0"/>
              <w:ind w:left="0"/>
              <w:rPr>
                <w:sz w:val="24"/>
                <w:szCs w:val="24"/>
              </w:rPr>
            </w:pPr>
            <w:r w:rsidRPr="00CA207F">
              <w:rPr>
                <w:sz w:val="24"/>
                <w:szCs w:val="24"/>
              </w:rPr>
              <w:t>Hepatobiliary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4307970" w14:textId="77777777" w:rsidR="00CA207F" w:rsidRPr="00CA207F" w:rsidRDefault="00CA207F" w:rsidP="00CA207F">
            <w:pPr>
              <w:pStyle w:val="BodyTextSMPC"/>
              <w:spacing w:after="0"/>
              <w:ind w:left="0"/>
              <w:rPr>
                <w:sz w:val="24"/>
                <w:szCs w:val="24"/>
              </w:rPr>
            </w:pPr>
            <w:r w:rsidRPr="00CA207F">
              <w:rPr>
                <w:sz w:val="24"/>
                <w:szCs w:val="24"/>
              </w:rPr>
              <w:t>• Hepatitis</w:t>
            </w:r>
          </w:p>
          <w:p w14:paraId="52AF7CC7"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Cholestasis</w:t>
            </w:r>
            <w:r w:rsidRPr="00CA207F">
              <w:rPr>
                <w:sz w:val="24"/>
                <w:szCs w:val="24"/>
                <w:vertAlign w:val="superscript"/>
              </w:rPr>
              <w:t>a</w:t>
            </w:r>
            <w:proofErr w:type="spellEnd"/>
          </w:p>
          <w:p w14:paraId="3152B5E3" w14:textId="77777777" w:rsidR="00CA207F" w:rsidRPr="00CA207F" w:rsidRDefault="00CA207F" w:rsidP="00CA207F">
            <w:pPr>
              <w:pStyle w:val="BodyTextSMPC"/>
              <w:spacing w:after="0"/>
              <w:ind w:left="0"/>
              <w:rPr>
                <w:sz w:val="24"/>
                <w:szCs w:val="24"/>
              </w:rPr>
            </w:pPr>
            <w:r w:rsidRPr="00CA207F">
              <w:rPr>
                <w:sz w:val="24"/>
                <w:szCs w:val="24"/>
              </w:rPr>
              <w:t xml:space="preserve">• Hepatic </w:t>
            </w:r>
            <w:proofErr w:type="spellStart"/>
            <w:r w:rsidRPr="00CA207F">
              <w:rPr>
                <w:sz w:val="24"/>
                <w:szCs w:val="24"/>
              </w:rPr>
              <w:t>failure</w:t>
            </w:r>
            <w:r w:rsidRPr="00CA207F">
              <w:rPr>
                <w:sz w:val="24"/>
                <w:szCs w:val="24"/>
                <w:vertAlign w:val="superscript"/>
              </w:rPr>
              <w:t>a</w:t>
            </w:r>
            <w:proofErr w:type="spellEnd"/>
          </w:p>
          <w:p w14:paraId="4D1885E7" w14:textId="77777777" w:rsidR="00CA207F" w:rsidRPr="00CA207F" w:rsidRDefault="00CA207F" w:rsidP="00CA207F">
            <w:pPr>
              <w:pStyle w:val="BodyTextSMPC"/>
              <w:spacing w:after="0"/>
              <w:ind w:left="0"/>
              <w:rPr>
                <w:sz w:val="24"/>
                <w:szCs w:val="24"/>
              </w:rPr>
            </w:pPr>
            <w:r w:rsidRPr="00CA207F">
              <w:rPr>
                <w:sz w:val="24"/>
                <w:szCs w:val="24"/>
              </w:rPr>
              <w:t xml:space="preserve">• Hepatocellular </w:t>
            </w:r>
            <w:proofErr w:type="spellStart"/>
            <w:r w:rsidRPr="00CA207F">
              <w:rPr>
                <w:sz w:val="24"/>
                <w:szCs w:val="24"/>
              </w:rPr>
              <w:t>injury</w:t>
            </w:r>
            <w:r w:rsidRPr="00CA207F">
              <w:rPr>
                <w:sz w:val="24"/>
                <w:szCs w:val="24"/>
                <w:vertAlign w:val="superscript"/>
              </w:rPr>
              <w:t>a</w:t>
            </w:r>
            <w:proofErr w:type="spellEnd"/>
          </w:p>
          <w:p w14:paraId="40D5D0D9" w14:textId="77777777" w:rsidR="00CA207F" w:rsidRPr="00CA207F" w:rsidRDefault="00CA207F" w:rsidP="00CA207F">
            <w:pPr>
              <w:pStyle w:val="BodyTextSMPC"/>
              <w:spacing w:after="0"/>
              <w:ind w:left="0"/>
              <w:rPr>
                <w:sz w:val="24"/>
                <w:szCs w:val="24"/>
              </w:rPr>
            </w:pPr>
            <w:r w:rsidRPr="00CA207F">
              <w:rPr>
                <w:sz w:val="24"/>
                <w:szCs w:val="24"/>
              </w:rPr>
              <w:t xml:space="preserve">• Hepatic </w:t>
            </w:r>
            <w:proofErr w:type="spellStart"/>
            <w:r w:rsidRPr="00CA207F">
              <w:rPr>
                <w:sz w:val="24"/>
                <w:szCs w:val="24"/>
              </w:rPr>
              <w:t>necrosis</w:t>
            </w:r>
            <w:r w:rsidRPr="00CA207F">
              <w:rPr>
                <w:sz w:val="24"/>
                <w:szCs w:val="24"/>
                <w:vertAlign w:val="superscript"/>
              </w:rPr>
              <w:t>a</w:t>
            </w:r>
            <w:proofErr w:type="spellEnd"/>
          </w:p>
        </w:tc>
      </w:tr>
      <w:tr w:rsidR="00CA207F" w:rsidRPr="00860227" w14:paraId="4CBC5512"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2B591363"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3498D4B" w14:textId="77777777" w:rsidR="00CA207F" w:rsidRPr="00CA207F" w:rsidRDefault="00CA207F" w:rsidP="00CA207F">
            <w:pPr>
              <w:pStyle w:val="BodyTextSMPC"/>
              <w:spacing w:after="0"/>
              <w:ind w:left="0"/>
              <w:rPr>
                <w:sz w:val="24"/>
                <w:szCs w:val="24"/>
              </w:rPr>
            </w:pPr>
            <w:r w:rsidRPr="00CA207F">
              <w:rPr>
                <w:sz w:val="24"/>
                <w:szCs w:val="24"/>
              </w:rPr>
              <w:t>Skin and subcutaneous tissue</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7BE1EF0" w14:textId="77777777" w:rsidR="00CA207F" w:rsidRPr="00CA207F" w:rsidRDefault="00CA207F" w:rsidP="00CA207F">
            <w:pPr>
              <w:pStyle w:val="BodyTextSMPC"/>
              <w:spacing w:after="0"/>
              <w:ind w:left="0"/>
              <w:rPr>
                <w:sz w:val="24"/>
                <w:szCs w:val="24"/>
              </w:rPr>
            </w:pPr>
            <w:r w:rsidRPr="00CA207F">
              <w:rPr>
                <w:sz w:val="24"/>
                <w:szCs w:val="24"/>
              </w:rPr>
              <w:t>• Angioedema</w:t>
            </w:r>
          </w:p>
          <w:p w14:paraId="23B58281" w14:textId="77777777" w:rsidR="00CA207F" w:rsidRPr="00CA207F" w:rsidRDefault="00CA207F" w:rsidP="00CA207F">
            <w:pPr>
              <w:pStyle w:val="BodyTextSMPC"/>
              <w:spacing w:after="0"/>
              <w:ind w:left="0"/>
              <w:rPr>
                <w:sz w:val="24"/>
                <w:szCs w:val="24"/>
              </w:rPr>
            </w:pPr>
            <w:r w:rsidRPr="00CA207F">
              <w:rPr>
                <w:sz w:val="24"/>
                <w:szCs w:val="24"/>
              </w:rPr>
              <w:t xml:space="preserve">• Steven-Johnsons </w:t>
            </w:r>
            <w:proofErr w:type="spellStart"/>
            <w:r w:rsidRPr="00CA207F">
              <w:rPr>
                <w:sz w:val="24"/>
                <w:szCs w:val="24"/>
              </w:rPr>
              <w:t>syndrome</w:t>
            </w:r>
            <w:r w:rsidRPr="00CA207F">
              <w:rPr>
                <w:sz w:val="24"/>
                <w:szCs w:val="24"/>
                <w:vertAlign w:val="superscript"/>
              </w:rPr>
              <w:t>a</w:t>
            </w:r>
            <w:proofErr w:type="spellEnd"/>
          </w:p>
          <w:p w14:paraId="055C53E0" w14:textId="77777777" w:rsidR="00CA207F" w:rsidRPr="00CA207F" w:rsidRDefault="00CA207F" w:rsidP="00CA207F">
            <w:pPr>
              <w:pStyle w:val="BodyTextSMPC"/>
              <w:spacing w:after="0"/>
              <w:ind w:left="0"/>
              <w:rPr>
                <w:sz w:val="24"/>
                <w:szCs w:val="24"/>
              </w:rPr>
            </w:pPr>
            <w:r w:rsidRPr="00CA207F">
              <w:rPr>
                <w:sz w:val="24"/>
                <w:szCs w:val="24"/>
              </w:rPr>
              <w:t xml:space="preserve">• Cutaneous </w:t>
            </w:r>
            <w:proofErr w:type="spellStart"/>
            <w:r w:rsidRPr="00CA207F">
              <w:rPr>
                <w:sz w:val="24"/>
                <w:szCs w:val="24"/>
              </w:rPr>
              <w:t>vasculitis</w:t>
            </w:r>
            <w:r w:rsidRPr="00CA207F">
              <w:rPr>
                <w:sz w:val="24"/>
                <w:szCs w:val="24"/>
                <w:vertAlign w:val="superscript"/>
              </w:rPr>
              <w:t>a</w:t>
            </w:r>
            <w:proofErr w:type="spellEnd"/>
          </w:p>
          <w:p w14:paraId="420A7704" w14:textId="77777777" w:rsidR="00CA207F" w:rsidRPr="00CA207F" w:rsidRDefault="00CA207F" w:rsidP="00CA207F">
            <w:pPr>
              <w:pStyle w:val="BodyTextSMPC"/>
              <w:spacing w:after="0"/>
              <w:ind w:left="0"/>
              <w:rPr>
                <w:sz w:val="24"/>
                <w:szCs w:val="24"/>
              </w:rPr>
            </w:pPr>
            <w:r w:rsidRPr="00CA207F">
              <w:rPr>
                <w:sz w:val="24"/>
                <w:szCs w:val="24"/>
              </w:rPr>
              <w:t xml:space="preserve">• Bullous </w:t>
            </w:r>
            <w:proofErr w:type="spellStart"/>
            <w:r w:rsidRPr="00CA207F">
              <w:rPr>
                <w:sz w:val="24"/>
                <w:szCs w:val="24"/>
              </w:rPr>
              <w:t>pemphigoid</w:t>
            </w:r>
            <w:r w:rsidRPr="00CA207F">
              <w:rPr>
                <w:sz w:val="24"/>
                <w:szCs w:val="24"/>
                <w:vertAlign w:val="superscript"/>
              </w:rPr>
              <w:t>a</w:t>
            </w:r>
            <w:proofErr w:type="spellEnd"/>
          </w:p>
          <w:p w14:paraId="2684A899" w14:textId="77777777" w:rsidR="00CA207F" w:rsidRPr="00CA207F" w:rsidRDefault="00CA207F" w:rsidP="00CA207F">
            <w:pPr>
              <w:pStyle w:val="BodyTextSMPC"/>
              <w:spacing w:after="0"/>
              <w:ind w:left="0"/>
              <w:rPr>
                <w:sz w:val="24"/>
                <w:szCs w:val="24"/>
              </w:rPr>
            </w:pPr>
            <w:r w:rsidRPr="00CA207F">
              <w:rPr>
                <w:sz w:val="24"/>
                <w:szCs w:val="24"/>
              </w:rPr>
              <w:t xml:space="preserve">• Erythema </w:t>
            </w:r>
            <w:proofErr w:type="spellStart"/>
            <w:r w:rsidRPr="00CA207F">
              <w:rPr>
                <w:sz w:val="24"/>
                <w:szCs w:val="24"/>
              </w:rPr>
              <w:t>multiforme</w:t>
            </w:r>
            <w:r w:rsidRPr="00CA207F">
              <w:rPr>
                <w:sz w:val="24"/>
                <w:szCs w:val="24"/>
                <w:vertAlign w:val="superscript"/>
              </w:rPr>
              <w:t>a</w:t>
            </w:r>
            <w:proofErr w:type="spellEnd"/>
          </w:p>
          <w:p w14:paraId="4A44CEBF" w14:textId="77777777" w:rsidR="00CA207F" w:rsidRPr="00CA207F" w:rsidRDefault="00CA207F" w:rsidP="00CA207F">
            <w:pPr>
              <w:pStyle w:val="BodyTextSMPC"/>
              <w:spacing w:after="0"/>
              <w:ind w:left="0"/>
              <w:rPr>
                <w:sz w:val="24"/>
                <w:szCs w:val="24"/>
              </w:rPr>
            </w:pPr>
            <w:r w:rsidRPr="00CA207F">
              <w:rPr>
                <w:sz w:val="24"/>
                <w:szCs w:val="24"/>
              </w:rPr>
              <w:t xml:space="preserve">• Toxic epidermal </w:t>
            </w:r>
            <w:proofErr w:type="spellStart"/>
            <w:r w:rsidRPr="00CA207F">
              <w:rPr>
                <w:sz w:val="24"/>
                <w:szCs w:val="24"/>
              </w:rPr>
              <w:t>necrolysis</w:t>
            </w:r>
            <w:r w:rsidRPr="00CA207F">
              <w:rPr>
                <w:sz w:val="24"/>
                <w:szCs w:val="24"/>
                <w:vertAlign w:val="superscript"/>
              </w:rPr>
              <w:t>a</w:t>
            </w:r>
            <w:proofErr w:type="spellEnd"/>
          </w:p>
        </w:tc>
      </w:tr>
      <w:tr w:rsidR="00CA207F" w:rsidRPr="00860227" w14:paraId="7DA00AEC"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70186BA7"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73E6D6E2" w14:textId="77777777" w:rsidR="00CA207F" w:rsidRPr="00CA207F" w:rsidRDefault="00CA207F" w:rsidP="00CA207F">
            <w:pPr>
              <w:pStyle w:val="BodyTextSMPC"/>
              <w:spacing w:after="0"/>
              <w:ind w:left="0"/>
              <w:rPr>
                <w:sz w:val="24"/>
                <w:szCs w:val="24"/>
              </w:rPr>
            </w:pPr>
            <w:r w:rsidRPr="00CA207F">
              <w:rPr>
                <w:sz w:val="24"/>
                <w:szCs w:val="24"/>
              </w:rPr>
              <w:t>Reproductive system and breast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79CE879F" w14:textId="77777777" w:rsidR="00CA207F" w:rsidRPr="00CA207F" w:rsidRDefault="00CA207F" w:rsidP="00CA207F">
            <w:pPr>
              <w:pStyle w:val="BodyTextSMPC"/>
              <w:spacing w:after="0"/>
              <w:ind w:left="0"/>
              <w:rPr>
                <w:sz w:val="24"/>
                <w:szCs w:val="24"/>
              </w:rPr>
            </w:pPr>
            <w:r w:rsidRPr="00CA207F">
              <w:rPr>
                <w:sz w:val="24"/>
                <w:szCs w:val="24"/>
              </w:rPr>
              <w:t xml:space="preserve">• </w:t>
            </w:r>
            <w:proofErr w:type="spellStart"/>
            <w:r w:rsidRPr="00CA207F">
              <w:rPr>
                <w:sz w:val="24"/>
                <w:szCs w:val="24"/>
              </w:rPr>
              <w:t>Endometriosis</w:t>
            </w:r>
            <w:r w:rsidRPr="00CA207F">
              <w:rPr>
                <w:sz w:val="24"/>
                <w:szCs w:val="24"/>
                <w:vertAlign w:val="superscript"/>
              </w:rPr>
              <w:t>a</w:t>
            </w:r>
            <w:proofErr w:type="spellEnd"/>
          </w:p>
          <w:p w14:paraId="0335D1C8" w14:textId="77777777" w:rsidR="00CA207F" w:rsidRPr="00CA207F" w:rsidRDefault="00CA207F" w:rsidP="00CA207F">
            <w:pPr>
              <w:pStyle w:val="BodyTextSMPC"/>
              <w:spacing w:after="0"/>
              <w:ind w:left="0"/>
              <w:rPr>
                <w:sz w:val="24"/>
                <w:szCs w:val="24"/>
              </w:rPr>
            </w:pPr>
            <w:r w:rsidRPr="00CA207F">
              <w:rPr>
                <w:sz w:val="24"/>
                <w:szCs w:val="24"/>
              </w:rPr>
              <w:t xml:space="preserve">• Cystic ovarian </w:t>
            </w:r>
            <w:proofErr w:type="spellStart"/>
            <w:r w:rsidRPr="00CA207F">
              <w:rPr>
                <w:sz w:val="24"/>
                <w:szCs w:val="24"/>
              </w:rPr>
              <w:t>swelling</w:t>
            </w:r>
            <w:r w:rsidRPr="00CA207F">
              <w:rPr>
                <w:sz w:val="24"/>
                <w:szCs w:val="24"/>
                <w:vertAlign w:val="superscript"/>
              </w:rPr>
              <w:t>a</w:t>
            </w:r>
            <w:proofErr w:type="spellEnd"/>
          </w:p>
          <w:p w14:paraId="42BD923D" w14:textId="77777777" w:rsidR="00CA207F" w:rsidRPr="00CA207F" w:rsidRDefault="00CA207F" w:rsidP="00CA207F">
            <w:pPr>
              <w:pStyle w:val="BodyTextSMPC"/>
              <w:spacing w:after="0"/>
              <w:ind w:left="0"/>
              <w:rPr>
                <w:sz w:val="24"/>
                <w:szCs w:val="24"/>
              </w:rPr>
            </w:pPr>
            <w:r w:rsidRPr="00CA207F">
              <w:rPr>
                <w:sz w:val="24"/>
                <w:szCs w:val="24"/>
              </w:rPr>
              <w:t>• Vaginal polyps</w:t>
            </w:r>
          </w:p>
        </w:tc>
      </w:tr>
      <w:tr w:rsidR="00CA207F" w:rsidRPr="00860227" w14:paraId="09203E88" w14:textId="77777777" w:rsidTr="00860227">
        <w:trPr>
          <w:tblCellSpacing w:w="0" w:type="dxa"/>
        </w:trPr>
        <w:tc>
          <w:tcPr>
            <w:tcW w:w="73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FCFEBA1" w14:textId="77777777" w:rsidR="00CA207F" w:rsidRPr="00CA207F" w:rsidRDefault="00CA207F" w:rsidP="00CA207F">
            <w:pPr>
              <w:pStyle w:val="BodyTextSMPC"/>
              <w:spacing w:after="0"/>
              <w:ind w:left="0"/>
              <w:rPr>
                <w:sz w:val="24"/>
                <w:szCs w:val="24"/>
              </w:rPr>
            </w:pPr>
            <w:r w:rsidRPr="00CA207F">
              <w:rPr>
                <w:sz w:val="24"/>
                <w:szCs w:val="24"/>
              </w:rPr>
              <w:t>Very Rare</w:t>
            </w:r>
          </w:p>
          <w:p w14:paraId="668F6EE8" w14:textId="77777777" w:rsidR="00CA207F" w:rsidRPr="00CA207F" w:rsidRDefault="00CA207F" w:rsidP="00CA207F">
            <w:pPr>
              <w:pStyle w:val="BodyTextSMPC"/>
              <w:spacing w:after="0"/>
              <w:ind w:left="0"/>
              <w:rPr>
                <w:sz w:val="24"/>
                <w:szCs w:val="24"/>
              </w:rPr>
            </w:pPr>
            <w:r w:rsidRPr="00CA207F">
              <w:rPr>
                <w:sz w:val="24"/>
                <w:szCs w:val="24"/>
              </w:rPr>
              <w:t>(&lt;0.01%)</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279E9805" w14:textId="77777777" w:rsidR="00CA207F" w:rsidRPr="00CA207F" w:rsidRDefault="00CA207F" w:rsidP="00CA207F">
            <w:pPr>
              <w:pStyle w:val="BodyTextSMPC"/>
              <w:spacing w:after="0"/>
              <w:ind w:left="0"/>
              <w:rPr>
                <w:sz w:val="24"/>
                <w:szCs w:val="24"/>
              </w:rPr>
            </w:pPr>
            <w:r w:rsidRPr="00CA207F">
              <w:rPr>
                <w:sz w:val="24"/>
                <w:szCs w:val="24"/>
              </w:rPr>
              <w:t>Skin and subcutaneous tissue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0A3AB436" w14:textId="77777777" w:rsidR="00CA207F" w:rsidRPr="00CA207F" w:rsidRDefault="00CA207F" w:rsidP="00CA207F">
            <w:pPr>
              <w:pStyle w:val="BodyTextSMPC"/>
              <w:spacing w:after="0"/>
              <w:ind w:left="0"/>
              <w:rPr>
                <w:sz w:val="24"/>
                <w:szCs w:val="24"/>
              </w:rPr>
            </w:pPr>
            <w:r w:rsidRPr="00CA207F">
              <w:rPr>
                <w:sz w:val="24"/>
                <w:szCs w:val="24"/>
              </w:rPr>
              <w:t xml:space="preserve">• Cutaneous lupus </w:t>
            </w:r>
            <w:proofErr w:type="spellStart"/>
            <w:r w:rsidRPr="00CA207F">
              <w:rPr>
                <w:sz w:val="24"/>
                <w:szCs w:val="24"/>
              </w:rPr>
              <w:t>erythematosus</w:t>
            </w:r>
            <w:r w:rsidRPr="00CA207F">
              <w:rPr>
                <w:sz w:val="24"/>
                <w:szCs w:val="24"/>
                <w:vertAlign w:val="superscript"/>
              </w:rPr>
              <w:t>b</w:t>
            </w:r>
            <w:proofErr w:type="spellEnd"/>
          </w:p>
        </w:tc>
      </w:tr>
      <w:tr w:rsidR="00CA207F" w:rsidRPr="00860227" w14:paraId="0AFAB74F" w14:textId="77777777" w:rsidTr="00860227">
        <w:trPr>
          <w:tblCellSpacing w:w="0" w:type="dxa"/>
        </w:trPr>
        <w:tc>
          <w:tcPr>
            <w:tcW w:w="732" w:type="pct"/>
            <w:vMerge/>
            <w:tcBorders>
              <w:top w:val="outset" w:sz="6" w:space="0" w:color="auto"/>
              <w:left w:val="outset" w:sz="6" w:space="0" w:color="auto"/>
              <w:bottom w:val="outset" w:sz="6" w:space="0" w:color="auto"/>
              <w:right w:val="outset" w:sz="6" w:space="0" w:color="auto"/>
            </w:tcBorders>
            <w:shd w:val="clear" w:color="auto" w:fill="FFFFFF"/>
            <w:hideMark/>
          </w:tcPr>
          <w:p w14:paraId="350BA2C0"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1A6F7432" w14:textId="77777777" w:rsidR="00CA207F" w:rsidRPr="00CA207F" w:rsidRDefault="00CA207F" w:rsidP="00CA207F">
            <w:pPr>
              <w:pStyle w:val="BodyTextSMPC"/>
              <w:spacing w:after="0"/>
              <w:ind w:left="0"/>
              <w:rPr>
                <w:sz w:val="24"/>
                <w:szCs w:val="24"/>
              </w:rPr>
            </w:pPr>
            <w:r w:rsidRPr="00CA207F">
              <w:rPr>
                <w:sz w:val="24"/>
                <w:szCs w:val="24"/>
              </w:rPr>
              <w:t>Congenital, familial and genetic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40C970D7" w14:textId="77777777" w:rsidR="00CA207F" w:rsidRPr="00CA207F" w:rsidRDefault="00CA207F" w:rsidP="00CA207F">
            <w:pPr>
              <w:pStyle w:val="BodyTextSMPC"/>
              <w:spacing w:after="0"/>
              <w:ind w:left="0"/>
              <w:rPr>
                <w:sz w:val="24"/>
                <w:szCs w:val="24"/>
              </w:rPr>
            </w:pPr>
            <w:r w:rsidRPr="00CA207F">
              <w:rPr>
                <w:sz w:val="24"/>
                <w:szCs w:val="24"/>
              </w:rPr>
              <w:t xml:space="preserve">• Porphyria cutanea </w:t>
            </w:r>
            <w:proofErr w:type="spellStart"/>
            <w:r w:rsidRPr="00CA207F">
              <w:rPr>
                <w:sz w:val="24"/>
                <w:szCs w:val="24"/>
              </w:rPr>
              <w:t>tarda</w:t>
            </w:r>
            <w:r w:rsidRPr="00CA207F">
              <w:rPr>
                <w:sz w:val="24"/>
                <w:szCs w:val="24"/>
                <w:vertAlign w:val="superscript"/>
              </w:rPr>
              <w:t>b</w:t>
            </w:r>
            <w:proofErr w:type="spellEnd"/>
          </w:p>
        </w:tc>
      </w:tr>
      <w:tr w:rsidR="00CA207F" w:rsidRPr="00860227" w14:paraId="351D8CDF" w14:textId="77777777" w:rsidTr="00860227">
        <w:trPr>
          <w:tblCellSpacing w:w="0" w:type="dxa"/>
        </w:trPr>
        <w:tc>
          <w:tcPr>
            <w:tcW w:w="7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704F3" w14:textId="77777777" w:rsidR="00CA207F" w:rsidRPr="00CA207F" w:rsidRDefault="00CA207F" w:rsidP="00CA207F">
            <w:pPr>
              <w:pStyle w:val="BodyTextSMPC"/>
              <w:spacing w:after="0"/>
              <w:ind w:left="0"/>
              <w:rPr>
                <w:sz w:val="24"/>
                <w:szCs w:val="24"/>
              </w:rPr>
            </w:pP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865C168" w14:textId="77777777" w:rsidR="00CA207F" w:rsidRPr="00CA207F" w:rsidRDefault="00CA207F" w:rsidP="00CA207F">
            <w:pPr>
              <w:pStyle w:val="BodyTextSMPC"/>
              <w:spacing w:after="0"/>
              <w:ind w:left="0"/>
              <w:rPr>
                <w:sz w:val="24"/>
                <w:szCs w:val="24"/>
              </w:rPr>
            </w:pPr>
            <w:r w:rsidRPr="00CA207F">
              <w:rPr>
                <w:sz w:val="24"/>
                <w:szCs w:val="24"/>
              </w:rPr>
              <w:t>Injury, poisoning and procedural complications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52B99888" w14:textId="77777777" w:rsidR="00CA207F" w:rsidRPr="00CA207F" w:rsidRDefault="00CA207F" w:rsidP="00CA207F">
            <w:pPr>
              <w:pStyle w:val="BodyTextSMPC"/>
              <w:spacing w:after="0"/>
              <w:ind w:left="0"/>
              <w:rPr>
                <w:sz w:val="24"/>
                <w:szCs w:val="24"/>
              </w:rPr>
            </w:pPr>
            <w:r w:rsidRPr="00CA207F">
              <w:rPr>
                <w:sz w:val="24"/>
                <w:szCs w:val="24"/>
              </w:rPr>
              <w:t xml:space="preserve">• Radiation </w:t>
            </w:r>
            <w:proofErr w:type="spellStart"/>
            <w:r w:rsidRPr="00CA207F">
              <w:rPr>
                <w:sz w:val="24"/>
                <w:szCs w:val="24"/>
              </w:rPr>
              <w:t>Recall</w:t>
            </w:r>
            <w:r w:rsidRPr="00CA207F">
              <w:rPr>
                <w:sz w:val="24"/>
                <w:szCs w:val="24"/>
                <w:vertAlign w:val="superscript"/>
              </w:rPr>
              <w:t>b</w:t>
            </w:r>
            <w:proofErr w:type="spellEnd"/>
          </w:p>
        </w:tc>
      </w:tr>
      <w:tr w:rsidR="00CA207F" w:rsidRPr="00860227" w14:paraId="20FD7655" w14:textId="77777777" w:rsidTr="00860227">
        <w:trPr>
          <w:tblCellSpacing w:w="0" w:type="dxa"/>
        </w:trPr>
        <w:tc>
          <w:tcPr>
            <w:tcW w:w="73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B21D54" w14:textId="77777777" w:rsidR="00CA207F" w:rsidRPr="00CA207F" w:rsidRDefault="00CA207F" w:rsidP="00CA207F">
            <w:pPr>
              <w:pStyle w:val="BodyTextSMPC"/>
              <w:spacing w:after="0"/>
              <w:ind w:left="0"/>
              <w:rPr>
                <w:sz w:val="24"/>
                <w:szCs w:val="24"/>
              </w:rPr>
            </w:pPr>
            <w:r w:rsidRPr="00CA207F">
              <w:rPr>
                <w:sz w:val="24"/>
                <w:szCs w:val="24"/>
              </w:rPr>
              <w:t>Not known</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14:paraId="511C02F2" w14:textId="77777777" w:rsidR="00CA207F" w:rsidRPr="00CA207F" w:rsidRDefault="00CA207F" w:rsidP="00CA207F">
            <w:pPr>
              <w:pStyle w:val="BodyTextSMPC"/>
              <w:spacing w:after="0"/>
              <w:ind w:left="0"/>
              <w:rPr>
                <w:sz w:val="24"/>
                <w:szCs w:val="24"/>
              </w:rPr>
            </w:pPr>
            <w:r w:rsidRPr="00CA207F">
              <w:rPr>
                <w:sz w:val="24"/>
                <w:szCs w:val="24"/>
              </w:rPr>
              <w:t>Skin and subcutaneous tissue disorders</w:t>
            </w:r>
          </w:p>
        </w:tc>
        <w:tc>
          <w:tcPr>
            <w:tcW w:w="1949" w:type="pct"/>
            <w:tcBorders>
              <w:top w:val="outset" w:sz="6" w:space="0" w:color="auto"/>
              <w:left w:val="outset" w:sz="6" w:space="0" w:color="auto"/>
              <w:bottom w:val="outset" w:sz="6" w:space="0" w:color="auto"/>
              <w:right w:val="outset" w:sz="6" w:space="0" w:color="auto"/>
            </w:tcBorders>
            <w:shd w:val="clear" w:color="auto" w:fill="FFFFFF"/>
            <w:hideMark/>
          </w:tcPr>
          <w:p w14:paraId="3AA9D92D" w14:textId="77777777" w:rsidR="00CA207F" w:rsidRPr="00CA207F" w:rsidRDefault="00CA207F" w:rsidP="00CA207F">
            <w:pPr>
              <w:pStyle w:val="BodyTextSMPC"/>
              <w:spacing w:after="0"/>
              <w:ind w:left="0"/>
              <w:rPr>
                <w:sz w:val="24"/>
                <w:szCs w:val="24"/>
              </w:rPr>
            </w:pPr>
            <w:r w:rsidRPr="00CA207F">
              <w:rPr>
                <w:sz w:val="24"/>
                <w:szCs w:val="24"/>
              </w:rPr>
              <w:t>Exacerbation of hereditary angioedema</w:t>
            </w:r>
          </w:p>
        </w:tc>
      </w:tr>
    </w:tbl>
    <w:p w14:paraId="559D5C14" w14:textId="668F85CA" w:rsidR="00860227" w:rsidRDefault="00860227" w:rsidP="00860227">
      <w:pPr>
        <w:pStyle w:val="BodyTextSMPC"/>
        <w:spacing w:before="240"/>
      </w:pPr>
      <w:proofErr w:type="spellStart"/>
      <w:r w:rsidRPr="00860227">
        <w:rPr>
          <w:vertAlign w:val="superscript"/>
        </w:rPr>
        <w:t>a</w:t>
      </w:r>
      <w:proofErr w:type="spellEnd"/>
      <w:r>
        <w:t xml:space="preserve"> This adverse drug reaction was not reported in the tamoxifen arm (n= 3094) of the above study; however, it has been reported in other trials or </w:t>
      </w:r>
      <w:r>
        <w:lastRenderedPageBreak/>
        <w:t>from other sources. The frequency has been calculated using the upper limit of the 95% confidence interval for the point estimate (based on 3/X, where X represents the total sample size e.g. 3094). This is calculated as 3/3094 which equates to a frequency category of 'rare'.</w:t>
      </w:r>
    </w:p>
    <w:p w14:paraId="57282473" w14:textId="2B0C8A13" w:rsidR="00860227" w:rsidRDefault="00860227" w:rsidP="00860227">
      <w:pPr>
        <w:pStyle w:val="BodyTextSMPC"/>
        <w:spacing w:before="240"/>
      </w:pPr>
      <w:r w:rsidRPr="00860227">
        <w:rPr>
          <w:vertAlign w:val="superscript"/>
        </w:rPr>
        <w:t>b</w:t>
      </w:r>
      <w:r>
        <w:t xml:space="preserve"> </w:t>
      </w:r>
      <w:proofErr w:type="gramStart"/>
      <w:r>
        <w:t>The</w:t>
      </w:r>
      <w:proofErr w:type="gramEnd"/>
      <w:r>
        <w:t xml:space="preserve"> event was not observed in other major clinical studies. The frequency has been calculated using the upper limit of the 95% confidence interval for the point estimate (based on 3/X, where X represents the total sample size of 13,357 patients in the major clinical studies). This is calculated as 3/13,357 which equates to a frequency category of 'very rare'.</w:t>
      </w:r>
    </w:p>
    <w:p w14:paraId="59B87F06" w14:textId="1B19BFC4" w:rsidR="00860227" w:rsidRDefault="00860227" w:rsidP="00860227">
      <w:pPr>
        <w:pStyle w:val="BodyTextSMPC"/>
        <w:spacing w:before="240"/>
      </w:pPr>
      <w:r>
        <w:t xml:space="preserve">Side effects can be classified as either due to the pharmacological action of the drug, e.g. hot flushes, vaginal bleeding, vaginal discharge, pruritus vulvae and </w:t>
      </w:r>
      <w:proofErr w:type="spellStart"/>
      <w:r>
        <w:t>tumour</w:t>
      </w:r>
      <w:proofErr w:type="spellEnd"/>
      <w:r>
        <w:t xml:space="preserve"> flare, or as more general side effects, e.g. gastrointestinal intolerance, headache, light-headedness and occasionally, fluid retention and alopecia.</w:t>
      </w:r>
    </w:p>
    <w:p w14:paraId="66C2B398" w14:textId="45DE72E8" w:rsidR="00860227" w:rsidRDefault="00860227" w:rsidP="00860227">
      <w:pPr>
        <w:pStyle w:val="BodyTextSMPC"/>
        <w:spacing w:before="240"/>
      </w:pPr>
      <w:r>
        <w:t>When side effects are severe, it may be possible to control them by a simple reduction of dosage (to not less than 20 mg/day) without loss of control of the disease. If side effects do not respond to this measure, it may be necessary to stop the treatment.</w:t>
      </w:r>
    </w:p>
    <w:p w14:paraId="3B39B5A1" w14:textId="01EB0AAC" w:rsidR="00860227" w:rsidRDefault="00860227" w:rsidP="00860227">
      <w:pPr>
        <w:pStyle w:val="BodyTextSMPC"/>
        <w:spacing w:before="240"/>
      </w:pPr>
      <w:r>
        <w:t>Skin rashes (including rare reports of erythema multiforme, Stevens- Johnson syndrome, cutaneous vasculitis and bullous pemphigoid) and commonly hypersensitivity reactions including angioedema have been reported.</w:t>
      </w:r>
    </w:p>
    <w:p w14:paraId="1B15B15F" w14:textId="31051A8A" w:rsidR="00860227" w:rsidRDefault="00860227" w:rsidP="00860227">
      <w:pPr>
        <w:pStyle w:val="BodyTextSMPC"/>
        <w:spacing w:before="240"/>
      </w:pPr>
      <w:r>
        <w:t xml:space="preserve">Uncommonly, patients with bony metastases have developed </w:t>
      </w:r>
      <w:proofErr w:type="spellStart"/>
      <w:r>
        <w:t>hypercalcaemia</w:t>
      </w:r>
      <w:proofErr w:type="spellEnd"/>
      <w:r>
        <w:t xml:space="preserve"> on initiation of therapy.</w:t>
      </w:r>
    </w:p>
    <w:p w14:paraId="4B0D9D5D" w14:textId="2BD7E080" w:rsidR="00860227" w:rsidRDefault="00860227" w:rsidP="00860227">
      <w:pPr>
        <w:pStyle w:val="BodyTextSMPC"/>
        <w:spacing w:before="240"/>
      </w:pPr>
      <w:r>
        <w:t>Cases of visual disturbances, including rare reports of corneal changes, and common reports of retinopathy have been described in patients receiving Tamoxifen therapy. Cataracts have been reported commonly in association with the administration of tamoxifen.</w:t>
      </w:r>
    </w:p>
    <w:p w14:paraId="0E31D490" w14:textId="13CC5A1B" w:rsidR="00860227" w:rsidRDefault="00860227" w:rsidP="00860227">
      <w:pPr>
        <w:pStyle w:val="BodyTextSMPC"/>
        <w:spacing w:before="240"/>
      </w:pPr>
      <w:r>
        <w:t>Cases of optic neuropathy and optic neuritis have been reported in patients receiving tamoxifen and, in a small number of cases, blindness has occurred.</w:t>
      </w:r>
    </w:p>
    <w:p w14:paraId="29FCDCD6" w14:textId="21A97BDA" w:rsidR="00860227" w:rsidRDefault="00860227" w:rsidP="00860227">
      <w:pPr>
        <w:pStyle w:val="BodyTextSMPC"/>
        <w:spacing w:before="240"/>
      </w:pPr>
      <w:r>
        <w:t xml:space="preserve">Sensory disturbances (including </w:t>
      </w:r>
      <w:proofErr w:type="spellStart"/>
      <w:r>
        <w:t>paraesthesia</w:t>
      </w:r>
      <w:proofErr w:type="spellEnd"/>
      <w:r>
        <w:t xml:space="preserve"> and dysgeusia) have been reported commonly in patients receiving tamoxifen.</w:t>
      </w:r>
    </w:p>
    <w:p w14:paraId="6F879E15" w14:textId="7E011CF4" w:rsidR="00860227" w:rsidRDefault="00860227" w:rsidP="00860227">
      <w:pPr>
        <w:pStyle w:val="BodyTextSMPC"/>
        <w:spacing w:before="240"/>
      </w:pPr>
      <w:r>
        <w:lastRenderedPageBreak/>
        <w:t>Uterine fibroids, endometriosis and other endometrial changes including hyperplasia and polyps have been reported.</w:t>
      </w:r>
    </w:p>
    <w:p w14:paraId="671F6DEB" w14:textId="0BC0B6C7" w:rsidR="00860227" w:rsidRDefault="00860227" w:rsidP="00860227">
      <w:pPr>
        <w:pStyle w:val="BodyTextSMPC"/>
        <w:spacing w:before="240"/>
      </w:pPr>
      <w:r>
        <w:t>Falls in platelet count, usually to 80,000 to 90,000 per cu mm but occasionally lower, have been reported in patients taking tamoxifen for breast cancer.</w:t>
      </w:r>
    </w:p>
    <w:p w14:paraId="1C9B46C4" w14:textId="7B30A6C3" w:rsidR="00860227" w:rsidRDefault="00860227" w:rsidP="00860227">
      <w:pPr>
        <w:pStyle w:val="BodyTextSMPC"/>
        <w:spacing w:before="240"/>
      </w:pPr>
      <w:r>
        <w:t xml:space="preserve">Leucopenia has been observed following the administration of tamoxifen, sometimes in association with </w:t>
      </w:r>
      <w:proofErr w:type="spellStart"/>
      <w:r>
        <w:t>anaemia</w:t>
      </w:r>
      <w:proofErr w:type="spellEnd"/>
      <w:r>
        <w:t xml:space="preserve"> and/or thrombocytopenia. Neutropenia has been reported on rare occasions; this can sometimes be severe, and very rarely cases of agranulocytosis have been reported.</w:t>
      </w:r>
    </w:p>
    <w:p w14:paraId="0C03B5C1" w14:textId="147A8911" w:rsidR="00860227" w:rsidRDefault="00860227" w:rsidP="00860227">
      <w:pPr>
        <w:pStyle w:val="BodyTextSMPC"/>
        <w:spacing w:before="240"/>
      </w:pPr>
      <w:r>
        <w:t xml:space="preserve">There is evidence of </w:t>
      </w:r>
      <w:proofErr w:type="spellStart"/>
      <w:r>
        <w:t>ischaemic</w:t>
      </w:r>
      <w:proofErr w:type="spellEnd"/>
      <w:r>
        <w:t xml:space="preserve"> cerebrovascular events and thromboembolic events, including deep vein thrombosis, microvascular thrombosis and pulmonary embolism, occurring commonly during tamoxifen therapy (see sections 4.3, 4.4 and 4.5). When tamoxifen is used in combination with cytotoxic agents, there is an increased risk of thromboembolic events occurring.</w:t>
      </w:r>
    </w:p>
    <w:p w14:paraId="5FD056B8" w14:textId="3BE91F54" w:rsidR="00860227" w:rsidRDefault="00860227" w:rsidP="00860227">
      <w:pPr>
        <w:pStyle w:val="BodyTextSMPC"/>
        <w:spacing w:before="240"/>
      </w:pPr>
      <w:r>
        <w:t>Leg cramps and myalgia have been reported commonly in patients receiving tamoxifen.</w:t>
      </w:r>
    </w:p>
    <w:p w14:paraId="32117225" w14:textId="79639E4C" w:rsidR="00860227" w:rsidRDefault="00860227" w:rsidP="00860227">
      <w:pPr>
        <w:pStyle w:val="BodyTextSMPC"/>
        <w:spacing w:before="240"/>
      </w:pPr>
      <w:r>
        <w:t>Uncommonly, cases of interstitial pneumonitis have been reported.</w:t>
      </w:r>
    </w:p>
    <w:p w14:paraId="6A0875AE" w14:textId="7DBCC011" w:rsidR="00860227" w:rsidRDefault="00860227" w:rsidP="00860227">
      <w:pPr>
        <w:pStyle w:val="BodyTextSMPC"/>
        <w:spacing w:before="240"/>
      </w:pPr>
      <w:r>
        <w:t>Tamoxifen has been associated with changes in liver enzyme levels and with a spectrum of more severe liver abnormalities which in some cases were fatal, including fatty liver, cholestasis and hepatitis, liver failure, cirrhosis, and, hepatocellular injury (including hepatic necrosis).</w:t>
      </w:r>
    </w:p>
    <w:p w14:paraId="0D50ED43" w14:textId="4D21531F" w:rsidR="00860227" w:rsidRDefault="00860227" w:rsidP="00860227">
      <w:pPr>
        <w:pStyle w:val="BodyTextSMPC"/>
        <w:spacing w:before="240"/>
      </w:pPr>
      <w:r>
        <w:t>Commonly, elevation of serum triglyceride levels, in some cases with pancreatitis, may be associated with the use of tamoxifen.</w:t>
      </w:r>
    </w:p>
    <w:p w14:paraId="5BDCE09E" w14:textId="127EAB59" w:rsidR="00860227" w:rsidRDefault="00860227" w:rsidP="00860227">
      <w:pPr>
        <w:pStyle w:val="BodyTextSMPC"/>
        <w:spacing w:before="240"/>
      </w:pPr>
      <w:r>
        <w:t>Cystic ovarian swellings have rarely been observed in women receiving tamoxifen.</w:t>
      </w:r>
    </w:p>
    <w:p w14:paraId="38A07942" w14:textId="20803C11" w:rsidR="00860227" w:rsidRDefault="00860227" w:rsidP="00860227">
      <w:pPr>
        <w:pStyle w:val="BodyTextSMPC"/>
        <w:spacing w:before="240"/>
      </w:pPr>
      <w:r>
        <w:t>Vaginal polyps have rarely been observed in women receiving tamoxifen.</w:t>
      </w:r>
    </w:p>
    <w:p w14:paraId="097D45D7" w14:textId="728D1DA2" w:rsidR="00860227" w:rsidRDefault="00860227" w:rsidP="00860227">
      <w:pPr>
        <w:pStyle w:val="BodyTextSMPC"/>
        <w:spacing w:before="240"/>
      </w:pPr>
      <w:r>
        <w:t>Cutaneous lupus erythematosus has been observed very-rarely in patients receiving tamoxifen.</w:t>
      </w:r>
    </w:p>
    <w:p w14:paraId="12C78D98" w14:textId="2AB6B84E" w:rsidR="00860227" w:rsidRDefault="00860227" w:rsidP="00860227">
      <w:pPr>
        <w:pStyle w:val="BodyTextSMPC"/>
        <w:spacing w:before="240"/>
      </w:pPr>
      <w:r>
        <w:lastRenderedPageBreak/>
        <w:t xml:space="preserve">Porphyria cutanea </w:t>
      </w:r>
      <w:proofErr w:type="spellStart"/>
      <w:r>
        <w:t>tarda</w:t>
      </w:r>
      <w:proofErr w:type="spellEnd"/>
      <w:r>
        <w:t xml:space="preserve"> has been observed very-rarely in patients receiving tamoxifen.</w:t>
      </w:r>
    </w:p>
    <w:p w14:paraId="7F694B48" w14:textId="3EC943E8" w:rsidR="00860227" w:rsidRDefault="00860227" w:rsidP="00860227">
      <w:pPr>
        <w:pStyle w:val="BodyTextSMPC"/>
        <w:spacing w:before="240"/>
      </w:pPr>
      <w:r>
        <w:t>Fatigue has been reported very commonly in patients taking tamoxifen.</w:t>
      </w:r>
    </w:p>
    <w:p w14:paraId="355E64D3" w14:textId="4A3EDE44" w:rsidR="00860227" w:rsidRDefault="00860227" w:rsidP="00860227">
      <w:pPr>
        <w:pStyle w:val="BodyTextSMPC"/>
        <w:spacing w:before="240"/>
      </w:pPr>
      <w:r>
        <w:t>Radiation Recall has been observed very rarely in patients receiving tamoxifen.</w:t>
      </w:r>
    </w:p>
    <w:p w14:paraId="6186EF90" w14:textId="014ECDEB" w:rsidR="00CA207F" w:rsidRDefault="00860227" w:rsidP="00860227">
      <w:pPr>
        <w:pStyle w:val="BodyTextSMPC"/>
        <w:spacing w:before="240"/>
      </w:pPr>
      <w:r>
        <w:t xml:space="preserve">Uncommonly incidences of endometrial cancer and rare instances of uterine sarcoma (mostly malignant mixed Mullerian </w:t>
      </w:r>
      <w:proofErr w:type="spellStart"/>
      <w:r>
        <w:t>tumours</w:t>
      </w:r>
      <w:proofErr w:type="spellEnd"/>
      <w:r>
        <w:t>) has been reported in association with tamoxifen treatment.</w:t>
      </w:r>
    </w:p>
    <w:p w14:paraId="0B43F335" w14:textId="77777777" w:rsidR="00493F6E" w:rsidRPr="00493F6E" w:rsidRDefault="00493F6E" w:rsidP="00493F6E">
      <w:pPr>
        <w:pStyle w:val="BodyTextSMPC"/>
        <w:spacing w:before="240"/>
        <w:rPr>
          <w:b/>
          <w:bCs/>
        </w:rPr>
      </w:pPr>
      <w:r w:rsidRPr="00493F6E">
        <w:rPr>
          <w:b/>
          <w:bCs/>
        </w:rPr>
        <w:t xml:space="preserve">Primary prevention of breast cancer risk </w:t>
      </w:r>
    </w:p>
    <w:p w14:paraId="505E6E08" w14:textId="01A81D1F" w:rsidR="00493F6E" w:rsidRDefault="00493F6E" w:rsidP="00493F6E">
      <w:pPr>
        <w:pStyle w:val="BodyTextSMPC"/>
        <w:spacing w:before="240"/>
      </w:pPr>
      <w:r>
        <w:t xml:space="preserve">The most common adverse events reported from studies in women at increased risk of breast cancer, and occurring more frequently during treatment with tamoxifen than with placebo, were those associated specifically with the pharmacological action of tamoxifen such as vasomotor symptoms (hot flushes, night sweats), menstrual abnormalities\irregularities, vaginal discharge, and vaginal dryness. </w:t>
      </w:r>
    </w:p>
    <w:p w14:paraId="74AAEDE6" w14:textId="32386CB6" w:rsidR="00493F6E" w:rsidRDefault="00493F6E" w:rsidP="00493F6E">
      <w:pPr>
        <w:pStyle w:val="BodyTextSMPC"/>
        <w:spacing w:before="240"/>
      </w:pPr>
      <w:r>
        <w:t xml:space="preserve">In the primary prevention trials tamoxifen significantly increased the incidence of endometrial cancer, deep vein thrombosis, and pulmonary embolism compared with placebo, but the absolute increase in risk was small. The risk of developing cataracts was also significantly increased with tamoxifen. </w:t>
      </w:r>
    </w:p>
    <w:p w14:paraId="5C758E82" w14:textId="77777777" w:rsidR="00493F6E" w:rsidRPr="00493F6E" w:rsidRDefault="00493F6E" w:rsidP="00493F6E">
      <w:pPr>
        <w:pStyle w:val="BodyTextSMPC"/>
        <w:spacing w:before="240"/>
        <w:rPr>
          <w:u w:val="single"/>
        </w:rPr>
      </w:pPr>
      <w:r w:rsidRPr="00493F6E">
        <w:rPr>
          <w:u w:val="single"/>
        </w:rPr>
        <w:t xml:space="preserve">Women under 50 years old </w:t>
      </w:r>
    </w:p>
    <w:p w14:paraId="6BB8A574" w14:textId="6F323057" w:rsidR="00493F6E" w:rsidRDefault="00493F6E" w:rsidP="00493F6E">
      <w:pPr>
        <w:pStyle w:val="BodyTextSMPC"/>
        <w:spacing w:before="240"/>
      </w:pPr>
      <w:r>
        <w:t xml:space="preserve">A meta-analysis of risk reduction trials stratified by age showed that while women over 50 years old at </w:t>
      </w:r>
      <w:proofErr w:type="spellStart"/>
      <w:r>
        <w:t>randomisation</w:t>
      </w:r>
      <w:proofErr w:type="spellEnd"/>
      <w:r>
        <w:t xml:space="preserve"> had a significantly increased risk of endometrial cancer compared with placebo (RR 3.32, 95% CI 1.95-5.67; p&lt;0.0001), women aged under 50 years did not (RR 1.19, 95% CI 0.53-2.65; p=0.6). Similarly, women under 50 years did not have a significantly increased risk of pulmonary embolism compared with placebo (RR 1.16, 95% CI 0.55-2.43; p=0.60) and their risk of deep vein thrombosis was only significantly increased during the active treatment phase (RR 2.30, 95% CI 1.23-4.31; p=0,009) but not after treatment had ended. </w:t>
      </w:r>
    </w:p>
    <w:p w14:paraId="25B054EB" w14:textId="77777777" w:rsidR="00493F6E" w:rsidRPr="00493F6E" w:rsidRDefault="00493F6E" w:rsidP="00493F6E">
      <w:pPr>
        <w:pStyle w:val="BodyTextSMPC"/>
        <w:spacing w:before="240"/>
        <w:rPr>
          <w:u w:val="single"/>
        </w:rPr>
      </w:pPr>
      <w:proofErr w:type="spellStart"/>
      <w:r w:rsidRPr="00493F6E">
        <w:rPr>
          <w:u w:val="single"/>
        </w:rPr>
        <w:t>Gynaecological</w:t>
      </w:r>
      <w:proofErr w:type="spellEnd"/>
      <w:r w:rsidRPr="00493F6E">
        <w:rPr>
          <w:u w:val="single"/>
        </w:rPr>
        <w:t xml:space="preserve"> conditions and procedures </w:t>
      </w:r>
    </w:p>
    <w:p w14:paraId="0A52A88A" w14:textId="337FA09E" w:rsidR="00493F6E" w:rsidRPr="00493F6E" w:rsidRDefault="00493F6E" w:rsidP="00493F6E">
      <w:pPr>
        <w:pStyle w:val="BodyTextSMPC"/>
        <w:spacing w:before="240"/>
        <w:rPr>
          <w:rFonts w:hint="cs"/>
          <w:cs/>
        </w:rPr>
      </w:pPr>
      <w:r>
        <w:lastRenderedPageBreak/>
        <w:t xml:space="preserve">In </w:t>
      </w:r>
      <w:proofErr w:type="gramStart"/>
      <w:r>
        <w:t>placebo controlled</w:t>
      </w:r>
      <w:proofErr w:type="gramEnd"/>
      <w:r>
        <w:t xml:space="preserve"> trials of the use of tamoxifen for the primary reduction of breast cancer risk, benign </w:t>
      </w:r>
      <w:proofErr w:type="spellStart"/>
      <w:r>
        <w:t>gynaecological</w:t>
      </w:r>
      <w:proofErr w:type="spellEnd"/>
      <w:r>
        <w:t xml:space="preserve"> conditions and procedures were more commonly reported with tamoxifen. The IBIS-1 trial found that in 3573 women taking tamoxifen compared to 3566 women on placebo, the following </w:t>
      </w:r>
      <w:proofErr w:type="spellStart"/>
      <w:r>
        <w:t>gynaecological</w:t>
      </w:r>
      <w:proofErr w:type="spellEnd"/>
      <w:r>
        <w:t xml:space="preserve"> conditions and procedures were more common in women taking tamoxifen: abnormal bleeding (842 v 678, p&lt;00001); endometrial polyps (130 v 65, p&lt;0,0001); ovarian cysts (101 v 42, p&lt;00001); hysteroscopy (228 v 138, P&lt;0,0001); pelvic ultrasound (209 v 132, p&lt;00001); dilation and curettage (178 v 94, p&lt;00001); hysterectomy (154 v 104, p=0002) and oophorectomy (103 v 67, p=0006).</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506799D3" w14:textId="6EA6ACC0" w:rsidR="00860227" w:rsidRDefault="00860227" w:rsidP="00860227">
      <w:pPr>
        <w:pStyle w:val="BodyTextSMPC"/>
      </w:pPr>
      <w:r>
        <w:t xml:space="preserve">On theoretical grounds an overdosage would be expected to cause enhancement of the pharmacological side-effects mentioned above. Observations in animals show that extreme overdosage (100 - 200 times recommended daily dose) may produce </w:t>
      </w:r>
      <w:proofErr w:type="spellStart"/>
      <w:r>
        <w:t>oestrogenic</w:t>
      </w:r>
      <w:proofErr w:type="spellEnd"/>
      <w:r>
        <w:t xml:space="preserve"> effects.</w:t>
      </w:r>
    </w:p>
    <w:p w14:paraId="5A8593DF" w14:textId="0B3E28A1" w:rsidR="00860227" w:rsidRDefault="00860227" w:rsidP="00860227">
      <w:pPr>
        <w:pStyle w:val="BodyTextSMPC"/>
      </w:pPr>
      <w:r>
        <w:t>There have been reports in the literature that tamoxifen given at several times the standard dose may be associated with prolongation of the QT interval of the ECG.</w:t>
      </w:r>
    </w:p>
    <w:p w14:paraId="779748E9" w14:textId="25645DD4" w:rsidR="00227FD4" w:rsidRPr="001D7E5E" w:rsidRDefault="00860227" w:rsidP="00860227">
      <w:pPr>
        <w:pStyle w:val="BodyTextSMPC"/>
      </w:pPr>
      <w:r>
        <w:t>There is no specific antidote to overdosage, and treatment must be symptomatic.</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4B1AE4D" w14:textId="67184585" w:rsidR="002C5D65" w:rsidRDefault="00CF44B2" w:rsidP="002C5D65">
      <w:pPr>
        <w:pStyle w:val="BodyTextSMPC"/>
      </w:pPr>
      <w:r w:rsidRPr="00CF44B2">
        <w:t>Pharmacotherapeutic group: Anti-estrogens. ATC code: L02BA01</w:t>
      </w:r>
      <w:r w:rsidR="002C5D65">
        <w:t xml:space="preserve">. </w:t>
      </w:r>
    </w:p>
    <w:p w14:paraId="687C23E8" w14:textId="70618610" w:rsidR="00CF44B2" w:rsidRDefault="00CF44B2" w:rsidP="00CF44B2">
      <w:pPr>
        <w:pStyle w:val="BodyTextSMPC"/>
      </w:pPr>
      <w:r>
        <w:t xml:space="preserve">Tamoxifen is a non-steroidal, triphenylethylene-based drug which displays a complex spectrum of </w:t>
      </w:r>
      <w:proofErr w:type="spellStart"/>
      <w:r>
        <w:t>oestrogen</w:t>
      </w:r>
      <w:proofErr w:type="spellEnd"/>
      <w:r>
        <w:t xml:space="preserve"> antagonist and </w:t>
      </w:r>
      <w:proofErr w:type="spellStart"/>
      <w:r>
        <w:t>oestrogen</w:t>
      </w:r>
      <w:proofErr w:type="spellEnd"/>
      <w:r>
        <w:t xml:space="preserve"> </w:t>
      </w:r>
      <w:r>
        <w:lastRenderedPageBreak/>
        <w:t xml:space="preserve">agonist-like pharmacological effects in different tissues. In breast cancer patients, at the </w:t>
      </w:r>
      <w:proofErr w:type="spellStart"/>
      <w:r>
        <w:t>tumour</w:t>
      </w:r>
      <w:proofErr w:type="spellEnd"/>
      <w:r>
        <w:t xml:space="preserve"> level, tamoxifen acts primarily as an </w:t>
      </w:r>
      <w:proofErr w:type="spellStart"/>
      <w:r>
        <w:t>antioestrogen</w:t>
      </w:r>
      <w:proofErr w:type="spellEnd"/>
      <w:r>
        <w:t xml:space="preserve">, preventing </w:t>
      </w:r>
      <w:proofErr w:type="spellStart"/>
      <w:r>
        <w:t>oestrogen</w:t>
      </w:r>
      <w:proofErr w:type="spellEnd"/>
      <w:r>
        <w:t xml:space="preserve"> binding to the </w:t>
      </w:r>
      <w:proofErr w:type="spellStart"/>
      <w:r>
        <w:t>oestrogen</w:t>
      </w:r>
      <w:proofErr w:type="spellEnd"/>
      <w:r>
        <w:t xml:space="preserve"> receptor. In the clinical situation, it is </w:t>
      </w:r>
      <w:proofErr w:type="spellStart"/>
      <w:r>
        <w:t>recognised</w:t>
      </w:r>
      <w:proofErr w:type="spellEnd"/>
      <w:r>
        <w:t xml:space="preserve"> that tamoxifen leads to reductions in levels of blood total cholesterol and </w:t>
      </w:r>
      <w:proofErr w:type="gramStart"/>
      <w:r>
        <w:t>low density</w:t>
      </w:r>
      <w:proofErr w:type="gramEnd"/>
      <w:r>
        <w:t xml:space="preserve"> lipoproteins in postmenopausal women of the order of 10 - 20%. Tamoxifen does not adversely affect bone mineral density.</w:t>
      </w:r>
    </w:p>
    <w:p w14:paraId="5A230C4B" w14:textId="686106FA" w:rsidR="00CF44B2" w:rsidRDefault="00CF44B2" w:rsidP="00CF44B2">
      <w:pPr>
        <w:pStyle w:val="BodyTextSMPC"/>
      </w:pPr>
      <w:r>
        <w:t>An uncontrolled trial was undertaken in a heterogenous group of 28 girls aged 2 to 10 years with McCune Albright Syndrome (MAS), who received 20 mg once a day for up to 12 months duration. Among the patients who reported vaginal bleeding during the pre-study period, 62% (13 out of 21 patients) reported no bleeding for a 6-month period and 33% (7 out of 21 patients) reported no vaginal bleeding for the duration of the trial. Mean uterine volume increased after 6 months of treatment and doubled at the end of the one-year study. While this finding is in line with the pharmacodynamic properties of tamoxifen, a causal relationship has not been established (see section 4.4). There are no long-term safety data in children. In particular, the long-term effects of tamoxifen on growth, puberty and general development have not been studied.</w:t>
      </w:r>
    </w:p>
    <w:p w14:paraId="21724F75" w14:textId="6D559CA1" w:rsidR="00CF44B2" w:rsidRDefault="00CF44B2" w:rsidP="00CF44B2">
      <w:pPr>
        <w:pStyle w:val="BodyTextSMPC"/>
      </w:pPr>
      <w:r>
        <w:t xml:space="preserve">CYP2D6 polymorphism status may be associated with variability in clinical response to tamoxifen. The poor </w:t>
      </w:r>
      <w:proofErr w:type="spellStart"/>
      <w:r>
        <w:t>metaboliser</w:t>
      </w:r>
      <w:proofErr w:type="spellEnd"/>
      <w:r>
        <w:t xml:space="preserve"> status may be associated with reduced response. The consequences of the findings for the treatment of CYP2D6 poor </w:t>
      </w:r>
      <w:proofErr w:type="spellStart"/>
      <w:r>
        <w:t>metabolisers</w:t>
      </w:r>
      <w:proofErr w:type="spellEnd"/>
      <w:r>
        <w:t xml:space="preserve"> have not been fully elucidated (see sections 4.4, 4.5 and 5.2).</w:t>
      </w:r>
    </w:p>
    <w:p w14:paraId="0C250C49" w14:textId="0866B757" w:rsidR="00CF44B2" w:rsidRPr="00CF44B2" w:rsidRDefault="00CF44B2" w:rsidP="00CF44B2">
      <w:pPr>
        <w:pStyle w:val="BodyTextSMPC"/>
        <w:rPr>
          <w:b/>
          <w:bCs/>
        </w:rPr>
      </w:pPr>
      <w:r w:rsidRPr="00CF44B2">
        <w:rPr>
          <w:b/>
          <w:bCs/>
        </w:rPr>
        <w:t>CYP2D6 genotype</w:t>
      </w:r>
    </w:p>
    <w:p w14:paraId="4F408507" w14:textId="679438FA" w:rsidR="00CF44B2" w:rsidRDefault="00CF44B2" w:rsidP="00CF44B2">
      <w:pPr>
        <w:pStyle w:val="BodyTextSMPC"/>
      </w:pPr>
      <w:r>
        <w:t>Available clinical data suggest that patients, who are homozygote for non-functional CYP2D6 alleles, may experience reduced effect of tamoxifen in the treatment of breast cancer.</w:t>
      </w:r>
    </w:p>
    <w:p w14:paraId="173F2F9A" w14:textId="3C5ACDC0" w:rsidR="00CF44B2" w:rsidRDefault="00CF44B2" w:rsidP="00CF44B2">
      <w:pPr>
        <w:pStyle w:val="BodyTextSMPC"/>
      </w:pPr>
      <w:r>
        <w:t>The available studies have mainly been performed in postmenopausal women (see sections 4.4 and 5.2)</w:t>
      </w:r>
    </w:p>
    <w:p w14:paraId="409B9463" w14:textId="02940D0E" w:rsidR="00CF44B2" w:rsidRDefault="00CF44B2" w:rsidP="00CF44B2">
      <w:pPr>
        <w:pStyle w:val="BodyTextSMPC"/>
      </w:pPr>
      <w:r>
        <w:t>Primary reduction of breast cancer risk</w:t>
      </w:r>
    </w:p>
    <w:p w14:paraId="108E8F4F" w14:textId="04C57E73" w:rsidR="00CF44B2" w:rsidRDefault="00CF44B2" w:rsidP="00CF44B2">
      <w:pPr>
        <w:pStyle w:val="BodyTextSMPC"/>
      </w:pPr>
      <w:r>
        <w:t xml:space="preserve">Tamoxifen reduces, but does not eliminate the risk of breast cancer. In clinical trials, tamoxifen decreased the incidence of </w:t>
      </w:r>
      <w:proofErr w:type="spellStart"/>
      <w:r>
        <w:t>oestrogen</w:t>
      </w:r>
      <w:proofErr w:type="spellEnd"/>
      <w:r>
        <w:t xml:space="preserve"> receptor-</w:t>
      </w:r>
      <w:r>
        <w:lastRenderedPageBreak/>
        <w:t xml:space="preserve">positive </w:t>
      </w:r>
      <w:proofErr w:type="spellStart"/>
      <w:r>
        <w:t>tumours</w:t>
      </w:r>
      <w:proofErr w:type="spellEnd"/>
      <w:r>
        <w:t xml:space="preserve">, but did not alter the incidence of </w:t>
      </w:r>
      <w:proofErr w:type="spellStart"/>
      <w:r>
        <w:t>oestrogen</w:t>
      </w:r>
      <w:proofErr w:type="spellEnd"/>
      <w:r>
        <w:t xml:space="preserve"> receptor-negative </w:t>
      </w:r>
      <w:proofErr w:type="spellStart"/>
      <w:r>
        <w:t>tumours</w:t>
      </w:r>
      <w:proofErr w:type="spellEnd"/>
      <w:r>
        <w:t>. The use of tamoxifen should be as part of a program including regular breast surveillance tailored to the individual woman, taking into account her risk of breast cancer.</w:t>
      </w:r>
    </w:p>
    <w:p w14:paraId="0690C952" w14:textId="2790A346" w:rsidR="00CF44B2" w:rsidRDefault="00CF44B2" w:rsidP="00CF44B2">
      <w:pPr>
        <w:pStyle w:val="BodyTextSMPC"/>
      </w:pPr>
      <w:r>
        <w:t xml:space="preserve">The breast cancer primary risk reduction trials include the International Breast Cancer Intervention Study (IBIS-1), the National Surgical Adjuvant Breast and Bowel Project PI study (NSABP P1), and the Royal Marsden Hospital chemoprevention trial (Royal Marsden). All trials were double-blind placebo controlled </w:t>
      </w:r>
      <w:proofErr w:type="spellStart"/>
      <w:r>
        <w:t>randomised</w:t>
      </w:r>
      <w:proofErr w:type="spellEnd"/>
      <w:r>
        <w:t xml:space="preserve"> trials of oral tamoxifen (20 mg per day) for the primary reduction of breast cancer risk in women at increased risk of breast cancer. Women were treated for 5 years (IBIS-1and NSABP P1) or 8 years (Royal Marsden) and followed for up to 20 years.</w:t>
      </w:r>
    </w:p>
    <w:p w14:paraId="290E5BEF" w14:textId="72D48650" w:rsidR="00CF44B2" w:rsidRDefault="00CF44B2" w:rsidP="00CF44B2">
      <w:pPr>
        <w:pStyle w:val="BodyTextSMPC"/>
      </w:pPr>
      <w:r>
        <w:t xml:space="preserve">The IBIS-1, NSABP PI, and Royal Marsden trials all defined breast cancer risk differently, and recruited women with both moderate or high lifetime risk: IBIS-1 included women with a two-fold relative risk if they were aged 45 to 70 years, a </w:t>
      </w:r>
      <w:proofErr w:type="spellStart"/>
      <w:r>
        <w:t>four fold</w:t>
      </w:r>
      <w:proofErr w:type="spellEnd"/>
      <w:r>
        <w:t xml:space="preserve"> relative risk if they were aged 40 to 44 years, or a ten-fold relative risk if they were aged 35 to 39 years; NSABP P1 included women aged ≥ 60 years or aged 35 to 59 years with a 5-year predicted risk for breast cancer of at least 1.66% as determined using a modified Gail's model or a history of Lobular Carcinoma In Situ (LCIS) or atypical hyperplasia; and Royal Marsden included healthy women aged 30 to 70 years old with an increased risk of developing breast cancer based on family history.</w:t>
      </w:r>
    </w:p>
    <w:p w14:paraId="6AEFB531" w14:textId="5E31B079" w:rsidR="00CF44B2" w:rsidRDefault="00CF44B2" w:rsidP="00CF44B2">
      <w:pPr>
        <w:pStyle w:val="BodyTextSMPC"/>
      </w:pPr>
      <w:r>
        <w:t xml:space="preserve">All trials excluded women with breast cancer (apart from Lobular Carcinoma </w:t>
      </w:r>
      <w:proofErr w:type="gramStart"/>
      <w:r>
        <w:t>In</w:t>
      </w:r>
      <w:proofErr w:type="gramEnd"/>
      <w:r>
        <w:t xml:space="preserve"> Situ -LCIS), a history of invasive cancer, pregnancy, and current or past deep vein thrombosis or pulmonary embolism. Other relevant exclusion criteria included the current use of oral contraceptives (NSABP P1, Royal Marsden), recent or current hormone replacement therapy (NSABP P1), and current anticoagulant use (IBIS-1).</w:t>
      </w:r>
    </w:p>
    <w:p w14:paraId="090711F7" w14:textId="0223487A" w:rsidR="00CF44B2" w:rsidRDefault="00CF44B2" w:rsidP="00CF44B2">
      <w:pPr>
        <w:pStyle w:val="BodyTextSMPC"/>
      </w:pPr>
      <w:r>
        <w:t>The majority of women in all trials were aged 59 years or below. NSABP PI included the largest proportion of women aged 60 years or over (30%). In NSABP P1, the majority of women were white (96%); race was not reported in the other trials. A substantial proportion of women in all trials were premenopausa1 (46% in IBIS-1 and 65% in Royal Marsden) or</w:t>
      </w:r>
      <w:r>
        <w:t xml:space="preserve"> </w:t>
      </w:r>
      <w:r>
        <w:t>younger than 50 years old (37% NSABP P1).</w:t>
      </w:r>
    </w:p>
    <w:p w14:paraId="6F48D944" w14:textId="77777777" w:rsidR="00CF44B2" w:rsidRDefault="00CF44B2" w:rsidP="00CF44B2">
      <w:pPr>
        <w:pStyle w:val="BodyTextSMPC"/>
      </w:pPr>
    </w:p>
    <w:p w14:paraId="6EED7773" w14:textId="1EA018DC" w:rsidR="00CF44B2" w:rsidRDefault="00CF44B2" w:rsidP="00CF44B2">
      <w:pPr>
        <w:pStyle w:val="BodyTextSMPC"/>
      </w:pPr>
      <w:r>
        <w:t>A summary of the key entry criteria for each of the trials are shown in Table 2.</w:t>
      </w:r>
    </w:p>
    <w:p w14:paraId="20FED712" w14:textId="270C5B09" w:rsidR="00E0203C" w:rsidRDefault="00CF44B2" w:rsidP="00CF44B2">
      <w:pPr>
        <w:pStyle w:val="BodyTextSMPC"/>
      </w:pPr>
      <w:r>
        <w:t>Table 2 Summary of Key Criteria Used to Select Patients in Each of the Main Studies</w:t>
      </w:r>
    </w:p>
    <w:tbl>
      <w:tblPr>
        <w:tblW w:w="8363" w:type="dxa"/>
        <w:tblCellSpacing w:w="0" w:type="dxa"/>
        <w:tblInd w:w="7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88"/>
        <w:gridCol w:w="6575"/>
      </w:tblGrid>
      <w:tr w:rsidR="00CF44B2" w:rsidRPr="00CF44B2" w14:paraId="40B24201" w14:textId="77777777" w:rsidTr="00CF44B2">
        <w:trPr>
          <w:tblCellSpacing w:w="0" w:type="dxa"/>
        </w:trPr>
        <w:tc>
          <w:tcPr>
            <w:tcW w:w="1069" w:type="pct"/>
            <w:tcBorders>
              <w:top w:val="outset" w:sz="6" w:space="0" w:color="auto"/>
              <w:left w:val="outset" w:sz="6" w:space="0" w:color="auto"/>
              <w:bottom w:val="outset" w:sz="6" w:space="0" w:color="auto"/>
              <w:right w:val="outset" w:sz="6" w:space="0" w:color="auto"/>
            </w:tcBorders>
            <w:hideMark/>
          </w:tcPr>
          <w:p w14:paraId="1E0221BA" w14:textId="77777777" w:rsidR="00CF44B2" w:rsidRPr="00CF44B2" w:rsidRDefault="00CF44B2" w:rsidP="00CF44B2">
            <w:pPr>
              <w:pStyle w:val="BodyTextSMPC"/>
              <w:spacing w:after="0"/>
              <w:ind w:left="0"/>
              <w:rPr>
                <w:sz w:val="24"/>
                <w:szCs w:val="24"/>
              </w:rPr>
            </w:pPr>
            <w:r w:rsidRPr="00CF44B2">
              <w:rPr>
                <w:sz w:val="24"/>
                <w:szCs w:val="24"/>
              </w:rPr>
              <w:t>Study</w:t>
            </w:r>
          </w:p>
        </w:tc>
        <w:tc>
          <w:tcPr>
            <w:tcW w:w="3931" w:type="pct"/>
            <w:tcBorders>
              <w:top w:val="outset" w:sz="6" w:space="0" w:color="auto"/>
              <w:left w:val="outset" w:sz="6" w:space="0" w:color="auto"/>
              <w:bottom w:val="outset" w:sz="6" w:space="0" w:color="auto"/>
              <w:right w:val="outset" w:sz="6" w:space="0" w:color="auto"/>
            </w:tcBorders>
            <w:hideMark/>
          </w:tcPr>
          <w:p w14:paraId="52D49703" w14:textId="77777777" w:rsidR="00CF44B2" w:rsidRPr="00CF44B2" w:rsidRDefault="00CF44B2" w:rsidP="00CF44B2">
            <w:pPr>
              <w:pStyle w:val="BodyTextSMPC"/>
              <w:spacing w:after="0"/>
              <w:ind w:left="0"/>
              <w:rPr>
                <w:sz w:val="24"/>
                <w:szCs w:val="24"/>
              </w:rPr>
            </w:pPr>
            <w:r w:rsidRPr="00CF44B2">
              <w:rPr>
                <w:sz w:val="24"/>
                <w:szCs w:val="24"/>
              </w:rPr>
              <w:t>Key Entry Criteria</w:t>
            </w:r>
          </w:p>
        </w:tc>
      </w:tr>
      <w:tr w:rsidR="00CF44B2" w:rsidRPr="00CF44B2" w14:paraId="6978B0A8" w14:textId="77777777" w:rsidTr="00CF44B2">
        <w:trPr>
          <w:tblCellSpacing w:w="0" w:type="dxa"/>
        </w:trPr>
        <w:tc>
          <w:tcPr>
            <w:tcW w:w="1069" w:type="pct"/>
            <w:tcBorders>
              <w:top w:val="outset" w:sz="6" w:space="0" w:color="auto"/>
              <w:left w:val="outset" w:sz="6" w:space="0" w:color="auto"/>
              <w:bottom w:val="outset" w:sz="6" w:space="0" w:color="auto"/>
              <w:right w:val="outset" w:sz="6" w:space="0" w:color="auto"/>
            </w:tcBorders>
            <w:hideMark/>
          </w:tcPr>
          <w:p w14:paraId="119AFA21" w14:textId="77777777" w:rsidR="00CF44B2" w:rsidRPr="00CF44B2" w:rsidRDefault="00CF44B2" w:rsidP="00CF44B2">
            <w:pPr>
              <w:pStyle w:val="BodyTextSMPC"/>
              <w:spacing w:after="0"/>
              <w:ind w:left="0"/>
              <w:rPr>
                <w:sz w:val="24"/>
                <w:szCs w:val="24"/>
              </w:rPr>
            </w:pPr>
            <w:r w:rsidRPr="00CF44B2">
              <w:rPr>
                <w:sz w:val="24"/>
                <w:szCs w:val="24"/>
              </w:rPr>
              <w:t>IBIS 1</w:t>
            </w:r>
          </w:p>
        </w:tc>
        <w:tc>
          <w:tcPr>
            <w:tcW w:w="3931" w:type="pct"/>
            <w:tcBorders>
              <w:top w:val="outset" w:sz="6" w:space="0" w:color="auto"/>
              <w:left w:val="outset" w:sz="6" w:space="0" w:color="auto"/>
              <w:bottom w:val="outset" w:sz="6" w:space="0" w:color="auto"/>
              <w:right w:val="outset" w:sz="6" w:space="0" w:color="auto"/>
            </w:tcBorders>
            <w:hideMark/>
          </w:tcPr>
          <w:p w14:paraId="017A8EB2" w14:textId="77777777" w:rsidR="00CF44B2" w:rsidRPr="00CF44B2" w:rsidRDefault="00CF44B2" w:rsidP="00CF44B2">
            <w:pPr>
              <w:pStyle w:val="BodyTextSMPC"/>
              <w:spacing w:after="0"/>
              <w:ind w:left="0"/>
              <w:rPr>
                <w:sz w:val="24"/>
                <w:szCs w:val="24"/>
              </w:rPr>
            </w:pPr>
            <w:r w:rsidRPr="00CF44B2">
              <w:rPr>
                <w:sz w:val="24"/>
                <w:szCs w:val="24"/>
              </w:rPr>
              <w:t>Aged 35-70 years</w:t>
            </w:r>
          </w:p>
          <w:p w14:paraId="55C0F9CF" w14:textId="77777777" w:rsidR="00CF44B2" w:rsidRPr="00CF44B2" w:rsidRDefault="00CF44B2" w:rsidP="00CF44B2">
            <w:pPr>
              <w:pStyle w:val="BodyTextSMPC"/>
              <w:spacing w:after="0"/>
              <w:ind w:left="0"/>
              <w:rPr>
                <w:sz w:val="24"/>
                <w:szCs w:val="24"/>
              </w:rPr>
            </w:pPr>
            <w:r w:rsidRPr="00CF44B2">
              <w:rPr>
                <w:sz w:val="24"/>
                <w:szCs w:val="24"/>
              </w:rPr>
              <w:t>No previous invasive cancer (except non-melanoma skin cancer)</w:t>
            </w:r>
          </w:p>
          <w:p w14:paraId="673C6E69" w14:textId="77777777" w:rsidR="00CF44B2" w:rsidRPr="00CF44B2" w:rsidRDefault="00CF44B2" w:rsidP="00CF44B2">
            <w:pPr>
              <w:pStyle w:val="BodyTextSMPC"/>
              <w:spacing w:after="0"/>
              <w:ind w:left="0"/>
              <w:rPr>
                <w:sz w:val="24"/>
                <w:szCs w:val="24"/>
              </w:rPr>
            </w:pPr>
            <w:r w:rsidRPr="00CF44B2">
              <w:rPr>
                <w:sz w:val="24"/>
                <w:szCs w:val="24"/>
              </w:rPr>
              <w:t>Relative risk of developing breast cancer:</w:t>
            </w:r>
          </w:p>
          <w:p w14:paraId="1464B340" w14:textId="77777777" w:rsidR="00CF44B2" w:rsidRPr="00CF44B2" w:rsidRDefault="00CF44B2" w:rsidP="00CF44B2">
            <w:pPr>
              <w:pStyle w:val="BodyTextSMPC"/>
              <w:spacing w:after="0"/>
              <w:ind w:left="0"/>
              <w:rPr>
                <w:sz w:val="24"/>
                <w:szCs w:val="24"/>
              </w:rPr>
            </w:pPr>
            <w:r w:rsidRPr="00CF44B2">
              <w:rPr>
                <w:sz w:val="24"/>
                <w:szCs w:val="24"/>
              </w:rPr>
              <w:t>• At least two-fold in women aged 45-70</w:t>
            </w:r>
          </w:p>
          <w:p w14:paraId="763D5073" w14:textId="77777777" w:rsidR="00CF44B2" w:rsidRPr="00CF44B2" w:rsidRDefault="00CF44B2" w:rsidP="00CF44B2">
            <w:pPr>
              <w:pStyle w:val="BodyTextSMPC"/>
              <w:spacing w:after="0"/>
              <w:ind w:left="0"/>
              <w:rPr>
                <w:sz w:val="24"/>
                <w:szCs w:val="24"/>
              </w:rPr>
            </w:pPr>
            <w:r w:rsidRPr="00CF44B2">
              <w:rPr>
                <w:sz w:val="24"/>
                <w:szCs w:val="24"/>
              </w:rPr>
              <w:t>• At least four- fold in women aged 40-44</w:t>
            </w:r>
          </w:p>
          <w:p w14:paraId="29444071" w14:textId="77777777" w:rsidR="00CF44B2" w:rsidRPr="00CF44B2" w:rsidRDefault="00CF44B2" w:rsidP="00CF44B2">
            <w:pPr>
              <w:pStyle w:val="BodyTextSMPC"/>
              <w:spacing w:after="0"/>
              <w:ind w:left="0"/>
              <w:rPr>
                <w:sz w:val="24"/>
                <w:szCs w:val="24"/>
              </w:rPr>
            </w:pPr>
            <w:r w:rsidRPr="00CF44B2">
              <w:rPr>
                <w:sz w:val="24"/>
                <w:szCs w:val="24"/>
              </w:rPr>
              <w:t>• At least ten-fold in women aged 35-39</w:t>
            </w:r>
          </w:p>
          <w:p w14:paraId="3A6901D9" w14:textId="77777777" w:rsidR="00CF44B2" w:rsidRPr="00CF44B2" w:rsidRDefault="00CF44B2" w:rsidP="00CF44B2">
            <w:pPr>
              <w:pStyle w:val="BodyTextSMPC"/>
              <w:spacing w:after="0"/>
              <w:ind w:left="0"/>
              <w:rPr>
                <w:sz w:val="24"/>
                <w:szCs w:val="24"/>
              </w:rPr>
            </w:pPr>
            <w:r w:rsidRPr="00CF44B2">
              <w:rPr>
                <w:sz w:val="24"/>
                <w:szCs w:val="24"/>
              </w:rPr>
              <w:t>Calculated using a specifically designed model based on family history and standard risk factors</w:t>
            </w:r>
          </w:p>
        </w:tc>
      </w:tr>
      <w:tr w:rsidR="00CF44B2" w:rsidRPr="00CF44B2" w14:paraId="542397FE" w14:textId="77777777" w:rsidTr="00CF44B2">
        <w:trPr>
          <w:tblCellSpacing w:w="0" w:type="dxa"/>
        </w:trPr>
        <w:tc>
          <w:tcPr>
            <w:tcW w:w="1069" w:type="pct"/>
            <w:tcBorders>
              <w:top w:val="outset" w:sz="6" w:space="0" w:color="auto"/>
              <w:left w:val="outset" w:sz="6" w:space="0" w:color="auto"/>
              <w:bottom w:val="outset" w:sz="6" w:space="0" w:color="auto"/>
              <w:right w:val="outset" w:sz="6" w:space="0" w:color="auto"/>
            </w:tcBorders>
            <w:hideMark/>
          </w:tcPr>
          <w:p w14:paraId="561DFA2B" w14:textId="77777777" w:rsidR="00CF44B2" w:rsidRPr="00CF44B2" w:rsidRDefault="00CF44B2" w:rsidP="00CF44B2">
            <w:pPr>
              <w:pStyle w:val="BodyTextSMPC"/>
              <w:spacing w:after="0"/>
              <w:ind w:left="0"/>
              <w:rPr>
                <w:sz w:val="24"/>
                <w:szCs w:val="24"/>
              </w:rPr>
            </w:pPr>
            <w:r w:rsidRPr="00CF44B2">
              <w:rPr>
                <w:sz w:val="24"/>
                <w:szCs w:val="24"/>
              </w:rPr>
              <w:t>NSABP P1</w:t>
            </w:r>
          </w:p>
        </w:tc>
        <w:tc>
          <w:tcPr>
            <w:tcW w:w="3931" w:type="pct"/>
            <w:tcBorders>
              <w:top w:val="outset" w:sz="6" w:space="0" w:color="auto"/>
              <w:left w:val="outset" w:sz="6" w:space="0" w:color="auto"/>
              <w:bottom w:val="outset" w:sz="6" w:space="0" w:color="auto"/>
              <w:right w:val="outset" w:sz="6" w:space="0" w:color="auto"/>
            </w:tcBorders>
            <w:hideMark/>
          </w:tcPr>
          <w:p w14:paraId="571314FE" w14:textId="77777777" w:rsidR="00CF44B2" w:rsidRPr="00CF44B2" w:rsidRDefault="00CF44B2" w:rsidP="00CF44B2">
            <w:pPr>
              <w:pStyle w:val="BodyTextSMPC"/>
              <w:spacing w:after="0"/>
              <w:ind w:left="0"/>
              <w:rPr>
                <w:sz w:val="24"/>
                <w:szCs w:val="24"/>
              </w:rPr>
            </w:pPr>
            <w:r w:rsidRPr="00CF44B2">
              <w:rPr>
                <w:sz w:val="24"/>
                <w:szCs w:val="24"/>
              </w:rPr>
              <w:t>Aged &gt;35 years</w:t>
            </w:r>
          </w:p>
          <w:p w14:paraId="12193828" w14:textId="77777777" w:rsidR="00CF44B2" w:rsidRPr="00CF44B2" w:rsidRDefault="00CF44B2" w:rsidP="00CF44B2">
            <w:pPr>
              <w:pStyle w:val="BodyTextSMPC"/>
              <w:spacing w:after="0"/>
              <w:ind w:left="0"/>
              <w:rPr>
                <w:sz w:val="24"/>
                <w:szCs w:val="24"/>
              </w:rPr>
            </w:pPr>
            <w:r w:rsidRPr="00CF44B2">
              <w:rPr>
                <w:sz w:val="24"/>
                <w:szCs w:val="24"/>
              </w:rPr>
              <w:t>No clinical evidence of breast cancer</w:t>
            </w:r>
          </w:p>
          <w:p w14:paraId="6C8C0EE0" w14:textId="77777777" w:rsidR="00CF44B2" w:rsidRPr="00CF44B2" w:rsidRDefault="00CF44B2" w:rsidP="00CF44B2">
            <w:pPr>
              <w:pStyle w:val="BodyTextSMPC"/>
              <w:spacing w:after="0"/>
              <w:ind w:left="0"/>
              <w:rPr>
                <w:sz w:val="24"/>
                <w:szCs w:val="24"/>
              </w:rPr>
            </w:pPr>
            <w:r w:rsidRPr="00CF44B2">
              <w:rPr>
                <w:sz w:val="24"/>
                <w:szCs w:val="24"/>
              </w:rPr>
              <w:t>5-year predicted risk &gt;1.66% of developing breast cancer based on the Gail model, or a history of LCIS or atypical hyperplasia based on a multivariable logistic regression model</w:t>
            </w:r>
          </w:p>
        </w:tc>
      </w:tr>
      <w:tr w:rsidR="00CF44B2" w:rsidRPr="00CF44B2" w14:paraId="66FFBDB8" w14:textId="77777777" w:rsidTr="00CF44B2">
        <w:trPr>
          <w:tblCellSpacing w:w="0" w:type="dxa"/>
        </w:trPr>
        <w:tc>
          <w:tcPr>
            <w:tcW w:w="1069" w:type="pct"/>
            <w:tcBorders>
              <w:top w:val="outset" w:sz="6" w:space="0" w:color="auto"/>
              <w:left w:val="outset" w:sz="6" w:space="0" w:color="auto"/>
              <w:bottom w:val="outset" w:sz="6" w:space="0" w:color="auto"/>
              <w:right w:val="outset" w:sz="6" w:space="0" w:color="auto"/>
            </w:tcBorders>
            <w:hideMark/>
          </w:tcPr>
          <w:p w14:paraId="748AC569" w14:textId="77777777" w:rsidR="00CF44B2" w:rsidRPr="00CF44B2" w:rsidRDefault="00CF44B2" w:rsidP="00CF44B2">
            <w:pPr>
              <w:pStyle w:val="BodyTextSMPC"/>
              <w:spacing w:after="0"/>
              <w:ind w:left="0"/>
              <w:rPr>
                <w:sz w:val="24"/>
                <w:szCs w:val="24"/>
              </w:rPr>
            </w:pPr>
            <w:r w:rsidRPr="00CF44B2">
              <w:rPr>
                <w:sz w:val="24"/>
                <w:szCs w:val="24"/>
              </w:rPr>
              <w:t>STAR</w:t>
            </w:r>
          </w:p>
        </w:tc>
        <w:tc>
          <w:tcPr>
            <w:tcW w:w="3931" w:type="pct"/>
            <w:tcBorders>
              <w:top w:val="outset" w:sz="6" w:space="0" w:color="auto"/>
              <w:left w:val="outset" w:sz="6" w:space="0" w:color="auto"/>
              <w:bottom w:val="outset" w:sz="6" w:space="0" w:color="auto"/>
              <w:right w:val="outset" w:sz="6" w:space="0" w:color="auto"/>
            </w:tcBorders>
            <w:hideMark/>
          </w:tcPr>
          <w:p w14:paraId="0AC43AB1" w14:textId="77777777" w:rsidR="00CF44B2" w:rsidRPr="00CF44B2" w:rsidRDefault="00CF44B2" w:rsidP="00CF44B2">
            <w:pPr>
              <w:pStyle w:val="BodyTextSMPC"/>
              <w:spacing w:after="0"/>
              <w:ind w:left="0"/>
              <w:rPr>
                <w:sz w:val="24"/>
                <w:szCs w:val="24"/>
              </w:rPr>
            </w:pPr>
            <w:r w:rsidRPr="00CF44B2">
              <w:rPr>
                <w:sz w:val="24"/>
                <w:szCs w:val="24"/>
              </w:rPr>
              <w:t>Aged &gt;35 years</w:t>
            </w:r>
          </w:p>
          <w:p w14:paraId="250C615C" w14:textId="77777777" w:rsidR="00CF44B2" w:rsidRPr="00CF44B2" w:rsidRDefault="00CF44B2" w:rsidP="00CF44B2">
            <w:pPr>
              <w:pStyle w:val="BodyTextSMPC"/>
              <w:spacing w:after="0"/>
              <w:ind w:left="0"/>
              <w:rPr>
                <w:sz w:val="24"/>
                <w:szCs w:val="24"/>
              </w:rPr>
            </w:pPr>
            <w:r w:rsidRPr="00CF44B2">
              <w:rPr>
                <w:sz w:val="24"/>
                <w:szCs w:val="24"/>
              </w:rPr>
              <w:t xml:space="preserve">5 </w:t>
            </w:r>
            <w:proofErr w:type="spellStart"/>
            <w:r w:rsidRPr="00CF44B2">
              <w:rPr>
                <w:sz w:val="24"/>
                <w:szCs w:val="24"/>
              </w:rPr>
              <w:t>yr</w:t>
            </w:r>
            <w:proofErr w:type="spellEnd"/>
            <w:r w:rsidRPr="00CF44B2">
              <w:rPr>
                <w:sz w:val="24"/>
                <w:szCs w:val="24"/>
              </w:rPr>
              <w:t xml:space="preserve"> predicted risk of &gt;1.66% of developing breast cancer based on Gail model</w:t>
            </w:r>
          </w:p>
        </w:tc>
      </w:tr>
      <w:tr w:rsidR="00CF44B2" w:rsidRPr="00CF44B2" w14:paraId="31534B2A" w14:textId="77777777" w:rsidTr="00CF44B2">
        <w:trPr>
          <w:tblCellSpacing w:w="0" w:type="dxa"/>
        </w:trPr>
        <w:tc>
          <w:tcPr>
            <w:tcW w:w="1069" w:type="pct"/>
            <w:tcBorders>
              <w:top w:val="outset" w:sz="6" w:space="0" w:color="auto"/>
              <w:left w:val="outset" w:sz="6" w:space="0" w:color="auto"/>
              <w:bottom w:val="outset" w:sz="6" w:space="0" w:color="auto"/>
              <w:right w:val="outset" w:sz="6" w:space="0" w:color="auto"/>
            </w:tcBorders>
            <w:hideMark/>
          </w:tcPr>
          <w:p w14:paraId="7C1E17A1" w14:textId="77777777" w:rsidR="00CF44B2" w:rsidRPr="00CF44B2" w:rsidRDefault="00CF44B2" w:rsidP="00CF44B2">
            <w:pPr>
              <w:pStyle w:val="BodyTextSMPC"/>
              <w:spacing w:after="0"/>
              <w:ind w:left="0"/>
              <w:rPr>
                <w:sz w:val="24"/>
                <w:szCs w:val="24"/>
              </w:rPr>
            </w:pPr>
            <w:r w:rsidRPr="00CF44B2">
              <w:rPr>
                <w:sz w:val="24"/>
                <w:szCs w:val="24"/>
              </w:rPr>
              <w:t>Marsden</w:t>
            </w:r>
          </w:p>
        </w:tc>
        <w:tc>
          <w:tcPr>
            <w:tcW w:w="3931" w:type="pct"/>
            <w:tcBorders>
              <w:top w:val="outset" w:sz="6" w:space="0" w:color="auto"/>
              <w:left w:val="outset" w:sz="6" w:space="0" w:color="auto"/>
              <w:bottom w:val="outset" w:sz="6" w:space="0" w:color="auto"/>
              <w:right w:val="outset" w:sz="6" w:space="0" w:color="auto"/>
            </w:tcBorders>
            <w:hideMark/>
          </w:tcPr>
          <w:p w14:paraId="297D68E3" w14:textId="77777777" w:rsidR="00CF44B2" w:rsidRPr="00CF44B2" w:rsidRDefault="00CF44B2" w:rsidP="00CF44B2">
            <w:pPr>
              <w:pStyle w:val="BodyTextSMPC"/>
              <w:spacing w:after="0"/>
              <w:ind w:left="0"/>
              <w:rPr>
                <w:sz w:val="24"/>
                <w:szCs w:val="24"/>
              </w:rPr>
            </w:pPr>
            <w:r w:rsidRPr="00CF44B2">
              <w:rPr>
                <w:sz w:val="24"/>
                <w:szCs w:val="24"/>
              </w:rPr>
              <w:t>Aged 30 - 70 years old</w:t>
            </w:r>
          </w:p>
          <w:p w14:paraId="4B2D876F" w14:textId="77777777" w:rsidR="00CF44B2" w:rsidRPr="00CF44B2" w:rsidRDefault="00CF44B2" w:rsidP="00CF44B2">
            <w:pPr>
              <w:pStyle w:val="BodyTextSMPC"/>
              <w:spacing w:after="0"/>
              <w:ind w:left="0"/>
              <w:rPr>
                <w:sz w:val="24"/>
                <w:szCs w:val="24"/>
              </w:rPr>
            </w:pPr>
            <w:r w:rsidRPr="00CF44B2">
              <w:rPr>
                <w:sz w:val="24"/>
                <w:szCs w:val="24"/>
              </w:rPr>
              <w:t>No clinical evidence of breast cancer</w:t>
            </w:r>
          </w:p>
          <w:p w14:paraId="2CB1854B" w14:textId="77777777" w:rsidR="00CF44B2" w:rsidRPr="00CF44B2" w:rsidRDefault="00CF44B2" w:rsidP="00CF44B2">
            <w:pPr>
              <w:pStyle w:val="BodyTextSMPC"/>
              <w:spacing w:after="0"/>
              <w:ind w:left="0"/>
              <w:rPr>
                <w:sz w:val="24"/>
                <w:szCs w:val="24"/>
              </w:rPr>
            </w:pPr>
            <w:r w:rsidRPr="00CF44B2">
              <w:rPr>
                <w:sz w:val="24"/>
                <w:szCs w:val="24"/>
              </w:rPr>
              <w:t>Increased risk of developing breast cancer based on family history.</w:t>
            </w:r>
          </w:p>
        </w:tc>
      </w:tr>
    </w:tbl>
    <w:p w14:paraId="78CE0974" w14:textId="2322BA5A" w:rsidR="00CF44B2" w:rsidRDefault="00CF44B2" w:rsidP="00CF44B2">
      <w:pPr>
        <w:pStyle w:val="BodyTextSMPC"/>
        <w:spacing w:before="240"/>
      </w:pPr>
      <w:r>
        <w:t xml:space="preserve">Efficacy results from the trials are shown in Table 3, which includes results of a </w:t>
      </w:r>
      <w:proofErr w:type="spellStart"/>
      <w:r>
        <w:t>metaanalysis</w:t>
      </w:r>
      <w:proofErr w:type="spellEnd"/>
      <w:r>
        <w:t xml:space="preserve"> of individual participant data from over 28,000 women who were treated with tamoxifen or placebo for the primary reduction of breast cancer risk. The results of the individual trials were generally consistent with the findings in the </w:t>
      </w:r>
      <w:proofErr w:type="spellStart"/>
      <w:r>
        <w:t>metaanalysis</w:t>
      </w:r>
      <w:proofErr w:type="spellEnd"/>
      <w:r>
        <w:t xml:space="preserve"> and the risk reduction effects of tamoxifen lasted for more than 10 years after treatment ended.</w:t>
      </w:r>
    </w:p>
    <w:p w14:paraId="011EF575" w14:textId="134D9A3C" w:rsidR="00CF44B2" w:rsidRDefault="00CF44B2" w:rsidP="00CF44B2">
      <w:pPr>
        <w:pStyle w:val="BodyTextSMPC"/>
        <w:spacing w:before="240"/>
      </w:pPr>
      <w:r>
        <w:t>Table 3 Summary of Key Efficacy and Safety Results from the Primary Risk Reduction Trials</w:t>
      </w:r>
    </w:p>
    <w:tbl>
      <w:tblPr>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837"/>
        <w:gridCol w:w="991"/>
        <w:gridCol w:w="854"/>
        <w:gridCol w:w="989"/>
        <w:gridCol w:w="852"/>
        <w:gridCol w:w="1131"/>
        <w:gridCol w:w="854"/>
        <w:gridCol w:w="989"/>
        <w:gridCol w:w="993"/>
      </w:tblGrid>
      <w:tr w:rsidR="00A47803" w:rsidRPr="00A47803" w14:paraId="7359F87E"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14:paraId="1BC9CFA8" w14:textId="77777777" w:rsidR="00A47803" w:rsidRPr="00A47803" w:rsidRDefault="00A47803" w:rsidP="00A47803">
            <w:pPr>
              <w:pStyle w:val="BodyTextSMPC"/>
              <w:spacing w:after="0"/>
              <w:ind w:left="0"/>
              <w:jc w:val="left"/>
              <w:rPr>
                <w:sz w:val="22"/>
                <w:szCs w:val="22"/>
              </w:rPr>
            </w:pPr>
            <w:r w:rsidRPr="00A47803">
              <w:rPr>
                <w:sz w:val="22"/>
                <w:szCs w:val="22"/>
              </w:rPr>
              <w:t>Efficacy</w:t>
            </w: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83025B7" w14:textId="77777777" w:rsidR="00A47803" w:rsidRPr="00A47803" w:rsidRDefault="00A47803" w:rsidP="00A47803">
            <w:pPr>
              <w:pStyle w:val="BodyTextSMPC"/>
              <w:spacing w:after="0"/>
              <w:ind w:left="0"/>
              <w:jc w:val="left"/>
              <w:rPr>
                <w:sz w:val="22"/>
                <w:szCs w:val="22"/>
              </w:rPr>
            </w:pPr>
            <w:r w:rsidRPr="00A47803">
              <w:rPr>
                <w:sz w:val="22"/>
                <w:szCs w:val="22"/>
              </w:rPr>
              <w:t>Cuzick meta- analysis</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23B479" w14:textId="77777777" w:rsidR="00A47803" w:rsidRPr="00A47803" w:rsidRDefault="00A47803" w:rsidP="00A47803">
            <w:pPr>
              <w:pStyle w:val="BodyTextSMPC"/>
              <w:spacing w:after="0"/>
              <w:ind w:left="0"/>
              <w:jc w:val="left"/>
              <w:rPr>
                <w:sz w:val="22"/>
                <w:szCs w:val="22"/>
              </w:rPr>
            </w:pPr>
            <w:r w:rsidRPr="00A47803">
              <w:rPr>
                <w:sz w:val="22"/>
                <w:szCs w:val="22"/>
              </w:rPr>
              <w:t>IBIS-1</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6CF5B61" w14:textId="77777777" w:rsidR="00A47803" w:rsidRPr="00A47803" w:rsidRDefault="00A47803" w:rsidP="00A47803">
            <w:pPr>
              <w:pStyle w:val="BodyTextSMPC"/>
              <w:spacing w:after="0"/>
              <w:ind w:left="0"/>
              <w:jc w:val="left"/>
              <w:rPr>
                <w:sz w:val="22"/>
                <w:szCs w:val="22"/>
              </w:rPr>
            </w:pPr>
            <w:r w:rsidRPr="00A47803">
              <w:rPr>
                <w:sz w:val="22"/>
                <w:szCs w:val="22"/>
              </w:rPr>
              <w:t>NSABP P1</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F14E68" w14:textId="77777777" w:rsidR="00A47803" w:rsidRPr="00A47803" w:rsidRDefault="00A47803" w:rsidP="00A47803">
            <w:pPr>
              <w:pStyle w:val="BodyTextSMPC"/>
              <w:spacing w:after="0"/>
              <w:ind w:left="0"/>
              <w:jc w:val="left"/>
              <w:rPr>
                <w:sz w:val="22"/>
                <w:szCs w:val="22"/>
              </w:rPr>
            </w:pPr>
            <w:r w:rsidRPr="00A47803">
              <w:rPr>
                <w:sz w:val="22"/>
                <w:szCs w:val="22"/>
              </w:rPr>
              <w:t>Royal Marsden</w:t>
            </w:r>
          </w:p>
        </w:tc>
      </w:tr>
      <w:tr w:rsidR="00A47803" w:rsidRPr="00A47803" w14:paraId="20FCEBBF"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5D9EFEC5" w14:textId="77777777" w:rsidR="00A47803" w:rsidRPr="00A47803" w:rsidRDefault="00A47803" w:rsidP="00A47803">
            <w:pPr>
              <w:pStyle w:val="BodyTextSMPC"/>
              <w:spacing w:after="0"/>
              <w:ind w:left="0"/>
              <w:jc w:val="left"/>
              <w:rPr>
                <w:sz w:val="22"/>
                <w:szCs w:val="22"/>
              </w:rPr>
            </w:pP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37A0B54B"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Tamox</w:t>
            </w:r>
            <w:proofErr w:type="spellEnd"/>
            <w:r w:rsidRPr="00A47803">
              <w:rPr>
                <w:sz w:val="22"/>
                <w:szCs w:val="22"/>
              </w:rPr>
              <w:t xml:space="preserve"> n=14,192</w:t>
            </w:r>
          </w:p>
          <w:p w14:paraId="2B57BD0A"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5FFBE459" w14:textId="77777777" w:rsidR="00A47803" w:rsidRPr="00A47803" w:rsidRDefault="00A47803" w:rsidP="00A47803">
            <w:pPr>
              <w:pStyle w:val="BodyTextSMPC"/>
              <w:spacing w:after="0"/>
              <w:ind w:left="0"/>
              <w:jc w:val="left"/>
              <w:rPr>
                <w:sz w:val="22"/>
                <w:szCs w:val="22"/>
              </w:rPr>
            </w:pPr>
            <w:r w:rsidRPr="00A47803">
              <w:rPr>
                <w:sz w:val="22"/>
                <w:szCs w:val="22"/>
              </w:rPr>
              <w:t>Placebo n=14,214</w:t>
            </w:r>
          </w:p>
          <w:p w14:paraId="5D74219E"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4B3A8AD5"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Tamox</w:t>
            </w:r>
            <w:proofErr w:type="spellEnd"/>
            <w:r w:rsidRPr="00A47803">
              <w:rPr>
                <w:sz w:val="22"/>
                <w:szCs w:val="22"/>
              </w:rPr>
              <w:t xml:space="preserve"> n=3579</w:t>
            </w:r>
          </w:p>
          <w:p w14:paraId="1FECDE74"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5D1ED025" w14:textId="77777777" w:rsidR="00A47803" w:rsidRPr="00A47803" w:rsidRDefault="00A47803" w:rsidP="00A47803">
            <w:pPr>
              <w:pStyle w:val="BodyTextSMPC"/>
              <w:spacing w:after="0"/>
              <w:ind w:left="0"/>
              <w:jc w:val="left"/>
              <w:rPr>
                <w:sz w:val="22"/>
                <w:szCs w:val="22"/>
              </w:rPr>
            </w:pPr>
            <w:r w:rsidRPr="00A47803">
              <w:rPr>
                <w:sz w:val="22"/>
                <w:szCs w:val="22"/>
              </w:rPr>
              <w:t>Placebo n=3575</w:t>
            </w:r>
          </w:p>
          <w:p w14:paraId="02240AA4"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3BB8D7F9"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Tamox</w:t>
            </w:r>
            <w:proofErr w:type="spellEnd"/>
            <w:r w:rsidRPr="00A47803">
              <w:rPr>
                <w:sz w:val="22"/>
                <w:szCs w:val="22"/>
              </w:rPr>
              <w:t xml:space="preserve"> n=6597</w:t>
            </w:r>
          </w:p>
          <w:p w14:paraId="3D422D3F"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2ECEA6CD" w14:textId="77777777" w:rsidR="00A47803" w:rsidRPr="00A47803" w:rsidRDefault="00A47803" w:rsidP="00A47803">
            <w:pPr>
              <w:pStyle w:val="BodyTextSMPC"/>
              <w:spacing w:after="0"/>
              <w:ind w:left="0"/>
              <w:jc w:val="left"/>
              <w:rPr>
                <w:sz w:val="22"/>
                <w:szCs w:val="22"/>
              </w:rPr>
            </w:pPr>
            <w:r w:rsidRPr="00A47803">
              <w:rPr>
                <w:sz w:val="22"/>
                <w:szCs w:val="22"/>
              </w:rPr>
              <w:t>Placebo n=6610</w:t>
            </w:r>
          </w:p>
          <w:p w14:paraId="48E1C2F1"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1800616F"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Tamox</w:t>
            </w:r>
            <w:proofErr w:type="spellEnd"/>
            <w:r w:rsidRPr="00A47803">
              <w:rPr>
                <w:sz w:val="22"/>
                <w:szCs w:val="22"/>
              </w:rPr>
              <w:t xml:space="preserve"> n=1238</w:t>
            </w:r>
          </w:p>
          <w:p w14:paraId="61A6968B" w14:textId="77777777" w:rsidR="00A47803" w:rsidRPr="00A47803" w:rsidRDefault="00A47803" w:rsidP="00A47803">
            <w:pPr>
              <w:pStyle w:val="BodyTextSMPC"/>
              <w:spacing w:after="0"/>
              <w:ind w:left="0"/>
              <w:jc w:val="left"/>
              <w:rPr>
                <w:sz w:val="22"/>
                <w:szCs w:val="22"/>
              </w:rPr>
            </w:pPr>
            <w:r w:rsidRPr="00A47803">
              <w:rPr>
                <w:sz w:val="22"/>
                <w:szCs w:val="22"/>
              </w:rPr>
              <w:t>Events</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4EEA4DAD" w14:textId="77777777" w:rsidR="00A47803" w:rsidRPr="00A47803" w:rsidRDefault="00A47803" w:rsidP="00A47803">
            <w:pPr>
              <w:pStyle w:val="BodyTextSMPC"/>
              <w:spacing w:after="0"/>
              <w:ind w:left="0"/>
              <w:jc w:val="left"/>
              <w:rPr>
                <w:sz w:val="22"/>
                <w:szCs w:val="22"/>
              </w:rPr>
            </w:pPr>
            <w:r w:rsidRPr="00A47803">
              <w:rPr>
                <w:sz w:val="22"/>
                <w:szCs w:val="22"/>
              </w:rPr>
              <w:t>Placebo n=1233</w:t>
            </w:r>
          </w:p>
          <w:p w14:paraId="0DB2D75E" w14:textId="77777777" w:rsidR="00A47803" w:rsidRPr="00A47803" w:rsidRDefault="00A47803" w:rsidP="00A47803">
            <w:pPr>
              <w:pStyle w:val="BodyTextSMPC"/>
              <w:spacing w:after="0"/>
              <w:ind w:left="0"/>
              <w:jc w:val="left"/>
              <w:rPr>
                <w:sz w:val="22"/>
                <w:szCs w:val="22"/>
              </w:rPr>
            </w:pPr>
            <w:r w:rsidRPr="00A47803">
              <w:rPr>
                <w:sz w:val="22"/>
                <w:szCs w:val="22"/>
              </w:rPr>
              <w:t>Events</w:t>
            </w:r>
          </w:p>
        </w:tc>
      </w:tr>
      <w:tr w:rsidR="00A47803" w:rsidRPr="00A47803" w14:paraId="521AAA8B"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21ECB383"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AF7A1D" w14:textId="77777777" w:rsidR="00A47803" w:rsidRPr="00A47803" w:rsidRDefault="00A47803" w:rsidP="00A47803">
            <w:pPr>
              <w:pStyle w:val="BodyTextSMPC"/>
              <w:spacing w:after="0"/>
              <w:ind w:left="0"/>
              <w:jc w:val="left"/>
              <w:rPr>
                <w:sz w:val="22"/>
                <w:szCs w:val="22"/>
              </w:rPr>
            </w:pPr>
            <w:r w:rsidRPr="00A47803">
              <w:rPr>
                <w:sz w:val="22"/>
                <w:szCs w:val="22"/>
              </w:rPr>
              <w:t>HR (95% CI)</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EC75FD" w14:textId="77777777" w:rsidR="00A47803" w:rsidRPr="00A47803" w:rsidRDefault="00A47803" w:rsidP="00A47803">
            <w:pPr>
              <w:pStyle w:val="BodyTextSMPC"/>
              <w:spacing w:after="0"/>
              <w:ind w:left="0"/>
              <w:jc w:val="left"/>
              <w:rPr>
                <w:sz w:val="22"/>
                <w:szCs w:val="22"/>
              </w:rPr>
            </w:pPr>
            <w:r w:rsidRPr="00A47803">
              <w:rPr>
                <w:sz w:val="22"/>
                <w:szCs w:val="22"/>
              </w:rPr>
              <w:t>HR (95% CI)</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8774161" w14:textId="77777777" w:rsidR="00A47803" w:rsidRPr="00A47803" w:rsidRDefault="00A47803" w:rsidP="00A47803">
            <w:pPr>
              <w:pStyle w:val="BodyTextSMPC"/>
              <w:spacing w:after="0"/>
              <w:ind w:left="0"/>
              <w:jc w:val="left"/>
              <w:rPr>
                <w:sz w:val="22"/>
                <w:szCs w:val="22"/>
              </w:rPr>
            </w:pPr>
            <w:r w:rsidRPr="00A47803">
              <w:rPr>
                <w:sz w:val="22"/>
                <w:szCs w:val="22"/>
              </w:rPr>
              <w:t>RR (95% CI)</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13F13F" w14:textId="77777777" w:rsidR="00A47803" w:rsidRPr="00A47803" w:rsidRDefault="00A47803" w:rsidP="00A47803">
            <w:pPr>
              <w:pStyle w:val="BodyTextSMPC"/>
              <w:spacing w:after="0"/>
              <w:ind w:left="0"/>
              <w:jc w:val="left"/>
              <w:rPr>
                <w:sz w:val="22"/>
                <w:szCs w:val="22"/>
              </w:rPr>
            </w:pPr>
            <w:r w:rsidRPr="00A47803">
              <w:rPr>
                <w:sz w:val="22"/>
                <w:szCs w:val="22"/>
              </w:rPr>
              <w:t>HR (95% CI)</w:t>
            </w:r>
          </w:p>
        </w:tc>
      </w:tr>
      <w:tr w:rsidR="00A47803" w:rsidRPr="00A47803" w14:paraId="36F3AB62"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40D7A3A" w14:textId="77777777" w:rsidR="00A47803" w:rsidRPr="00A47803" w:rsidRDefault="00A47803" w:rsidP="00A47803">
            <w:pPr>
              <w:pStyle w:val="BodyTextSMPC"/>
              <w:spacing w:after="0"/>
              <w:ind w:left="0"/>
              <w:jc w:val="left"/>
              <w:rPr>
                <w:sz w:val="22"/>
                <w:szCs w:val="22"/>
              </w:rPr>
            </w:pPr>
            <w:r w:rsidRPr="00A47803">
              <w:rPr>
                <w:sz w:val="22"/>
                <w:szCs w:val="22"/>
              </w:rPr>
              <w:t>All breast cancer</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7416EAD8" w14:textId="77777777" w:rsidR="00A47803" w:rsidRPr="00A47803" w:rsidRDefault="00A47803" w:rsidP="00A47803">
            <w:pPr>
              <w:pStyle w:val="BodyTextSMPC"/>
              <w:spacing w:after="0"/>
              <w:ind w:left="0"/>
              <w:jc w:val="left"/>
              <w:rPr>
                <w:sz w:val="22"/>
                <w:szCs w:val="22"/>
              </w:rPr>
            </w:pPr>
            <w:r w:rsidRPr="00A47803">
              <w:rPr>
                <w:sz w:val="22"/>
                <w:szCs w:val="22"/>
              </w:rPr>
              <w:t>431</w:t>
            </w:r>
          </w:p>
          <w:p w14:paraId="2E3C5043" w14:textId="77777777" w:rsidR="00A47803" w:rsidRPr="00A47803" w:rsidRDefault="00A47803" w:rsidP="00A47803">
            <w:pPr>
              <w:pStyle w:val="BodyTextSMPC"/>
              <w:spacing w:after="0"/>
              <w:ind w:left="0"/>
              <w:jc w:val="left"/>
              <w:rPr>
                <w:sz w:val="22"/>
                <w:szCs w:val="22"/>
              </w:rPr>
            </w:pPr>
            <w:r w:rsidRPr="00A47803">
              <w:rPr>
                <w:sz w:val="22"/>
                <w:szCs w:val="22"/>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5ADFF47A" w14:textId="77777777" w:rsidR="00A47803" w:rsidRPr="00A47803" w:rsidRDefault="00A47803" w:rsidP="00A47803">
            <w:pPr>
              <w:pStyle w:val="BodyTextSMPC"/>
              <w:spacing w:after="0"/>
              <w:ind w:left="0"/>
              <w:jc w:val="left"/>
              <w:rPr>
                <w:sz w:val="22"/>
                <w:szCs w:val="22"/>
              </w:rPr>
            </w:pPr>
            <w:r w:rsidRPr="00A47803">
              <w:rPr>
                <w:sz w:val="22"/>
                <w:szCs w:val="22"/>
              </w:rPr>
              <w:t>634</w:t>
            </w:r>
          </w:p>
          <w:p w14:paraId="5CB2D9DD" w14:textId="77777777" w:rsidR="00A47803" w:rsidRPr="00A47803" w:rsidRDefault="00A47803" w:rsidP="00A47803">
            <w:pPr>
              <w:pStyle w:val="BodyTextSMPC"/>
              <w:spacing w:after="0"/>
              <w:ind w:left="0"/>
              <w:jc w:val="left"/>
              <w:rPr>
                <w:sz w:val="22"/>
                <w:szCs w:val="22"/>
              </w:rPr>
            </w:pPr>
            <w:r w:rsidRPr="00A47803">
              <w:rPr>
                <w:sz w:val="22"/>
                <w:szCs w:val="22"/>
              </w:rPr>
              <w:t>(4.5%)</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545CE28E" w14:textId="77777777" w:rsidR="00A47803" w:rsidRPr="00A47803" w:rsidRDefault="00A47803" w:rsidP="00A47803">
            <w:pPr>
              <w:pStyle w:val="BodyTextSMPC"/>
              <w:spacing w:after="0"/>
              <w:ind w:left="0"/>
              <w:jc w:val="left"/>
              <w:rPr>
                <w:sz w:val="22"/>
                <w:szCs w:val="22"/>
              </w:rPr>
            </w:pPr>
            <w:r w:rsidRPr="00A47803">
              <w:rPr>
                <w:sz w:val="22"/>
                <w:szCs w:val="22"/>
              </w:rPr>
              <w:t>251</w:t>
            </w:r>
          </w:p>
          <w:p w14:paraId="0A6C3150" w14:textId="77777777" w:rsidR="00A47803" w:rsidRPr="00A47803" w:rsidRDefault="00A47803" w:rsidP="00A47803">
            <w:pPr>
              <w:pStyle w:val="BodyTextSMPC"/>
              <w:spacing w:after="0"/>
              <w:ind w:left="0"/>
              <w:jc w:val="left"/>
              <w:rPr>
                <w:sz w:val="22"/>
                <w:szCs w:val="22"/>
              </w:rPr>
            </w:pPr>
            <w:r w:rsidRPr="00A47803">
              <w:rPr>
                <w:sz w:val="22"/>
                <w:szCs w:val="22"/>
              </w:rPr>
              <w:t>(7.0%)</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73AC87BA" w14:textId="77777777" w:rsidR="00A47803" w:rsidRPr="00A47803" w:rsidRDefault="00A47803" w:rsidP="00A47803">
            <w:pPr>
              <w:pStyle w:val="BodyTextSMPC"/>
              <w:spacing w:after="0"/>
              <w:ind w:left="0"/>
              <w:jc w:val="left"/>
              <w:rPr>
                <w:sz w:val="22"/>
                <w:szCs w:val="22"/>
              </w:rPr>
            </w:pPr>
            <w:r w:rsidRPr="00A47803">
              <w:rPr>
                <w:sz w:val="22"/>
                <w:szCs w:val="22"/>
              </w:rPr>
              <w:t>350</w:t>
            </w:r>
          </w:p>
          <w:p w14:paraId="3CDFD738" w14:textId="77777777" w:rsidR="00A47803" w:rsidRPr="00A47803" w:rsidRDefault="00A47803" w:rsidP="00A47803">
            <w:pPr>
              <w:pStyle w:val="BodyTextSMPC"/>
              <w:spacing w:after="0"/>
              <w:ind w:left="0"/>
              <w:jc w:val="left"/>
              <w:rPr>
                <w:sz w:val="22"/>
                <w:szCs w:val="22"/>
              </w:rPr>
            </w:pPr>
            <w:r w:rsidRPr="00A47803">
              <w:rPr>
                <w:sz w:val="22"/>
                <w:szCs w:val="22"/>
              </w:rPr>
              <w:t>(9.8%)</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72504181" w14:textId="77777777" w:rsidR="00A47803" w:rsidRPr="00A47803" w:rsidRDefault="00A47803" w:rsidP="00A47803">
            <w:pPr>
              <w:pStyle w:val="BodyTextSMPC"/>
              <w:spacing w:after="0"/>
              <w:ind w:left="0"/>
              <w:jc w:val="left"/>
              <w:rPr>
                <w:sz w:val="22"/>
                <w:szCs w:val="22"/>
              </w:rPr>
            </w:pPr>
            <w:r w:rsidRPr="00A47803">
              <w:rPr>
                <w:sz w:val="22"/>
                <w:szCs w:val="22"/>
              </w:rPr>
              <w:t>205</w:t>
            </w:r>
          </w:p>
          <w:p w14:paraId="0BEDDA9E" w14:textId="77777777" w:rsidR="00A47803" w:rsidRPr="00A47803" w:rsidRDefault="00A47803" w:rsidP="00A47803">
            <w:pPr>
              <w:pStyle w:val="BodyTextSMPC"/>
              <w:spacing w:after="0"/>
              <w:ind w:left="0"/>
              <w:jc w:val="left"/>
              <w:rPr>
                <w:sz w:val="22"/>
                <w:szCs w:val="22"/>
              </w:rPr>
            </w:pPr>
            <w:r w:rsidRPr="00A47803">
              <w:rPr>
                <w:sz w:val="22"/>
                <w:szCs w:val="22"/>
              </w:rPr>
              <w:t>(3.1%)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3EE8907A" w14:textId="77777777" w:rsidR="00A47803" w:rsidRPr="00A47803" w:rsidRDefault="00A47803" w:rsidP="00A47803">
            <w:pPr>
              <w:pStyle w:val="BodyTextSMPC"/>
              <w:spacing w:after="0"/>
              <w:ind w:left="0"/>
              <w:jc w:val="left"/>
              <w:rPr>
                <w:sz w:val="22"/>
                <w:szCs w:val="22"/>
              </w:rPr>
            </w:pPr>
            <w:r w:rsidRPr="00A47803">
              <w:rPr>
                <w:sz w:val="22"/>
                <w:szCs w:val="22"/>
              </w:rPr>
              <w:t>343</w:t>
            </w:r>
          </w:p>
          <w:p w14:paraId="7AFB712F" w14:textId="77777777" w:rsidR="00A47803" w:rsidRPr="00A47803" w:rsidRDefault="00A47803" w:rsidP="00A47803">
            <w:pPr>
              <w:pStyle w:val="BodyTextSMPC"/>
              <w:spacing w:after="0"/>
              <w:ind w:left="0"/>
              <w:jc w:val="left"/>
              <w:rPr>
                <w:sz w:val="22"/>
                <w:szCs w:val="22"/>
              </w:rPr>
            </w:pPr>
            <w:r w:rsidRPr="00A47803">
              <w:rPr>
                <w:sz w:val="22"/>
                <w:szCs w:val="22"/>
              </w:rPr>
              <w:t>(5.2%)</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1B320240" w14:textId="77777777" w:rsidR="00A47803" w:rsidRPr="00A47803" w:rsidRDefault="00A47803" w:rsidP="00A47803">
            <w:pPr>
              <w:pStyle w:val="BodyTextSMPC"/>
              <w:spacing w:after="0"/>
              <w:ind w:left="0"/>
              <w:jc w:val="left"/>
              <w:rPr>
                <w:sz w:val="22"/>
                <w:szCs w:val="22"/>
              </w:rPr>
            </w:pPr>
            <w:r w:rsidRPr="00A47803">
              <w:rPr>
                <w:sz w:val="22"/>
                <w:szCs w:val="22"/>
              </w:rPr>
              <w:t>96</w:t>
            </w:r>
          </w:p>
          <w:p w14:paraId="688D138F" w14:textId="77777777" w:rsidR="00A47803" w:rsidRPr="00A47803" w:rsidRDefault="00A47803" w:rsidP="00A47803">
            <w:pPr>
              <w:pStyle w:val="BodyTextSMPC"/>
              <w:spacing w:after="0"/>
              <w:ind w:left="0"/>
              <w:jc w:val="left"/>
              <w:rPr>
                <w:sz w:val="22"/>
                <w:szCs w:val="22"/>
              </w:rPr>
            </w:pPr>
            <w:r w:rsidRPr="00A47803">
              <w:rPr>
                <w:sz w:val="22"/>
                <w:szCs w:val="22"/>
              </w:rPr>
              <w:t>(7.7%)</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07344BA4" w14:textId="77777777" w:rsidR="00A47803" w:rsidRPr="00A47803" w:rsidRDefault="00A47803" w:rsidP="00A47803">
            <w:pPr>
              <w:pStyle w:val="BodyTextSMPC"/>
              <w:spacing w:after="0"/>
              <w:ind w:left="0"/>
              <w:jc w:val="left"/>
              <w:rPr>
                <w:sz w:val="22"/>
                <w:szCs w:val="22"/>
              </w:rPr>
            </w:pPr>
            <w:r w:rsidRPr="00A47803">
              <w:rPr>
                <w:sz w:val="22"/>
                <w:szCs w:val="22"/>
              </w:rPr>
              <w:t>113</w:t>
            </w:r>
          </w:p>
          <w:p w14:paraId="7C467B43" w14:textId="77777777" w:rsidR="00A47803" w:rsidRPr="00A47803" w:rsidRDefault="00A47803" w:rsidP="00A47803">
            <w:pPr>
              <w:pStyle w:val="BodyTextSMPC"/>
              <w:spacing w:after="0"/>
              <w:ind w:left="0"/>
              <w:jc w:val="left"/>
              <w:rPr>
                <w:sz w:val="22"/>
                <w:szCs w:val="22"/>
              </w:rPr>
            </w:pPr>
            <w:r w:rsidRPr="00A47803">
              <w:rPr>
                <w:sz w:val="22"/>
                <w:szCs w:val="22"/>
              </w:rPr>
              <w:t>(9.1%)</w:t>
            </w:r>
          </w:p>
        </w:tc>
      </w:tr>
      <w:tr w:rsidR="00A47803" w:rsidRPr="00A47803" w14:paraId="6C12BF70"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3D0293C3"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6EB6C6B" w14:textId="77777777" w:rsidR="00A47803" w:rsidRPr="00A47803" w:rsidRDefault="00A47803" w:rsidP="00A47803">
            <w:pPr>
              <w:pStyle w:val="BodyTextSMPC"/>
              <w:spacing w:after="0"/>
              <w:ind w:left="0"/>
              <w:jc w:val="left"/>
              <w:rPr>
                <w:sz w:val="22"/>
                <w:szCs w:val="22"/>
              </w:rPr>
            </w:pPr>
            <w:r w:rsidRPr="00A47803">
              <w:rPr>
                <w:sz w:val="22"/>
                <w:szCs w:val="22"/>
              </w:rPr>
              <w:t>0.67 (0.59-0.76)</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AB10C6" w14:textId="77777777" w:rsidR="00A47803" w:rsidRPr="00A47803" w:rsidRDefault="00A47803" w:rsidP="00A47803">
            <w:pPr>
              <w:pStyle w:val="BodyTextSMPC"/>
              <w:spacing w:after="0"/>
              <w:ind w:left="0"/>
              <w:jc w:val="left"/>
              <w:rPr>
                <w:sz w:val="22"/>
                <w:szCs w:val="22"/>
              </w:rPr>
            </w:pPr>
            <w:r w:rsidRPr="00A47803">
              <w:rPr>
                <w:sz w:val="22"/>
                <w:szCs w:val="22"/>
              </w:rPr>
              <w:t>0.71 (0.60-0.83)</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AF55D8"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A7D181C" w14:textId="77777777" w:rsidR="00A47803" w:rsidRPr="00A47803" w:rsidRDefault="00A47803" w:rsidP="00A47803">
            <w:pPr>
              <w:pStyle w:val="BodyTextSMPC"/>
              <w:spacing w:after="0"/>
              <w:ind w:left="0"/>
              <w:jc w:val="left"/>
              <w:rPr>
                <w:sz w:val="22"/>
                <w:szCs w:val="22"/>
              </w:rPr>
            </w:pPr>
            <w:r w:rsidRPr="00A47803">
              <w:rPr>
                <w:sz w:val="22"/>
                <w:szCs w:val="22"/>
              </w:rPr>
              <w:t>0.84 (0.64-1.10)</w:t>
            </w:r>
          </w:p>
        </w:tc>
      </w:tr>
      <w:tr w:rsidR="00A47803" w:rsidRPr="00A47803" w14:paraId="30520DA0"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64720A7" w14:textId="77777777" w:rsidR="00A47803" w:rsidRPr="00A47803" w:rsidRDefault="00A47803" w:rsidP="00A47803">
            <w:pPr>
              <w:pStyle w:val="BodyTextSMPC"/>
              <w:spacing w:after="0"/>
              <w:ind w:left="0"/>
              <w:jc w:val="left"/>
              <w:rPr>
                <w:sz w:val="22"/>
                <w:szCs w:val="22"/>
              </w:rPr>
            </w:pPr>
            <w:r w:rsidRPr="00A47803">
              <w:rPr>
                <w:sz w:val="22"/>
                <w:szCs w:val="22"/>
              </w:rPr>
              <w:t>Invasive breast cancer</w:t>
            </w:r>
          </w:p>
        </w:tc>
        <w:tc>
          <w:tcPr>
            <w:tcW w:w="972"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BC6EFA"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04FA2B2A" w14:textId="77777777" w:rsidR="00A47803" w:rsidRPr="00A47803" w:rsidRDefault="00A47803" w:rsidP="00A47803">
            <w:pPr>
              <w:pStyle w:val="BodyTextSMPC"/>
              <w:spacing w:after="0"/>
              <w:ind w:left="0"/>
              <w:jc w:val="left"/>
              <w:rPr>
                <w:sz w:val="22"/>
                <w:szCs w:val="22"/>
              </w:rPr>
            </w:pPr>
            <w:r w:rsidRPr="00A47803">
              <w:rPr>
                <w:sz w:val="22"/>
                <w:szCs w:val="22"/>
              </w:rPr>
              <w:t>214</w:t>
            </w:r>
          </w:p>
          <w:p w14:paraId="0C56A288" w14:textId="77777777" w:rsidR="00A47803" w:rsidRPr="00A47803" w:rsidRDefault="00A47803" w:rsidP="00A47803">
            <w:pPr>
              <w:pStyle w:val="BodyTextSMPC"/>
              <w:spacing w:after="0"/>
              <w:ind w:left="0"/>
              <w:jc w:val="left"/>
              <w:rPr>
                <w:sz w:val="22"/>
                <w:szCs w:val="22"/>
              </w:rPr>
            </w:pPr>
            <w:r w:rsidRPr="00A47803">
              <w:rPr>
                <w:sz w:val="22"/>
                <w:szCs w:val="22"/>
              </w:rPr>
              <w:t>(6.0%)</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72A5FEB0" w14:textId="77777777" w:rsidR="00A47803" w:rsidRPr="00A47803" w:rsidRDefault="00A47803" w:rsidP="00A47803">
            <w:pPr>
              <w:pStyle w:val="BodyTextSMPC"/>
              <w:spacing w:after="0"/>
              <w:ind w:left="0"/>
              <w:jc w:val="left"/>
              <w:rPr>
                <w:sz w:val="22"/>
                <w:szCs w:val="22"/>
              </w:rPr>
            </w:pPr>
            <w:r w:rsidRPr="00A47803">
              <w:rPr>
                <w:sz w:val="22"/>
                <w:szCs w:val="22"/>
              </w:rPr>
              <w:t>289</w:t>
            </w:r>
          </w:p>
          <w:p w14:paraId="6528AA7C" w14:textId="77777777" w:rsidR="00A47803" w:rsidRPr="00A47803" w:rsidRDefault="00A47803" w:rsidP="00A47803">
            <w:pPr>
              <w:pStyle w:val="BodyTextSMPC"/>
              <w:spacing w:after="0"/>
              <w:ind w:left="0"/>
              <w:jc w:val="left"/>
              <w:rPr>
                <w:sz w:val="22"/>
                <w:szCs w:val="22"/>
              </w:rPr>
            </w:pPr>
            <w:r w:rsidRPr="00A47803">
              <w:rPr>
                <w:sz w:val="22"/>
                <w:szCs w:val="22"/>
              </w:rPr>
              <w:t>(8.1%)</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64213D52" w14:textId="77777777" w:rsidR="00A47803" w:rsidRPr="00A47803" w:rsidRDefault="00A47803" w:rsidP="00A47803">
            <w:pPr>
              <w:pStyle w:val="BodyTextSMPC"/>
              <w:spacing w:after="0"/>
              <w:ind w:left="0"/>
              <w:jc w:val="left"/>
              <w:rPr>
                <w:sz w:val="22"/>
                <w:szCs w:val="22"/>
              </w:rPr>
            </w:pPr>
            <w:r w:rsidRPr="00A47803">
              <w:rPr>
                <w:sz w:val="22"/>
                <w:szCs w:val="22"/>
              </w:rPr>
              <w:t>145</w:t>
            </w:r>
          </w:p>
          <w:p w14:paraId="6A3A70AB" w14:textId="77777777" w:rsidR="00A47803" w:rsidRPr="00A47803" w:rsidRDefault="00A47803" w:rsidP="00A47803">
            <w:pPr>
              <w:pStyle w:val="BodyTextSMPC"/>
              <w:spacing w:after="0"/>
              <w:ind w:left="0"/>
              <w:jc w:val="left"/>
              <w:rPr>
                <w:sz w:val="22"/>
                <w:szCs w:val="22"/>
              </w:rPr>
            </w:pPr>
            <w:r w:rsidRPr="00A47803">
              <w:rPr>
                <w:sz w:val="22"/>
                <w:szCs w:val="22"/>
              </w:rPr>
              <w:t>(2.2%)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5F012FF4" w14:textId="77777777" w:rsidR="00A47803" w:rsidRPr="00A47803" w:rsidRDefault="00A47803" w:rsidP="00A47803">
            <w:pPr>
              <w:pStyle w:val="BodyTextSMPC"/>
              <w:spacing w:after="0"/>
              <w:ind w:left="0"/>
              <w:jc w:val="left"/>
              <w:rPr>
                <w:sz w:val="22"/>
                <w:szCs w:val="22"/>
              </w:rPr>
            </w:pPr>
            <w:r w:rsidRPr="00A47803">
              <w:rPr>
                <w:sz w:val="22"/>
                <w:szCs w:val="22"/>
              </w:rPr>
              <w:t>250</w:t>
            </w:r>
          </w:p>
          <w:p w14:paraId="4B9989B1" w14:textId="77777777" w:rsidR="00A47803" w:rsidRPr="00A47803" w:rsidRDefault="00A47803" w:rsidP="00A47803">
            <w:pPr>
              <w:pStyle w:val="BodyTextSMPC"/>
              <w:spacing w:after="0"/>
              <w:ind w:left="0"/>
              <w:jc w:val="left"/>
              <w:rPr>
                <w:sz w:val="22"/>
                <w:szCs w:val="22"/>
              </w:rPr>
            </w:pPr>
            <w:r w:rsidRPr="00A47803">
              <w:rPr>
                <w:sz w:val="22"/>
                <w:szCs w:val="22"/>
              </w:rPr>
              <w:t>(3.8%)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5C443446" w14:textId="77777777" w:rsidR="00A47803" w:rsidRPr="00A47803" w:rsidRDefault="00A47803" w:rsidP="00A47803">
            <w:pPr>
              <w:pStyle w:val="BodyTextSMPC"/>
              <w:spacing w:after="0"/>
              <w:ind w:left="0"/>
              <w:jc w:val="left"/>
              <w:rPr>
                <w:sz w:val="22"/>
                <w:szCs w:val="22"/>
              </w:rPr>
            </w:pPr>
            <w:r w:rsidRPr="00A47803">
              <w:rPr>
                <w:sz w:val="22"/>
                <w:szCs w:val="22"/>
              </w:rPr>
              <w:t>82</w:t>
            </w:r>
          </w:p>
          <w:p w14:paraId="3F964DA0" w14:textId="77777777" w:rsidR="00A47803" w:rsidRPr="00A47803" w:rsidRDefault="00A47803" w:rsidP="00A47803">
            <w:pPr>
              <w:pStyle w:val="BodyTextSMPC"/>
              <w:spacing w:after="0"/>
              <w:ind w:left="0"/>
              <w:jc w:val="left"/>
              <w:rPr>
                <w:sz w:val="22"/>
                <w:szCs w:val="22"/>
              </w:rPr>
            </w:pPr>
            <w:r w:rsidRPr="00A47803">
              <w:rPr>
                <w:sz w:val="22"/>
                <w:szCs w:val="22"/>
              </w:rPr>
              <w:t>(6.6%)</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042CD80F" w14:textId="77777777" w:rsidR="00A47803" w:rsidRPr="00A47803" w:rsidRDefault="00A47803" w:rsidP="00A47803">
            <w:pPr>
              <w:pStyle w:val="BodyTextSMPC"/>
              <w:spacing w:after="0"/>
              <w:ind w:left="0"/>
              <w:jc w:val="left"/>
              <w:rPr>
                <w:sz w:val="22"/>
                <w:szCs w:val="22"/>
              </w:rPr>
            </w:pPr>
            <w:r w:rsidRPr="00A47803">
              <w:rPr>
                <w:sz w:val="22"/>
                <w:szCs w:val="22"/>
              </w:rPr>
              <w:t>104</w:t>
            </w:r>
          </w:p>
          <w:p w14:paraId="47695E43" w14:textId="77777777" w:rsidR="00A47803" w:rsidRPr="00A47803" w:rsidRDefault="00A47803" w:rsidP="00A47803">
            <w:pPr>
              <w:pStyle w:val="BodyTextSMPC"/>
              <w:spacing w:after="0"/>
              <w:ind w:left="0"/>
              <w:jc w:val="left"/>
              <w:rPr>
                <w:sz w:val="22"/>
                <w:szCs w:val="22"/>
              </w:rPr>
            </w:pPr>
            <w:r w:rsidRPr="00A47803">
              <w:rPr>
                <w:sz w:val="22"/>
                <w:szCs w:val="22"/>
              </w:rPr>
              <w:t>(8.4%)</w:t>
            </w:r>
          </w:p>
        </w:tc>
      </w:tr>
      <w:tr w:rsidR="00A47803" w:rsidRPr="00A47803" w14:paraId="1BBBEDD8"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56E1926F" w14:textId="77777777" w:rsidR="00A47803" w:rsidRPr="00A47803" w:rsidRDefault="00A47803" w:rsidP="00A47803">
            <w:pPr>
              <w:pStyle w:val="BodyTextSMPC"/>
              <w:spacing w:after="0"/>
              <w:ind w:left="0"/>
              <w:jc w:val="left"/>
              <w:rPr>
                <w:sz w:val="22"/>
                <w:szCs w:val="22"/>
              </w:rPr>
            </w:pPr>
          </w:p>
        </w:tc>
        <w:tc>
          <w:tcPr>
            <w:tcW w:w="972" w:type="pct"/>
            <w:gridSpan w:val="2"/>
            <w:vMerge/>
            <w:tcBorders>
              <w:top w:val="outset" w:sz="6" w:space="0" w:color="auto"/>
              <w:left w:val="outset" w:sz="6" w:space="0" w:color="auto"/>
              <w:bottom w:val="outset" w:sz="6" w:space="0" w:color="auto"/>
              <w:right w:val="outset" w:sz="6" w:space="0" w:color="auto"/>
            </w:tcBorders>
            <w:shd w:val="clear" w:color="auto" w:fill="FFFFFF"/>
            <w:hideMark/>
          </w:tcPr>
          <w:p w14:paraId="26BB87F7" w14:textId="77777777" w:rsidR="00A47803" w:rsidRPr="00A47803" w:rsidRDefault="00A47803" w:rsidP="00A47803">
            <w:pPr>
              <w:pStyle w:val="BodyTextSMPC"/>
              <w:spacing w:after="0"/>
              <w:ind w:left="0"/>
              <w:jc w:val="left"/>
              <w:rPr>
                <w:sz w:val="22"/>
                <w:szCs w:val="22"/>
              </w:rPr>
            </w:pP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35BC7D4" w14:textId="77777777" w:rsidR="00A47803" w:rsidRPr="00A47803" w:rsidRDefault="00A47803" w:rsidP="00A47803">
            <w:pPr>
              <w:pStyle w:val="BodyTextSMPC"/>
              <w:spacing w:after="0"/>
              <w:ind w:left="0"/>
              <w:jc w:val="left"/>
              <w:rPr>
                <w:sz w:val="22"/>
                <w:szCs w:val="22"/>
              </w:rPr>
            </w:pPr>
            <w:r w:rsidRPr="00A47803">
              <w:rPr>
                <w:sz w:val="22"/>
                <w:szCs w:val="22"/>
              </w:rPr>
              <w:t>0.73 (0.61-0.87)</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30DD339" w14:textId="77777777" w:rsidR="00A47803" w:rsidRPr="00A47803" w:rsidRDefault="00A47803" w:rsidP="00A47803">
            <w:pPr>
              <w:pStyle w:val="BodyTextSMPC"/>
              <w:spacing w:after="0"/>
              <w:ind w:left="0"/>
              <w:jc w:val="left"/>
              <w:rPr>
                <w:sz w:val="22"/>
                <w:szCs w:val="22"/>
              </w:rPr>
            </w:pPr>
            <w:r w:rsidRPr="00A47803">
              <w:rPr>
                <w:sz w:val="22"/>
                <w:szCs w:val="22"/>
              </w:rPr>
              <w:t>0.57 (0.46-0.70)</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46D2F49" w14:textId="77777777" w:rsidR="00A47803" w:rsidRPr="00A47803" w:rsidRDefault="00A47803" w:rsidP="00A47803">
            <w:pPr>
              <w:pStyle w:val="BodyTextSMPC"/>
              <w:spacing w:after="0"/>
              <w:ind w:left="0"/>
              <w:jc w:val="left"/>
              <w:rPr>
                <w:sz w:val="22"/>
                <w:szCs w:val="22"/>
              </w:rPr>
            </w:pPr>
            <w:r w:rsidRPr="00A47803">
              <w:rPr>
                <w:sz w:val="22"/>
                <w:szCs w:val="22"/>
              </w:rPr>
              <w:t>0.78 (0.58-1.04)</w:t>
            </w:r>
          </w:p>
        </w:tc>
      </w:tr>
      <w:tr w:rsidR="00A47803" w:rsidRPr="00A47803" w14:paraId="6FDD5C6E"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3A047B8" w14:textId="77777777" w:rsidR="00A47803" w:rsidRPr="00A47803" w:rsidRDefault="00A47803" w:rsidP="00A47803">
            <w:pPr>
              <w:pStyle w:val="BodyTextSMPC"/>
              <w:spacing w:after="0"/>
              <w:ind w:left="0"/>
              <w:jc w:val="left"/>
              <w:rPr>
                <w:sz w:val="22"/>
                <w:szCs w:val="22"/>
              </w:rPr>
            </w:pPr>
            <w:r w:rsidRPr="00A47803">
              <w:rPr>
                <w:sz w:val="22"/>
                <w:szCs w:val="22"/>
              </w:rPr>
              <w:t>Non- invasive cancers</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06EC25EE" w14:textId="77777777" w:rsidR="00A47803" w:rsidRPr="00A47803" w:rsidRDefault="00A47803" w:rsidP="00A47803">
            <w:pPr>
              <w:pStyle w:val="BodyTextSMPC"/>
              <w:spacing w:after="0"/>
              <w:ind w:left="0"/>
              <w:jc w:val="left"/>
              <w:rPr>
                <w:sz w:val="22"/>
                <w:szCs w:val="22"/>
              </w:rPr>
            </w:pPr>
            <w:r w:rsidRPr="00A47803">
              <w:rPr>
                <w:sz w:val="22"/>
                <w:szCs w:val="22"/>
              </w:rPr>
              <w:t>77</w:t>
            </w:r>
          </w:p>
          <w:p w14:paraId="2C77C4E6" w14:textId="77777777" w:rsidR="00A47803" w:rsidRPr="00A47803" w:rsidRDefault="00A47803" w:rsidP="00A47803">
            <w:pPr>
              <w:pStyle w:val="BodyTextSMPC"/>
              <w:spacing w:after="0"/>
              <w:ind w:left="0"/>
              <w:jc w:val="left"/>
              <w:rPr>
                <w:sz w:val="22"/>
                <w:szCs w:val="22"/>
              </w:rPr>
            </w:pPr>
            <w:r w:rsidRPr="00A47803">
              <w:rPr>
                <w:sz w:val="22"/>
                <w:szCs w:val="22"/>
              </w:rPr>
              <w:t>(0.5%)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09C97031" w14:textId="77777777" w:rsidR="00A47803" w:rsidRPr="00A47803" w:rsidRDefault="00A47803" w:rsidP="00A47803">
            <w:pPr>
              <w:pStyle w:val="BodyTextSMPC"/>
              <w:spacing w:after="0"/>
              <w:ind w:left="0"/>
              <w:jc w:val="left"/>
              <w:rPr>
                <w:sz w:val="22"/>
                <w:szCs w:val="22"/>
              </w:rPr>
            </w:pPr>
            <w:r w:rsidRPr="00A47803">
              <w:rPr>
                <w:sz w:val="22"/>
                <w:szCs w:val="22"/>
              </w:rPr>
              <w:t>112</w:t>
            </w:r>
          </w:p>
          <w:p w14:paraId="0FE1C9F7"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640DCB1D" w14:textId="77777777" w:rsidR="00A47803" w:rsidRPr="00A47803" w:rsidRDefault="00A47803" w:rsidP="00A47803">
            <w:pPr>
              <w:pStyle w:val="BodyTextSMPC"/>
              <w:spacing w:after="0"/>
              <w:ind w:left="0"/>
              <w:jc w:val="left"/>
              <w:rPr>
                <w:sz w:val="22"/>
                <w:szCs w:val="22"/>
              </w:rPr>
            </w:pPr>
            <w:r w:rsidRPr="00A47803">
              <w:rPr>
                <w:sz w:val="22"/>
                <w:szCs w:val="22"/>
              </w:rPr>
              <w:t>35</w:t>
            </w:r>
          </w:p>
          <w:p w14:paraId="00361532" w14:textId="77777777" w:rsidR="00A47803" w:rsidRPr="00A47803" w:rsidRDefault="00A47803" w:rsidP="00A47803">
            <w:pPr>
              <w:pStyle w:val="BodyTextSMPC"/>
              <w:spacing w:after="0"/>
              <w:ind w:left="0"/>
              <w:jc w:val="left"/>
              <w:rPr>
                <w:sz w:val="22"/>
                <w:szCs w:val="22"/>
              </w:rPr>
            </w:pPr>
            <w:r w:rsidRPr="00A47803">
              <w:rPr>
                <w:sz w:val="22"/>
                <w:szCs w:val="22"/>
              </w:rPr>
              <w:t>(1.0%)</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35D7C3BB" w14:textId="77777777" w:rsidR="00A47803" w:rsidRPr="00A47803" w:rsidRDefault="00A47803" w:rsidP="00A47803">
            <w:pPr>
              <w:pStyle w:val="BodyTextSMPC"/>
              <w:spacing w:after="0"/>
              <w:ind w:left="0"/>
              <w:jc w:val="left"/>
              <w:rPr>
                <w:sz w:val="22"/>
                <w:szCs w:val="22"/>
              </w:rPr>
            </w:pPr>
            <w:r w:rsidRPr="00A47803">
              <w:rPr>
                <w:sz w:val="22"/>
                <w:szCs w:val="22"/>
              </w:rPr>
              <w:t>53</w:t>
            </w:r>
          </w:p>
          <w:p w14:paraId="317CA8FD" w14:textId="77777777" w:rsidR="00A47803" w:rsidRPr="00A47803" w:rsidRDefault="00A47803" w:rsidP="00A47803">
            <w:pPr>
              <w:pStyle w:val="BodyTextSMPC"/>
              <w:spacing w:after="0"/>
              <w:ind w:left="0"/>
              <w:jc w:val="left"/>
              <w:rPr>
                <w:sz w:val="22"/>
                <w:szCs w:val="22"/>
              </w:rPr>
            </w:pPr>
            <w:r w:rsidRPr="00A47803">
              <w:rPr>
                <w:sz w:val="22"/>
                <w:szCs w:val="22"/>
              </w:rPr>
              <w:t>(1.5%)</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166BC1C9" w14:textId="77777777" w:rsidR="00A47803" w:rsidRPr="00A47803" w:rsidRDefault="00A47803" w:rsidP="00A47803">
            <w:pPr>
              <w:pStyle w:val="BodyTextSMPC"/>
              <w:spacing w:after="0"/>
              <w:ind w:left="0"/>
              <w:jc w:val="left"/>
              <w:rPr>
                <w:sz w:val="22"/>
                <w:szCs w:val="22"/>
              </w:rPr>
            </w:pPr>
            <w:r w:rsidRPr="00A47803">
              <w:rPr>
                <w:sz w:val="22"/>
                <w:szCs w:val="22"/>
              </w:rPr>
              <w:t>60</w:t>
            </w:r>
          </w:p>
          <w:p w14:paraId="3EF6079F" w14:textId="77777777" w:rsidR="00A47803" w:rsidRPr="00A47803" w:rsidRDefault="00A47803" w:rsidP="00A47803">
            <w:pPr>
              <w:pStyle w:val="BodyTextSMPC"/>
              <w:spacing w:after="0"/>
              <w:ind w:left="0"/>
              <w:jc w:val="left"/>
              <w:rPr>
                <w:sz w:val="22"/>
                <w:szCs w:val="22"/>
              </w:rPr>
            </w:pPr>
            <w:r w:rsidRPr="00A47803">
              <w:rPr>
                <w:sz w:val="22"/>
                <w:szCs w:val="22"/>
              </w:rPr>
              <w:t>(0.9%)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7F8F4329" w14:textId="77777777" w:rsidR="00A47803" w:rsidRPr="00A47803" w:rsidRDefault="00A47803" w:rsidP="00A47803">
            <w:pPr>
              <w:pStyle w:val="BodyTextSMPC"/>
              <w:spacing w:after="0"/>
              <w:ind w:left="0"/>
              <w:jc w:val="left"/>
              <w:rPr>
                <w:sz w:val="22"/>
                <w:szCs w:val="22"/>
              </w:rPr>
            </w:pPr>
            <w:r w:rsidRPr="00A47803">
              <w:rPr>
                <w:sz w:val="22"/>
                <w:szCs w:val="22"/>
              </w:rPr>
              <w:t>93</w:t>
            </w:r>
          </w:p>
          <w:p w14:paraId="36108B62" w14:textId="77777777" w:rsidR="00A47803" w:rsidRPr="00A47803" w:rsidRDefault="00A47803" w:rsidP="00A47803">
            <w:pPr>
              <w:pStyle w:val="BodyTextSMPC"/>
              <w:spacing w:after="0"/>
              <w:ind w:left="0"/>
              <w:jc w:val="left"/>
              <w:rPr>
                <w:sz w:val="22"/>
                <w:szCs w:val="22"/>
              </w:rPr>
            </w:pPr>
            <w:r w:rsidRPr="00A47803">
              <w:rPr>
                <w:sz w:val="22"/>
                <w:szCs w:val="22"/>
              </w:rPr>
              <w:t>(1.4%)</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33C00273" w14:textId="77777777" w:rsidR="00A47803" w:rsidRPr="00A47803" w:rsidRDefault="00A47803" w:rsidP="00A47803">
            <w:pPr>
              <w:pStyle w:val="BodyTextSMPC"/>
              <w:spacing w:after="0"/>
              <w:ind w:left="0"/>
              <w:jc w:val="left"/>
              <w:rPr>
                <w:sz w:val="22"/>
                <w:szCs w:val="22"/>
              </w:rPr>
            </w:pPr>
            <w:r w:rsidRPr="00A47803">
              <w:rPr>
                <w:sz w:val="22"/>
                <w:szCs w:val="22"/>
              </w:rPr>
              <w:t>14</w:t>
            </w:r>
          </w:p>
          <w:p w14:paraId="682AB311" w14:textId="77777777" w:rsidR="00A47803" w:rsidRPr="00A47803" w:rsidRDefault="00A47803" w:rsidP="00A47803">
            <w:pPr>
              <w:pStyle w:val="BodyTextSMPC"/>
              <w:spacing w:after="0"/>
              <w:ind w:left="0"/>
              <w:jc w:val="left"/>
              <w:rPr>
                <w:sz w:val="22"/>
                <w:szCs w:val="22"/>
              </w:rPr>
            </w:pPr>
            <w:r w:rsidRPr="00A47803">
              <w:rPr>
                <w:sz w:val="22"/>
                <w:szCs w:val="22"/>
              </w:rPr>
              <w:t>(1.1%)</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49248358" w14:textId="77777777" w:rsidR="00A47803" w:rsidRPr="00A47803" w:rsidRDefault="00A47803" w:rsidP="00A47803">
            <w:pPr>
              <w:pStyle w:val="BodyTextSMPC"/>
              <w:spacing w:after="0"/>
              <w:ind w:left="0"/>
              <w:jc w:val="left"/>
              <w:rPr>
                <w:sz w:val="22"/>
                <w:szCs w:val="22"/>
              </w:rPr>
            </w:pPr>
            <w:r w:rsidRPr="00A47803">
              <w:rPr>
                <w:sz w:val="22"/>
                <w:szCs w:val="22"/>
              </w:rPr>
              <w:t>9</w:t>
            </w:r>
          </w:p>
          <w:p w14:paraId="18CF9D97" w14:textId="77777777" w:rsidR="00A47803" w:rsidRPr="00A47803" w:rsidRDefault="00A47803" w:rsidP="00A47803">
            <w:pPr>
              <w:pStyle w:val="BodyTextSMPC"/>
              <w:spacing w:after="0"/>
              <w:ind w:left="0"/>
              <w:jc w:val="left"/>
              <w:rPr>
                <w:sz w:val="22"/>
                <w:szCs w:val="22"/>
              </w:rPr>
            </w:pPr>
            <w:r w:rsidRPr="00A47803">
              <w:rPr>
                <w:sz w:val="22"/>
                <w:szCs w:val="22"/>
              </w:rPr>
              <w:t>(0.7%)</w:t>
            </w:r>
          </w:p>
        </w:tc>
      </w:tr>
      <w:tr w:rsidR="00A47803" w:rsidRPr="00A47803" w14:paraId="75B7E26E"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1A2FD91B"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8A89F13" w14:textId="77777777" w:rsidR="00A47803" w:rsidRPr="00A47803" w:rsidRDefault="00A47803" w:rsidP="00A47803">
            <w:pPr>
              <w:pStyle w:val="BodyTextSMPC"/>
              <w:spacing w:after="0"/>
              <w:ind w:left="0"/>
              <w:jc w:val="left"/>
              <w:rPr>
                <w:sz w:val="22"/>
                <w:szCs w:val="22"/>
              </w:rPr>
            </w:pPr>
            <w:r w:rsidRPr="00A47803">
              <w:rPr>
                <w:sz w:val="22"/>
                <w:szCs w:val="22"/>
              </w:rPr>
              <w:t>0.72 (0.57-0.92)</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7EB7392" w14:textId="77777777" w:rsidR="00A47803" w:rsidRPr="00A47803" w:rsidRDefault="00A47803" w:rsidP="00A47803">
            <w:pPr>
              <w:pStyle w:val="BodyTextSMPC"/>
              <w:spacing w:after="0"/>
              <w:ind w:left="0"/>
              <w:jc w:val="left"/>
              <w:rPr>
                <w:sz w:val="22"/>
                <w:szCs w:val="22"/>
              </w:rPr>
            </w:pPr>
            <w:r w:rsidRPr="00A47803">
              <w:rPr>
                <w:sz w:val="22"/>
                <w:szCs w:val="22"/>
              </w:rPr>
              <w:t>0.65 (0.43-1.00)</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EBD6F72" w14:textId="77777777" w:rsidR="00A47803" w:rsidRPr="00A47803" w:rsidRDefault="00A47803" w:rsidP="00A47803">
            <w:pPr>
              <w:pStyle w:val="BodyTextSMPC"/>
              <w:spacing w:after="0"/>
              <w:ind w:left="0"/>
              <w:jc w:val="left"/>
              <w:rPr>
                <w:sz w:val="22"/>
                <w:szCs w:val="22"/>
              </w:rPr>
            </w:pPr>
            <w:r w:rsidRPr="00A47803">
              <w:rPr>
                <w:sz w:val="22"/>
                <w:szCs w:val="22"/>
              </w:rPr>
              <w:t>0.63 (0.45-0.89)</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469463A"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13FAE424"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A767B1E"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Oestrogen</w:t>
            </w:r>
            <w:proofErr w:type="spellEnd"/>
            <w:r w:rsidRPr="00A47803">
              <w:rPr>
                <w:sz w:val="22"/>
                <w:szCs w:val="22"/>
              </w:rPr>
              <w:t xml:space="preserve"> receptor- positive cancers</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1E5DE9C5" w14:textId="77777777" w:rsidR="00A47803" w:rsidRPr="00A47803" w:rsidRDefault="00A47803" w:rsidP="00A47803">
            <w:pPr>
              <w:pStyle w:val="BodyTextSMPC"/>
              <w:spacing w:after="0"/>
              <w:ind w:left="0"/>
              <w:jc w:val="left"/>
              <w:rPr>
                <w:sz w:val="22"/>
                <w:szCs w:val="22"/>
              </w:rPr>
            </w:pPr>
            <w:r w:rsidRPr="00A47803">
              <w:rPr>
                <w:sz w:val="22"/>
                <w:szCs w:val="22"/>
              </w:rPr>
              <w:t>219</w:t>
            </w:r>
          </w:p>
          <w:p w14:paraId="13DDE311" w14:textId="77777777" w:rsidR="00A47803" w:rsidRPr="00A47803" w:rsidRDefault="00A47803" w:rsidP="00A47803">
            <w:pPr>
              <w:pStyle w:val="BodyTextSMPC"/>
              <w:spacing w:after="0"/>
              <w:ind w:left="0"/>
              <w:jc w:val="left"/>
              <w:rPr>
                <w:sz w:val="22"/>
                <w:szCs w:val="22"/>
              </w:rPr>
            </w:pPr>
            <w:r w:rsidRPr="00A47803">
              <w:rPr>
                <w:sz w:val="22"/>
                <w:szCs w:val="22"/>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425CB501" w14:textId="77777777" w:rsidR="00A47803" w:rsidRPr="00A47803" w:rsidRDefault="00A47803" w:rsidP="00A47803">
            <w:pPr>
              <w:pStyle w:val="BodyTextSMPC"/>
              <w:spacing w:after="0"/>
              <w:ind w:left="0"/>
              <w:jc w:val="left"/>
              <w:rPr>
                <w:sz w:val="22"/>
                <w:szCs w:val="22"/>
              </w:rPr>
            </w:pPr>
            <w:r w:rsidRPr="00A47803">
              <w:rPr>
                <w:sz w:val="22"/>
                <w:szCs w:val="22"/>
              </w:rPr>
              <w:t>396</w:t>
            </w:r>
          </w:p>
          <w:p w14:paraId="7998B92F" w14:textId="77777777" w:rsidR="00A47803" w:rsidRPr="00A47803" w:rsidRDefault="00A47803" w:rsidP="00A47803">
            <w:pPr>
              <w:pStyle w:val="BodyTextSMPC"/>
              <w:spacing w:after="0"/>
              <w:ind w:left="0"/>
              <w:jc w:val="left"/>
              <w:rPr>
                <w:sz w:val="22"/>
                <w:szCs w:val="22"/>
              </w:rPr>
            </w:pPr>
            <w:r w:rsidRPr="00A47803">
              <w:rPr>
                <w:sz w:val="22"/>
                <w:szCs w:val="22"/>
              </w:rPr>
              <w:t>(2.8%)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73052766" w14:textId="77777777" w:rsidR="00A47803" w:rsidRPr="00A47803" w:rsidRDefault="00A47803" w:rsidP="00A47803">
            <w:pPr>
              <w:pStyle w:val="BodyTextSMPC"/>
              <w:spacing w:after="0"/>
              <w:ind w:left="0"/>
              <w:jc w:val="left"/>
              <w:rPr>
                <w:sz w:val="22"/>
                <w:szCs w:val="22"/>
              </w:rPr>
            </w:pPr>
            <w:r w:rsidRPr="00A47803">
              <w:rPr>
                <w:sz w:val="22"/>
                <w:szCs w:val="22"/>
              </w:rPr>
              <w:t>160</w:t>
            </w:r>
          </w:p>
          <w:p w14:paraId="27C5607A" w14:textId="77777777" w:rsidR="00A47803" w:rsidRPr="00A47803" w:rsidRDefault="00A47803" w:rsidP="00A47803">
            <w:pPr>
              <w:pStyle w:val="BodyTextSMPC"/>
              <w:spacing w:after="0"/>
              <w:ind w:left="0"/>
              <w:jc w:val="left"/>
              <w:rPr>
                <w:sz w:val="22"/>
                <w:szCs w:val="22"/>
              </w:rPr>
            </w:pPr>
            <w:r w:rsidRPr="00A47803">
              <w:rPr>
                <w:sz w:val="22"/>
                <w:szCs w:val="22"/>
              </w:rPr>
              <w:t>(4.5%)</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5A12FBDD" w14:textId="77777777" w:rsidR="00A47803" w:rsidRPr="00A47803" w:rsidRDefault="00A47803" w:rsidP="00A47803">
            <w:pPr>
              <w:pStyle w:val="BodyTextSMPC"/>
              <w:spacing w:after="0"/>
              <w:ind w:left="0"/>
              <w:jc w:val="left"/>
              <w:rPr>
                <w:sz w:val="22"/>
                <w:szCs w:val="22"/>
              </w:rPr>
            </w:pPr>
            <w:r w:rsidRPr="00A47803">
              <w:rPr>
                <w:sz w:val="22"/>
                <w:szCs w:val="22"/>
              </w:rPr>
              <w:t>238</w:t>
            </w:r>
          </w:p>
          <w:p w14:paraId="25553B6F" w14:textId="77777777" w:rsidR="00A47803" w:rsidRPr="00A47803" w:rsidRDefault="00A47803" w:rsidP="00A47803">
            <w:pPr>
              <w:pStyle w:val="BodyTextSMPC"/>
              <w:spacing w:after="0"/>
              <w:ind w:left="0"/>
              <w:jc w:val="left"/>
              <w:rPr>
                <w:sz w:val="22"/>
                <w:szCs w:val="22"/>
              </w:rPr>
            </w:pPr>
            <w:r w:rsidRPr="00A47803">
              <w:rPr>
                <w:sz w:val="22"/>
                <w:szCs w:val="22"/>
              </w:rPr>
              <w:t>(6.7%)</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51D5C540" w14:textId="77777777" w:rsidR="00A47803" w:rsidRPr="00A47803" w:rsidRDefault="00A47803" w:rsidP="00A47803">
            <w:pPr>
              <w:pStyle w:val="BodyTextSMPC"/>
              <w:spacing w:after="0"/>
              <w:ind w:left="0"/>
              <w:jc w:val="left"/>
              <w:rPr>
                <w:sz w:val="22"/>
                <w:szCs w:val="22"/>
              </w:rPr>
            </w:pPr>
            <w:r w:rsidRPr="00A47803">
              <w:rPr>
                <w:sz w:val="22"/>
                <w:szCs w:val="22"/>
              </w:rPr>
              <w:t>70</w:t>
            </w:r>
          </w:p>
          <w:p w14:paraId="10FCFD5F" w14:textId="77777777" w:rsidR="00A47803" w:rsidRPr="00A47803" w:rsidRDefault="00A47803" w:rsidP="00A47803">
            <w:pPr>
              <w:pStyle w:val="BodyTextSMPC"/>
              <w:spacing w:after="0"/>
              <w:ind w:left="0"/>
              <w:jc w:val="left"/>
              <w:rPr>
                <w:sz w:val="22"/>
                <w:szCs w:val="22"/>
              </w:rPr>
            </w:pPr>
            <w:r w:rsidRPr="00A47803">
              <w:rPr>
                <w:sz w:val="22"/>
                <w:szCs w:val="22"/>
              </w:rPr>
              <w:t>(1.1%)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5490E62D" w14:textId="77777777" w:rsidR="00A47803" w:rsidRPr="00A47803" w:rsidRDefault="00A47803" w:rsidP="00A47803">
            <w:pPr>
              <w:pStyle w:val="BodyTextSMPC"/>
              <w:spacing w:after="0"/>
              <w:ind w:left="0"/>
              <w:jc w:val="left"/>
              <w:rPr>
                <w:sz w:val="22"/>
                <w:szCs w:val="22"/>
              </w:rPr>
            </w:pPr>
            <w:r w:rsidRPr="00A47803">
              <w:rPr>
                <w:sz w:val="22"/>
                <w:szCs w:val="22"/>
              </w:rPr>
              <w:t>182</w:t>
            </w:r>
          </w:p>
          <w:p w14:paraId="55DB1CD2" w14:textId="77777777" w:rsidR="00A47803" w:rsidRPr="00A47803" w:rsidRDefault="00A47803" w:rsidP="00A47803">
            <w:pPr>
              <w:pStyle w:val="BodyTextSMPC"/>
              <w:spacing w:after="0"/>
              <w:ind w:left="0"/>
              <w:jc w:val="left"/>
              <w:rPr>
                <w:sz w:val="22"/>
                <w:szCs w:val="22"/>
              </w:rPr>
            </w:pPr>
            <w:r w:rsidRPr="00A47803">
              <w:rPr>
                <w:sz w:val="22"/>
                <w:szCs w:val="22"/>
              </w:rPr>
              <w:t>(2.8%)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51ED8146" w14:textId="77777777" w:rsidR="00A47803" w:rsidRPr="00A47803" w:rsidRDefault="00A47803" w:rsidP="00A47803">
            <w:pPr>
              <w:pStyle w:val="BodyTextSMPC"/>
              <w:spacing w:after="0"/>
              <w:ind w:left="0"/>
              <w:jc w:val="left"/>
              <w:rPr>
                <w:sz w:val="22"/>
                <w:szCs w:val="22"/>
              </w:rPr>
            </w:pPr>
            <w:r w:rsidRPr="00A47803">
              <w:rPr>
                <w:sz w:val="22"/>
                <w:szCs w:val="22"/>
              </w:rPr>
              <w:t>53</w:t>
            </w:r>
          </w:p>
          <w:p w14:paraId="1F85443B" w14:textId="77777777" w:rsidR="00A47803" w:rsidRPr="00A47803" w:rsidRDefault="00A47803" w:rsidP="00A47803">
            <w:pPr>
              <w:pStyle w:val="BodyTextSMPC"/>
              <w:spacing w:after="0"/>
              <w:ind w:left="0"/>
              <w:jc w:val="left"/>
              <w:rPr>
                <w:sz w:val="22"/>
                <w:szCs w:val="22"/>
              </w:rPr>
            </w:pPr>
            <w:r w:rsidRPr="00A47803">
              <w:rPr>
                <w:sz w:val="22"/>
                <w:szCs w:val="22"/>
              </w:rPr>
              <w:t>(4.2%)</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56975131" w14:textId="77777777" w:rsidR="00A47803" w:rsidRPr="00A47803" w:rsidRDefault="00A47803" w:rsidP="00A47803">
            <w:pPr>
              <w:pStyle w:val="BodyTextSMPC"/>
              <w:spacing w:after="0"/>
              <w:ind w:left="0"/>
              <w:jc w:val="left"/>
              <w:rPr>
                <w:sz w:val="22"/>
                <w:szCs w:val="22"/>
              </w:rPr>
            </w:pPr>
            <w:r w:rsidRPr="00A47803">
              <w:rPr>
                <w:sz w:val="22"/>
                <w:szCs w:val="22"/>
              </w:rPr>
              <w:t>86</w:t>
            </w:r>
          </w:p>
          <w:p w14:paraId="0612A2C4" w14:textId="77777777" w:rsidR="00A47803" w:rsidRPr="00A47803" w:rsidRDefault="00A47803" w:rsidP="00A47803">
            <w:pPr>
              <w:pStyle w:val="BodyTextSMPC"/>
              <w:spacing w:after="0"/>
              <w:ind w:left="0"/>
              <w:jc w:val="left"/>
              <w:rPr>
                <w:sz w:val="22"/>
                <w:szCs w:val="22"/>
              </w:rPr>
            </w:pPr>
            <w:r w:rsidRPr="00A47803">
              <w:rPr>
                <w:sz w:val="22"/>
                <w:szCs w:val="22"/>
              </w:rPr>
              <w:t>(7.0%)</w:t>
            </w:r>
          </w:p>
        </w:tc>
      </w:tr>
      <w:tr w:rsidR="00A47803" w:rsidRPr="00A47803" w14:paraId="4EC9F3A1"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1B0EEFA1"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70BAFF5" w14:textId="77777777" w:rsidR="00A47803" w:rsidRPr="00A47803" w:rsidRDefault="00A47803" w:rsidP="00A47803">
            <w:pPr>
              <w:pStyle w:val="BodyTextSMPC"/>
              <w:spacing w:after="0"/>
              <w:ind w:left="0"/>
              <w:jc w:val="left"/>
              <w:rPr>
                <w:sz w:val="22"/>
                <w:szCs w:val="22"/>
              </w:rPr>
            </w:pPr>
            <w:r w:rsidRPr="00A47803">
              <w:rPr>
                <w:sz w:val="22"/>
                <w:szCs w:val="22"/>
              </w:rPr>
              <w:t>0.56 (0.47-0.67)</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66A13E3" w14:textId="77777777" w:rsidR="00A47803" w:rsidRPr="00A47803" w:rsidRDefault="00A47803" w:rsidP="00A47803">
            <w:pPr>
              <w:pStyle w:val="BodyTextSMPC"/>
              <w:spacing w:after="0"/>
              <w:ind w:left="0"/>
              <w:jc w:val="left"/>
              <w:rPr>
                <w:sz w:val="22"/>
                <w:szCs w:val="22"/>
              </w:rPr>
            </w:pPr>
            <w:r w:rsidRPr="00A47803">
              <w:rPr>
                <w:sz w:val="22"/>
                <w:szCs w:val="22"/>
              </w:rPr>
              <w:t>0.66 (0.54-0.81)</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E89A2B0" w14:textId="77777777" w:rsidR="00A47803" w:rsidRPr="00A47803" w:rsidRDefault="00A47803" w:rsidP="00A47803">
            <w:pPr>
              <w:pStyle w:val="BodyTextSMPC"/>
              <w:spacing w:after="0"/>
              <w:ind w:left="0"/>
              <w:jc w:val="left"/>
              <w:rPr>
                <w:sz w:val="22"/>
                <w:szCs w:val="22"/>
              </w:rPr>
            </w:pPr>
            <w:r w:rsidRPr="00A47803">
              <w:rPr>
                <w:sz w:val="22"/>
                <w:szCs w:val="22"/>
              </w:rPr>
              <w:t>0.38 (0.28-0.50)</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1330EC1" w14:textId="77777777" w:rsidR="00A47803" w:rsidRPr="00A47803" w:rsidRDefault="00A47803" w:rsidP="00A47803">
            <w:pPr>
              <w:pStyle w:val="BodyTextSMPC"/>
              <w:spacing w:after="0"/>
              <w:ind w:left="0"/>
              <w:jc w:val="left"/>
              <w:rPr>
                <w:sz w:val="22"/>
                <w:szCs w:val="22"/>
              </w:rPr>
            </w:pPr>
            <w:r w:rsidRPr="00A47803">
              <w:rPr>
                <w:sz w:val="22"/>
                <w:szCs w:val="22"/>
              </w:rPr>
              <w:t>0.61 (0.43-0.86)</w:t>
            </w:r>
          </w:p>
        </w:tc>
      </w:tr>
      <w:tr w:rsidR="00A47803" w:rsidRPr="00A47803" w14:paraId="2237CA8B"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4944885"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Oestrogen</w:t>
            </w:r>
            <w:proofErr w:type="spellEnd"/>
            <w:r w:rsidRPr="00A47803">
              <w:rPr>
                <w:sz w:val="22"/>
                <w:szCs w:val="22"/>
              </w:rPr>
              <w:t xml:space="preserve"> receptor- negative cancers</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37AEF8C6" w14:textId="77777777" w:rsidR="00A47803" w:rsidRPr="00A47803" w:rsidRDefault="00A47803" w:rsidP="00A47803">
            <w:pPr>
              <w:pStyle w:val="BodyTextSMPC"/>
              <w:spacing w:after="0"/>
              <w:ind w:left="0"/>
              <w:jc w:val="left"/>
              <w:rPr>
                <w:sz w:val="22"/>
                <w:szCs w:val="22"/>
              </w:rPr>
            </w:pPr>
            <w:r w:rsidRPr="00A47803">
              <w:rPr>
                <w:sz w:val="22"/>
                <w:szCs w:val="22"/>
              </w:rPr>
              <w:t>116</w:t>
            </w:r>
          </w:p>
          <w:p w14:paraId="4E8A9154"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34F635B5" w14:textId="77777777" w:rsidR="00A47803" w:rsidRPr="00A47803" w:rsidRDefault="00A47803" w:rsidP="00A47803">
            <w:pPr>
              <w:pStyle w:val="BodyTextSMPC"/>
              <w:spacing w:after="0"/>
              <w:ind w:left="0"/>
              <w:jc w:val="left"/>
              <w:rPr>
                <w:sz w:val="22"/>
                <w:szCs w:val="22"/>
              </w:rPr>
            </w:pPr>
            <w:r w:rsidRPr="00A47803">
              <w:rPr>
                <w:sz w:val="22"/>
                <w:szCs w:val="22"/>
              </w:rPr>
              <w:t>103</w:t>
            </w:r>
          </w:p>
          <w:p w14:paraId="647733B3" w14:textId="77777777" w:rsidR="00A47803" w:rsidRPr="00A47803" w:rsidRDefault="00A47803" w:rsidP="00A47803">
            <w:pPr>
              <w:pStyle w:val="BodyTextSMPC"/>
              <w:spacing w:after="0"/>
              <w:ind w:left="0"/>
              <w:jc w:val="left"/>
              <w:rPr>
                <w:sz w:val="22"/>
                <w:szCs w:val="22"/>
              </w:rPr>
            </w:pPr>
            <w:r w:rsidRPr="00A47803">
              <w:rPr>
                <w:sz w:val="22"/>
                <w:szCs w:val="22"/>
              </w:rPr>
              <w:t>(0.7%)</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4C0736CA" w14:textId="77777777" w:rsidR="00A47803" w:rsidRPr="00A47803" w:rsidRDefault="00A47803" w:rsidP="00A47803">
            <w:pPr>
              <w:pStyle w:val="BodyTextSMPC"/>
              <w:spacing w:after="0"/>
              <w:ind w:left="0"/>
              <w:jc w:val="left"/>
              <w:rPr>
                <w:sz w:val="22"/>
                <w:szCs w:val="22"/>
              </w:rPr>
            </w:pPr>
            <w:r w:rsidRPr="00A47803">
              <w:rPr>
                <w:sz w:val="22"/>
                <w:szCs w:val="22"/>
              </w:rPr>
              <w:t>50</w:t>
            </w:r>
          </w:p>
          <w:p w14:paraId="4BCDB847" w14:textId="77777777" w:rsidR="00A47803" w:rsidRPr="00A47803" w:rsidRDefault="00A47803" w:rsidP="00A47803">
            <w:pPr>
              <w:pStyle w:val="BodyTextSMPC"/>
              <w:spacing w:after="0"/>
              <w:ind w:left="0"/>
              <w:jc w:val="left"/>
              <w:rPr>
                <w:sz w:val="22"/>
                <w:szCs w:val="22"/>
              </w:rPr>
            </w:pPr>
            <w:r w:rsidRPr="00A47803">
              <w:rPr>
                <w:sz w:val="22"/>
                <w:szCs w:val="22"/>
              </w:rPr>
              <w:t>(1.4%)</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2E234DEA" w14:textId="77777777" w:rsidR="00A47803" w:rsidRPr="00A47803" w:rsidRDefault="00A47803" w:rsidP="00A47803">
            <w:pPr>
              <w:pStyle w:val="BodyTextSMPC"/>
              <w:spacing w:after="0"/>
              <w:ind w:left="0"/>
              <w:jc w:val="left"/>
              <w:rPr>
                <w:sz w:val="22"/>
                <w:szCs w:val="22"/>
              </w:rPr>
            </w:pPr>
            <w:r w:rsidRPr="00A47803">
              <w:rPr>
                <w:sz w:val="22"/>
                <w:szCs w:val="22"/>
              </w:rPr>
              <w:t>47</w:t>
            </w:r>
          </w:p>
          <w:p w14:paraId="1B70E6D9" w14:textId="77777777" w:rsidR="00A47803" w:rsidRPr="00A47803" w:rsidRDefault="00A47803" w:rsidP="00A47803">
            <w:pPr>
              <w:pStyle w:val="BodyTextSMPC"/>
              <w:spacing w:after="0"/>
              <w:ind w:left="0"/>
              <w:jc w:val="left"/>
              <w:rPr>
                <w:sz w:val="22"/>
                <w:szCs w:val="22"/>
              </w:rPr>
            </w:pPr>
            <w:r w:rsidRPr="00A47803">
              <w:rPr>
                <w:sz w:val="22"/>
                <w:szCs w:val="22"/>
              </w:rPr>
              <w:t>(1.3%)</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5554C854" w14:textId="77777777" w:rsidR="00A47803" w:rsidRPr="00A47803" w:rsidRDefault="00A47803" w:rsidP="00A47803">
            <w:pPr>
              <w:pStyle w:val="BodyTextSMPC"/>
              <w:spacing w:after="0"/>
              <w:ind w:left="0"/>
              <w:jc w:val="left"/>
              <w:rPr>
                <w:sz w:val="22"/>
                <w:szCs w:val="22"/>
              </w:rPr>
            </w:pPr>
            <w:r w:rsidRPr="00A47803">
              <w:rPr>
                <w:sz w:val="22"/>
                <w:szCs w:val="22"/>
              </w:rPr>
              <w:t>56</w:t>
            </w:r>
          </w:p>
          <w:p w14:paraId="309632E1"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0D2ABEF4" w14:textId="77777777" w:rsidR="00A47803" w:rsidRPr="00A47803" w:rsidRDefault="00A47803" w:rsidP="00A47803">
            <w:pPr>
              <w:pStyle w:val="BodyTextSMPC"/>
              <w:spacing w:after="0"/>
              <w:ind w:left="0"/>
              <w:jc w:val="left"/>
              <w:rPr>
                <w:sz w:val="22"/>
                <w:szCs w:val="22"/>
              </w:rPr>
            </w:pPr>
            <w:r w:rsidRPr="00A47803">
              <w:rPr>
                <w:sz w:val="22"/>
                <w:szCs w:val="22"/>
              </w:rPr>
              <w:t>42</w:t>
            </w:r>
          </w:p>
          <w:p w14:paraId="3BEC489E" w14:textId="77777777" w:rsidR="00A47803" w:rsidRPr="00A47803" w:rsidRDefault="00A47803" w:rsidP="00A47803">
            <w:pPr>
              <w:pStyle w:val="BodyTextSMPC"/>
              <w:spacing w:after="0"/>
              <w:ind w:left="0"/>
              <w:jc w:val="left"/>
              <w:rPr>
                <w:sz w:val="22"/>
                <w:szCs w:val="22"/>
              </w:rPr>
            </w:pPr>
            <w:r w:rsidRPr="00A47803">
              <w:rPr>
                <w:sz w:val="22"/>
                <w:szCs w:val="22"/>
              </w:rPr>
              <w:t>(0.6%)</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72AAB527" w14:textId="77777777" w:rsidR="00A47803" w:rsidRPr="00A47803" w:rsidRDefault="00A47803" w:rsidP="00A47803">
            <w:pPr>
              <w:pStyle w:val="BodyTextSMPC"/>
              <w:spacing w:after="0"/>
              <w:ind w:left="0"/>
              <w:jc w:val="left"/>
              <w:rPr>
                <w:sz w:val="22"/>
                <w:szCs w:val="22"/>
              </w:rPr>
            </w:pPr>
            <w:r w:rsidRPr="00A47803">
              <w:rPr>
                <w:sz w:val="22"/>
                <w:szCs w:val="22"/>
              </w:rPr>
              <w:t>24</w:t>
            </w:r>
          </w:p>
          <w:p w14:paraId="19F49E9E" w14:textId="77777777" w:rsidR="00A47803" w:rsidRPr="00A47803" w:rsidRDefault="00A47803" w:rsidP="00A47803">
            <w:pPr>
              <w:pStyle w:val="BodyTextSMPC"/>
              <w:spacing w:after="0"/>
              <w:ind w:left="0"/>
              <w:jc w:val="left"/>
              <w:rPr>
                <w:sz w:val="22"/>
                <w:szCs w:val="22"/>
              </w:rPr>
            </w:pPr>
            <w:r w:rsidRPr="00A47803">
              <w:rPr>
                <w:sz w:val="22"/>
                <w:szCs w:val="22"/>
              </w:rPr>
              <w:t>(1.9%)</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5875DA34" w14:textId="77777777" w:rsidR="00A47803" w:rsidRPr="00A47803" w:rsidRDefault="00A47803" w:rsidP="00A47803">
            <w:pPr>
              <w:pStyle w:val="BodyTextSMPC"/>
              <w:spacing w:after="0"/>
              <w:ind w:left="0"/>
              <w:jc w:val="left"/>
              <w:rPr>
                <w:sz w:val="22"/>
                <w:szCs w:val="22"/>
              </w:rPr>
            </w:pPr>
            <w:r w:rsidRPr="00A47803">
              <w:rPr>
                <w:sz w:val="22"/>
                <w:szCs w:val="22"/>
              </w:rPr>
              <w:t>17</w:t>
            </w:r>
          </w:p>
          <w:p w14:paraId="3C40EFAE" w14:textId="77777777" w:rsidR="00A47803" w:rsidRPr="00A47803" w:rsidRDefault="00A47803" w:rsidP="00A47803">
            <w:pPr>
              <w:pStyle w:val="BodyTextSMPC"/>
              <w:spacing w:after="0"/>
              <w:ind w:left="0"/>
              <w:jc w:val="left"/>
              <w:rPr>
                <w:sz w:val="22"/>
                <w:szCs w:val="22"/>
              </w:rPr>
            </w:pPr>
            <w:r w:rsidRPr="00A47803">
              <w:rPr>
                <w:sz w:val="22"/>
                <w:szCs w:val="22"/>
              </w:rPr>
              <w:t>(1.4%)</w:t>
            </w:r>
          </w:p>
        </w:tc>
      </w:tr>
      <w:tr w:rsidR="00A47803" w:rsidRPr="00A47803" w14:paraId="41696F24"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5161F24A"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598D8C6" w14:textId="77777777" w:rsidR="00A47803" w:rsidRPr="00A47803" w:rsidRDefault="00A47803" w:rsidP="00A47803">
            <w:pPr>
              <w:pStyle w:val="BodyTextSMPC"/>
              <w:spacing w:after="0"/>
              <w:ind w:left="0"/>
              <w:jc w:val="left"/>
              <w:rPr>
                <w:sz w:val="22"/>
                <w:szCs w:val="22"/>
              </w:rPr>
            </w:pPr>
            <w:r w:rsidRPr="00A47803">
              <w:rPr>
                <w:sz w:val="22"/>
                <w:szCs w:val="22"/>
              </w:rPr>
              <w:t>1.13 (0.86-1.49)</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3C1003E" w14:textId="77777777" w:rsidR="00A47803" w:rsidRPr="00A47803" w:rsidRDefault="00A47803" w:rsidP="00A47803">
            <w:pPr>
              <w:pStyle w:val="BodyTextSMPC"/>
              <w:spacing w:after="0"/>
              <w:ind w:left="0"/>
              <w:jc w:val="left"/>
              <w:rPr>
                <w:sz w:val="22"/>
                <w:szCs w:val="22"/>
              </w:rPr>
            </w:pPr>
            <w:r w:rsidRPr="00A47803">
              <w:rPr>
                <w:sz w:val="22"/>
                <w:szCs w:val="22"/>
              </w:rPr>
              <w:t>1.05 (0.71-1.57)</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E331BF8" w14:textId="77777777" w:rsidR="00A47803" w:rsidRPr="00A47803" w:rsidRDefault="00A47803" w:rsidP="00A47803">
            <w:pPr>
              <w:pStyle w:val="BodyTextSMPC"/>
              <w:spacing w:after="0"/>
              <w:ind w:left="0"/>
              <w:jc w:val="left"/>
              <w:rPr>
                <w:sz w:val="22"/>
                <w:szCs w:val="22"/>
              </w:rPr>
            </w:pPr>
            <w:r w:rsidRPr="00A47803">
              <w:rPr>
                <w:sz w:val="22"/>
                <w:szCs w:val="22"/>
              </w:rPr>
              <w:t>1.31 (0.86-2.01)</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9C4E3F0" w14:textId="77777777" w:rsidR="00A47803" w:rsidRPr="00A47803" w:rsidRDefault="00A47803" w:rsidP="00A47803">
            <w:pPr>
              <w:pStyle w:val="BodyTextSMPC"/>
              <w:spacing w:after="0"/>
              <w:ind w:left="0"/>
              <w:jc w:val="left"/>
              <w:rPr>
                <w:sz w:val="22"/>
                <w:szCs w:val="22"/>
              </w:rPr>
            </w:pPr>
            <w:r w:rsidRPr="00A47803">
              <w:rPr>
                <w:sz w:val="22"/>
                <w:szCs w:val="22"/>
              </w:rPr>
              <w:t>1.4 (0.7-2.6)</w:t>
            </w:r>
          </w:p>
        </w:tc>
      </w:tr>
      <w:tr w:rsidR="00A47803" w:rsidRPr="00A47803" w14:paraId="1ADA8421"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4D982B6"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All cause</w:t>
            </w:r>
            <w:proofErr w:type="spellEnd"/>
            <w:r w:rsidRPr="00A47803">
              <w:rPr>
                <w:sz w:val="22"/>
                <w:szCs w:val="22"/>
              </w:rPr>
              <w:t xml:space="preserve"> mortality</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2778304C" w14:textId="77777777" w:rsidR="00A47803" w:rsidRPr="00A47803" w:rsidRDefault="00A47803" w:rsidP="00A47803">
            <w:pPr>
              <w:pStyle w:val="BodyTextSMPC"/>
              <w:spacing w:after="0"/>
              <w:ind w:left="0"/>
              <w:jc w:val="left"/>
              <w:rPr>
                <w:sz w:val="22"/>
                <w:szCs w:val="22"/>
              </w:rPr>
            </w:pPr>
            <w:r w:rsidRPr="00A47803">
              <w:rPr>
                <w:sz w:val="22"/>
                <w:szCs w:val="22"/>
              </w:rPr>
              <w:t>1038</w:t>
            </w:r>
          </w:p>
          <w:p w14:paraId="48E1A595" w14:textId="77777777" w:rsidR="00A47803" w:rsidRPr="00A47803" w:rsidRDefault="00A47803" w:rsidP="00A47803">
            <w:pPr>
              <w:pStyle w:val="BodyTextSMPC"/>
              <w:spacing w:after="0"/>
              <w:ind w:left="0"/>
              <w:jc w:val="left"/>
              <w:rPr>
                <w:sz w:val="22"/>
                <w:szCs w:val="22"/>
              </w:rPr>
            </w:pPr>
            <w:r w:rsidRPr="00A47803">
              <w:rPr>
                <w:sz w:val="22"/>
                <w:szCs w:val="22"/>
              </w:rPr>
              <w:t>(2.3%*)</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139A1408" w14:textId="77777777" w:rsidR="00A47803" w:rsidRPr="00A47803" w:rsidRDefault="00A47803" w:rsidP="00A47803">
            <w:pPr>
              <w:pStyle w:val="BodyTextSMPC"/>
              <w:spacing w:after="0"/>
              <w:ind w:left="0"/>
              <w:jc w:val="left"/>
              <w:rPr>
                <w:sz w:val="22"/>
                <w:szCs w:val="22"/>
              </w:rPr>
            </w:pPr>
            <w:r w:rsidRPr="00A47803">
              <w:rPr>
                <w:sz w:val="22"/>
                <w:szCs w:val="22"/>
              </w:rPr>
              <w:t>1050</w:t>
            </w:r>
          </w:p>
          <w:p w14:paraId="18FF34A6" w14:textId="77777777" w:rsidR="00A47803" w:rsidRPr="00A47803" w:rsidRDefault="00A47803" w:rsidP="00A47803">
            <w:pPr>
              <w:pStyle w:val="BodyTextSMPC"/>
              <w:spacing w:after="0"/>
              <w:ind w:left="0"/>
              <w:jc w:val="left"/>
              <w:rPr>
                <w:sz w:val="22"/>
                <w:szCs w:val="22"/>
              </w:rPr>
            </w:pPr>
            <w:r w:rsidRPr="00A47803">
              <w:rPr>
                <w:sz w:val="22"/>
                <w:szCs w:val="22"/>
              </w:rPr>
              <w:t>(2.5%*)</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1193918F" w14:textId="77777777" w:rsidR="00A47803" w:rsidRPr="00A47803" w:rsidRDefault="00A47803" w:rsidP="00A47803">
            <w:pPr>
              <w:pStyle w:val="BodyTextSMPC"/>
              <w:spacing w:after="0"/>
              <w:ind w:left="0"/>
              <w:jc w:val="left"/>
              <w:rPr>
                <w:sz w:val="22"/>
                <w:szCs w:val="22"/>
              </w:rPr>
            </w:pPr>
            <w:r w:rsidRPr="00A47803">
              <w:rPr>
                <w:sz w:val="22"/>
                <w:szCs w:val="22"/>
              </w:rPr>
              <w:t>182</w:t>
            </w:r>
          </w:p>
          <w:p w14:paraId="6543D8D7" w14:textId="77777777" w:rsidR="00A47803" w:rsidRPr="00A47803" w:rsidRDefault="00A47803" w:rsidP="00A47803">
            <w:pPr>
              <w:pStyle w:val="BodyTextSMPC"/>
              <w:spacing w:after="0"/>
              <w:ind w:left="0"/>
              <w:jc w:val="left"/>
              <w:rPr>
                <w:sz w:val="22"/>
                <w:szCs w:val="22"/>
              </w:rPr>
            </w:pPr>
            <w:r w:rsidRPr="00A47803">
              <w:rPr>
                <w:sz w:val="22"/>
                <w:szCs w:val="22"/>
              </w:rPr>
              <w:t>(5.1%)</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76E28B4A" w14:textId="77777777" w:rsidR="00A47803" w:rsidRPr="00A47803" w:rsidRDefault="00A47803" w:rsidP="00A47803">
            <w:pPr>
              <w:pStyle w:val="BodyTextSMPC"/>
              <w:spacing w:after="0"/>
              <w:ind w:left="0"/>
              <w:jc w:val="left"/>
              <w:rPr>
                <w:sz w:val="22"/>
                <w:szCs w:val="22"/>
              </w:rPr>
            </w:pPr>
            <w:r w:rsidRPr="00A47803">
              <w:rPr>
                <w:sz w:val="22"/>
                <w:szCs w:val="22"/>
              </w:rPr>
              <w:t>166</w:t>
            </w:r>
          </w:p>
          <w:p w14:paraId="6C069841" w14:textId="77777777" w:rsidR="00A47803" w:rsidRPr="00A47803" w:rsidRDefault="00A47803" w:rsidP="00A47803">
            <w:pPr>
              <w:pStyle w:val="BodyTextSMPC"/>
              <w:spacing w:after="0"/>
              <w:ind w:left="0"/>
              <w:jc w:val="left"/>
              <w:rPr>
                <w:sz w:val="22"/>
                <w:szCs w:val="22"/>
              </w:rPr>
            </w:pPr>
            <w:r w:rsidRPr="00A47803">
              <w:rPr>
                <w:sz w:val="22"/>
                <w:szCs w:val="22"/>
              </w:rPr>
              <w:t>(4.6%)</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540BF7EA" w14:textId="77777777" w:rsidR="00A47803" w:rsidRPr="00A47803" w:rsidRDefault="00A47803" w:rsidP="00A47803">
            <w:pPr>
              <w:pStyle w:val="BodyTextSMPC"/>
              <w:spacing w:after="0"/>
              <w:ind w:left="0"/>
              <w:jc w:val="left"/>
              <w:rPr>
                <w:sz w:val="22"/>
                <w:szCs w:val="22"/>
              </w:rPr>
            </w:pPr>
            <w:r w:rsidRPr="00A47803">
              <w:rPr>
                <w:sz w:val="22"/>
                <w:szCs w:val="22"/>
              </w:rPr>
              <w:t>126</w:t>
            </w:r>
          </w:p>
          <w:p w14:paraId="6A32A10D" w14:textId="77777777" w:rsidR="00A47803" w:rsidRPr="00A47803" w:rsidRDefault="00A47803" w:rsidP="00A47803">
            <w:pPr>
              <w:pStyle w:val="BodyTextSMPC"/>
              <w:spacing w:after="0"/>
              <w:ind w:left="0"/>
              <w:jc w:val="left"/>
              <w:rPr>
                <w:sz w:val="22"/>
                <w:szCs w:val="22"/>
              </w:rPr>
            </w:pPr>
            <w:r w:rsidRPr="00A47803">
              <w:rPr>
                <w:sz w:val="22"/>
                <w:szCs w:val="22"/>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33594FC8" w14:textId="77777777" w:rsidR="00A47803" w:rsidRPr="00A47803" w:rsidRDefault="00A47803" w:rsidP="00A47803">
            <w:pPr>
              <w:pStyle w:val="BodyTextSMPC"/>
              <w:spacing w:after="0"/>
              <w:ind w:left="0"/>
              <w:jc w:val="left"/>
              <w:rPr>
                <w:sz w:val="22"/>
                <w:szCs w:val="22"/>
              </w:rPr>
            </w:pPr>
            <w:r w:rsidRPr="00A47803">
              <w:rPr>
                <w:sz w:val="22"/>
                <w:szCs w:val="22"/>
              </w:rPr>
              <w:t>114</w:t>
            </w:r>
          </w:p>
          <w:p w14:paraId="04568041" w14:textId="77777777" w:rsidR="00A47803" w:rsidRPr="00A47803" w:rsidRDefault="00A47803" w:rsidP="00A47803">
            <w:pPr>
              <w:pStyle w:val="BodyTextSMPC"/>
              <w:spacing w:after="0"/>
              <w:ind w:left="0"/>
              <w:jc w:val="left"/>
              <w:rPr>
                <w:sz w:val="22"/>
                <w:szCs w:val="22"/>
              </w:rPr>
            </w:pPr>
            <w:r w:rsidRPr="00A47803">
              <w:rPr>
                <w:sz w:val="22"/>
                <w:szCs w:val="22"/>
              </w:rPr>
              <w:t>(1.7%)</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0582F3DE" w14:textId="77777777" w:rsidR="00A47803" w:rsidRPr="00A47803" w:rsidRDefault="00A47803" w:rsidP="00A47803">
            <w:pPr>
              <w:pStyle w:val="BodyTextSMPC"/>
              <w:spacing w:after="0"/>
              <w:ind w:left="0"/>
              <w:jc w:val="left"/>
              <w:rPr>
                <w:sz w:val="22"/>
                <w:szCs w:val="22"/>
              </w:rPr>
            </w:pPr>
            <w:r w:rsidRPr="00A47803">
              <w:rPr>
                <w:sz w:val="22"/>
                <w:szCs w:val="22"/>
              </w:rPr>
              <w:t>54</w:t>
            </w:r>
          </w:p>
          <w:p w14:paraId="0BD22C3F" w14:textId="77777777" w:rsidR="00A47803" w:rsidRPr="00A47803" w:rsidRDefault="00A47803" w:rsidP="00A47803">
            <w:pPr>
              <w:pStyle w:val="BodyTextSMPC"/>
              <w:spacing w:after="0"/>
              <w:ind w:left="0"/>
              <w:jc w:val="left"/>
              <w:rPr>
                <w:sz w:val="22"/>
                <w:szCs w:val="22"/>
              </w:rPr>
            </w:pPr>
            <w:r w:rsidRPr="00A47803">
              <w:rPr>
                <w:sz w:val="22"/>
                <w:szCs w:val="22"/>
              </w:rPr>
              <w:t>(4.3%)</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18F820E4" w14:textId="77777777" w:rsidR="00A47803" w:rsidRPr="00A47803" w:rsidRDefault="00A47803" w:rsidP="00A47803">
            <w:pPr>
              <w:pStyle w:val="BodyTextSMPC"/>
              <w:spacing w:after="0"/>
              <w:ind w:left="0"/>
              <w:jc w:val="left"/>
              <w:rPr>
                <w:sz w:val="22"/>
                <w:szCs w:val="22"/>
              </w:rPr>
            </w:pPr>
            <w:r w:rsidRPr="00A47803">
              <w:rPr>
                <w:sz w:val="22"/>
                <w:szCs w:val="22"/>
              </w:rPr>
              <w:t>54</w:t>
            </w:r>
          </w:p>
          <w:p w14:paraId="0212808E" w14:textId="77777777" w:rsidR="00A47803" w:rsidRPr="00A47803" w:rsidRDefault="00A47803" w:rsidP="00A47803">
            <w:pPr>
              <w:pStyle w:val="BodyTextSMPC"/>
              <w:spacing w:after="0"/>
              <w:ind w:left="0"/>
              <w:jc w:val="left"/>
              <w:rPr>
                <w:sz w:val="22"/>
                <w:szCs w:val="22"/>
              </w:rPr>
            </w:pPr>
            <w:r w:rsidRPr="00A47803">
              <w:rPr>
                <w:sz w:val="22"/>
                <w:szCs w:val="22"/>
              </w:rPr>
              <w:t>(4.3%)</w:t>
            </w:r>
          </w:p>
        </w:tc>
      </w:tr>
      <w:tr w:rsidR="00A47803" w:rsidRPr="00A47803" w14:paraId="033C9A3B"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4C0BB6D6"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8722035" w14:textId="77777777" w:rsidR="00A47803" w:rsidRPr="00A47803" w:rsidRDefault="00A47803" w:rsidP="00A47803">
            <w:pPr>
              <w:pStyle w:val="BodyTextSMPC"/>
              <w:spacing w:after="0"/>
              <w:ind w:left="0"/>
              <w:jc w:val="left"/>
              <w:rPr>
                <w:sz w:val="22"/>
                <w:szCs w:val="22"/>
              </w:rPr>
            </w:pPr>
            <w:r w:rsidRPr="00A47803">
              <w:rPr>
                <w:sz w:val="22"/>
                <w:szCs w:val="22"/>
              </w:rPr>
              <w:t>0· 98*</w:t>
            </w:r>
          </w:p>
          <w:p w14:paraId="4D4A83BE" w14:textId="77777777" w:rsidR="00A47803" w:rsidRPr="00A47803" w:rsidRDefault="00A47803" w:rsidP="00A47803">
            <w:pPr>
              <w:pStyle w:val="BodyTextSMPC"/>
              <w:spacing w:after="0"/>
              <w:ind w:left="0"/>
              <w:jc w:val="left"/>
              <w:rPr>
                <w:sz w:val="22"/>
                <w:szCs w:val="22"/>
              </w:rPr>
            </w:pPr>
            <w:r w:rsidRPr="00A47803">
              <w:rPr>
                <w:sz w:val="22"/>
                <w:szCs w:val="22"/>
              </w:rPr>
              <w:t>(0· 90– 1· 06)</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EACFED8" w14:textId="77777777" w:rsidR="00A47803" w:rsidRPr="00A47803" w:rsidRDefault="00A47803" w:rsidP="00A47803">
            <w:pPr>
              <w:pStyle w:val="BodyTextSMPC"/>
              <w:spacing w:after="0"/>
              <w:ind w:left="0"/>
              <w:jc w:val="left"/>
              <w:rPr>
                <w:sz w:val="22"/>
                <w:szCs w:val="22"/>
              </w:rPr>
            </w:pPr>
            <w:r w:rsidRPr="00A47803">
              <w:rPr>
                <w:sz w:val="22"/>
                <w:szCs w:val="22"/>
              </w:rPr>
              <w:t>OR 1· 10</w:t>
            </w:r>
          </w:p>
          <w:p w14:paraId="0DB970C0" w14:textId="77777777" w:rsidR="00A47803" w:rsidRPr="00A47803" w:rsidRDefault="00A47803" w:rsidP="00A47803">
            <w:pPr>
              <w:pStyle w:val="BodyTextSMPC"/>
              <w:spacing w:after="0"/>
              <w:ind w:left="0"/>
              <w:jc w:val="left"/>
              <w:rPr>
                <w:sz w:val="22"/>
                <w:szCs w:val="22"/>
              </w:rPr>
            </w:pPr>
            <w:r w:rsidRPr="00A47803">
              <w:rPr>
                <w:sz w:val="22"/>
                <w:szCs w:val="22"/>
              </w:rPr>
              <w:t>(0· 88– 1· 37)</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E2725C8" w14:textId="77777777" w:rsidR="00A47803" w:rsidRPr="00A47803" w:rsidRDefault="00A47803" w:rsidP="00A47803">
            <w:pPr>
              <w:pStyle w:val="BodyTextSMPC"/>
              <w:spacing w:after="0"/>
              <w:ind w:left="0"/>
              <w:jc w:val="left"/>
              <w:rPr>
                <w:sz w:val="22"/>
                <w:szCs w:val="22"/>
              </w:rPr>
            </w:pPr>
            <w:r w:rsidRPr="00A47803">
              <w:rPr>
                <w:sz w:val="22"/>
                <w:szCs w:val="22"/>
              </w:rPr>
              <w:t>RR 1.10</w:t>
            </w:r>
          </w:p>
          <w:p w14:paraId="5EE12DB1" w14:textId="77777777" w:rsidR="00A47803" w:rsidRPr="00A47803" w:rsidRDefault="00A47803" w:rsidP="00A47803">
            <w:pPr>
              <w:pStyle w:val="BodyTextSMPC"/>
              <w:spacing w:after="0"/>
              <w:ind w:left="0"/>
              <w:jc w:val="left"/>
              <w:rPr>
                <w:sz w:val="22"/>
                <w:szCs w:val="22"/>
              </w:rPr>
            </w:pPr>
            <w:r w:rsidRPr="00A47803">
              <w:rPr>
                <w:sz w:val="22"/>
                <w:szCs w:val="22"/>
              </w:rPr>
              <w:t>(0.85-1.43)</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FA2B670" w14:textId="77777777" w:rsidR="00A47803" w:rsidRPr="00A47803" w:rsidRDefault="00A47803" w:rsidP="00A47803">
            <w:pPr>
              <w:pStyle w:val="BodyTextSMPC"/>
              <w:spacing w:after="0"/>
              <w:ind w:left="0"/>
              <w:jc w:val="left"/>
              <w:rPr>
                <w:sz w:val="22"/>
                <w:szCs w:val="22"/>
              </w:rPr>
            </w:pPr>
            <w:r w:rsidRPr="00A47803">
              <w:rPr>
                <w:sz w:val="22"/>
                <w:szCs w:val="22"/>
              </w:rPr>
              <w:t>0.99</w:t>
            </w:r>
          </w:p>
          <w:p w14:paraId="203DF068" w14:textId="77777777" w:rsidR="00A47803" w:rsidRPr="00A47803" w:rsidRDefault="00A47803" w:rsidP="00A47803">
            <w:pPr>
              <w:pStyle w:val="BodyTextSMPC"/>
              <w:spacing w:after="0"/>
              <w:ind w:left="0"/>
              <w:jc w:val="left"/>
              <w:rPr>
                <w:sz w:val="22"/>
                <w:szCs w:val="22"/>
              </w:rPr>
            </w:pPr>
            <w:r w:rsidRPr="00A47803">
              <w:rPr>
                <w:sz w:val="22"/>
                <w:szCs w:val="22"/>
              </w:rPr>
              <w:t>(0.68-1.44)</w:t>
            </w:r>
          </w:p>
        </w:tc>
      </w:tr>
      <w:tr w:rsidR="00A47803" w:rsidRPr="00A47803" w14:paraId="3986F657"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6F571BF" w14:textId="77777777" w:rsidR="00A47803" w:rsidRPr="00A47803" w:rsidRDefault="00A47803" w:rsidP="00A47803">
            <w:pPr>
              <w:pStyle w:val="BodyTextSMPC"/>
              <w:spacing w:after="0"/>
              <w:ind w:left="0"/>
              <w:jc w:val="left"/>
              <w:rPr>
                <w:sz w:val="22"/>
                <w:szCs w:val="22"/>
              </w:rPr>
            </w:pPr>
            <w:r w:rsidRPr="00A47803">
              <w:rPr>
                <w:sz w:val="22"/>
                <w:szCs w:val="22"/>
              </w:rPr>
              <w:t>Breast cancer mortality</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51197B96" w14:textId="77777777" w:rsidR="00A47803" w:rsidRPr="00A47803" w:rsidRDefault="00A47803" w:rsidP="00A47803">
            <w:pPr>
              <w:pStyle w:val="BodyTextSMPC"/>
              <w:spacing w:after="0"/>
              <w:ind w:left="0"/>
              <w:jc w:val="left"/>
              <w:rPr>
                <w:sz w:val="22"/>
                <w:szCs w:val="22"/>
              </w:rPr>
            </w:pPr>
            <w:r w:rsidRPr="00A47803">
              <w:rPr>
                <w:sz w:val="22"/>
                <w:szCs w:val="22"/>
              </w:rPr>
              <w:t>30</w:t>
            </w:r>
          </w:p>
          <w:p w14:paraId="59A71A1C" w14:textId="77777777" w:rsidR="00A47803" w:rsidRPr="00A47803" w:rsidRDefault="00A47803" w:rsidP="00A47803">
            <w:pPr>
              <w:pStyle w:val="BodyTextSMPC"/>
              <w:spacing w:after="0"/>
              <w:ind w:left="0"/>
              <w:jc w:val="left"/>
              <w:rPr>
                <w:sz w:val="22"/>
                <w:szCs w:val="22"/>
              </w:rPr>
            </w:pPr>
            <w:r w:rsidRPr="00A47803">
              <w:rPr>
                <w:sz w:val="22"/>
                <w:szCs w:val="22"/>
              </w:rPr>
              <w:t>(0.07%*)</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7AA17E3C" w14:textId="77777777" w:rsidR="00A47803" w:rsidRPr="00A47803" w:rsidRDefault="00A47803" w:rsidP="00A47803">
            <w:pPr>
              <w:pStyle w:val="BodyTextSMPC"/>
              <w:spacing w:after="0"/>
              <w:ind w:left="0"/>
              <w:jc w:val="left"/>
              <w:rPr>
                <w:sz w:val="22"/>
                <w:szCs w:val="22"/>
              </w:rPr>
            </w:pPr>
            <w:r w:rsidRPr="00A47803">
              <w:rPr>
                <w:sz w:val="22"/>
                <w:szCs w:val="22"/>
              </w:rPr>
              <w:t>29</w:t>
            </w:r>
          </w:p>
          <w:p w14:paraId="2074AA60" w14:textId="77777777" w:rsidR="00A47803" w:rsidRPr="00A47803" w:rsidRDefault="00A47803" w:rsidP="00A47803">
            <w:pPr>
              <w:pStyle w:val="BodyTextSMPC"/>
              <w:spacing w:after="0"/>
              <w:ind w:left="0"/>
              <w:jc w:val="left"/>
              <w:rPr>
                <w:sz w:val="22"/>
                <w:szCs w:val="22"/>
              </w:rPr>
            </w:pPr>
            <w:r w:rsidRPr="00A47803">
              <w:rPr>
                <w:sz w:val="22"/>
                <w:szCs w:val="22"/>
              </w:rPr>
              <w:t>(0.07%*)</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36B8F1FA" w14:textId="77777777" w:rsidR="00A47803" w:rsidRPr="00A47803" w:rsidRDefault="00A47803" w:rsidP="00A47803">
            <w:pPr>
              <w:pStyle w:val="BodyTextSMPC"/>
              <w:spacing w:after="0"/>
              <w:ind w:left="0"/>
              <w:jc w:val="left"/>
              <w:rPr>
                <w:sz w:val="22"/>
                <w:szCs w:val="22"/>
              </w:rPr>
            </w:pPr>
            <w:r w:rsidRPr="00A47803">
              <w:rPr>
                <w:sz w:val="22"/>
                <w:szCs w:val="22"/>
              </w:rPr>
              <w:t>31</w:t>
            </w:r>
          </w:p>
          <w:p w14:paraId="7027DA23" w14:textId="77777777" w:rsidR="00A47803" w:rsidRPr="00A47803" w:rsidRDefault="00A47803" w:rsidP="00A47803">
            <w:pPr>
              <w:pStyle w:val="BodyTextSMPC"/>
              <w:spacing w:after="0"/>
              <w:ind w:left="0"/>
              <w:jc w:val="left"/>
              <w:rPr>
                <w:sz w:val="22"/>
                <w:szCs w:val="22"/>
              </w:rPr>
            </w:pPr>
            <w:r w:rsidRPr="00A47803">
              <w:rPr>
                <w:sz w:val="22"/>
                <w:szCs w:val="22"/>
              </w:rPr>
              <w:t>(0.9%)</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43E85425" w14:textId="77777777" w:rsidR="00A47803" w:rsidRPr="00A47803" w:rsidRDefault="00A47803" w:rsidP="00A47803">
            <w:pPr>
              <w:pStyle w:val="BodyTextSMPC"/>
              <w:spacing w:after="0"/>
              <w:ind w:left="0"/>
              <w:jc w:val="left"/>
              <w:rPr>
                <w:sz w:val="22"/>
                <w:szCs w:val="22"/>
              </w:rPr>
            </w:pPr>
            <w:r w:rsidRPr="00A47803">
              <w:rPr>
                <w:sz w:val="22"/>
                <w:szCs w:val="22"/>
              </w:rPr>
              <w:t>26</w:t>
            </w:r>
          </w:p>
          <w:p w14:paraId="42F0EAC7" w14:textId="77777777" w:rsidR="00A47803" w:rsidRPr="00A47803" w:rsidRDefault="00A47803" w:rsidP="00A47803">
            <w:pPr>
              <w:pStyle w:val="BodyTextSMPC"/>
              <w:spacing w:after="0"/>
              <w:ind w:left="0"/>
              <w:jc w:val="left"/>
              <w:rPr>
                <w:sz w:val="22"/>
                <w:szCs w:val="22"/>
              </w:rPr>
            </w:pPr>
            <w:r w:rsidRPr="00A47803">
              <w:rPr>
                <w:sz w:val="22"/>
                <w:szCs w:val="22"/>
              </w:rPr>
              <w:t>(1.0%)</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2F6BBE3E" w14:textId="77777777" w:rsidR="00A47803" w:rsidRPr="00A47803" w:rsidRDefault="00A47803" w:rsidP="00A47803">
            <w:pPr>
              <w:pStyle w:val="BodyTextSMPC"/>
              <w:spacing w:after="0"/>
              <w:ind w:left="0"/>
              <w:jc w:val="left"/>
              <w:rPr>
                <w:sz w:val="22"/>
                <w:szCs w:val="22"/>
              </w:rPr>
            </w:pPr>
            <w:r w:rsidRPr="00A47803">
              <w:rPr>
                <w:sz w:val="22"/>
                <w:szCs w:val="22"/>
              </w:rPr>
              <w:t>12</w:t>
            </w:r>
          </w:p>
          <w:p w14:paraId="536E2438" w14:textId="77777777" w:rsidR="00A47803" w:rsidRPr="00A47803" w:rsidRDefault="00A47803" w:rsidP="00A47803">
            <w:pPr>
              <w:pStyle w:val="BodyTextSMPC"/>
              <w:spacing w:after="0"/>
              <w:ind w:left="0"/>
              <w:jc w:val="left"/>
              <w:rPr>
                <w:sz w:val="22"/>
                <w:szCs w:val="22"/>
              </w:rPr>
            </w:pPr>
            <w:r w:rsidRPr="00A47803">
              <w:rPr>
                <w:sz w:val="22"/>
                <w:szCs w:val="22"/>
              </w:rPr>
              <w:t>(0.2%)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43704E10" w14:textId="77777777" w:rsidR="00A47803" w:rsidRPr="00A47803" w:rsidRDefault="00A47803" w:rsidP="00A47803">
            <w:pPr>
              <w:pStyle w:val="BodyTextSMPC"/>
              <w:spacing w:after="0"/>
              <w:ind w:left="0"/>
              <w:jc w:val="left"/>
              <w:rPr>
                <w:sz w:val="22"/>
                <w:szCs w:val="22"/>
              </w:rPr>
            </w:pPr>
            <w:r w:rsidRPr="00A47803">
              <w:rPr>
                <w:sz w:val="22"/>
                <w:szCs w:val="22"/>
              </w:rPr>
              <w:t>11</w:t>
            </w:r>
          </w:p>
          <w:p w14:paraId="466F8DDC" w14:textId="77777777" w:rsidR="00A47803" w:rsidRPr="00A47803" w:rsidRDefault="00A47803" w:rsidP="00A47803">
            <w:pPr>
              <w:pStyle w:val="BodyTextSMPC"/>
              <w:spacing w:after="0"/>
              <w:ind w:left="0"/>
              <w:jc w:val="left"/>
              <w:rPr>
                <w:sz w:val="22"/>
                <w:szCs w:val="22"/>
              </w:rPr>
            </w:pPr>
            <w:r w:rsidRPr="00A47803">
              <w:rPr>
                <w:sz w:val="22"/>
                <w:szCs w:val="22"/>
              </w:rPr>
              <w:t>(0.2%)</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40A206CA" w14:textId="77777777" w:rsidR="00A47803" w:rsidRPr="00A47803" w:rsidRDefault="00A47803" w:rsidP="00A47803">
            <w:pPr>
              <w:pStyle w:val="BodyTextSMPC"/>
              <w:spacing w:after="0"/>
              <w:ind w:left="0"/>
              <w:jc w:val="left"/>
              <w:rPr>
                <w:sz w:val="22"/>
                <w:szCs w:val="22"/>
              </w:rPr>
            </w:pPr>
            <w:r w:rsidRPr="00A47803">
              <w:rPr>
                <w:sz w:val="22"/>
                <w:szCs w:val="22"/>
              </w:rPr>
              <w:t>12</w:t>
            </w:r>
          </w:p>
          <w:p w14:paraId="22EB535E" w14:textId="77777777" w:rsidR="00A47803" w:rsidRPr="00A47803" w:rsidRDefault="00A47803" w:rsidP="00A47803">
            <w:pPr>
              <w:pStyle w:val="BodyTextSMPC"/>
              <w:spacing w:after="0"/>
              <w:ind w:left="0"/>
              <w:jc w:val="left"/>
              <w:rPr>
                <w:sz w:val="22"/>
                <w:szCs w:val="22"/>
              </w:rPr>
            </w:pPr>
            <w:r w:rsidRPr="00A47803">
              <w:rPr>
                <w:sz w:val="22"/>
                <w:szCs w:val="22"/>
              </w:rPr>
              <w:t>(1.0%)</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38EA0AC6" w14:textId="77777777" w:rsidR="00A47803" w:rsidRPr="00A47803" w:rsidRDefault="00A47803" w:rsidP="00A47803">
            <w:pPr>
              <w:pStyle w:val="BodyTextSMPC"/>
              <w:spacing w:after="0"/>
              <w:ind w:left="0"/>
              <w:jc w:val="left"/>
              <w:rPr>
                <w:sz w:val="22"/>
                <w:szCs w:val="22"/>
              </w:rPr>
            </w:pPr>
            <w:r w:rsidRPr="00A47803">
              <w:rPr>
                <w:sz w:val="22"/>
                <w:szCs w:val="22"/>
              </w:rPr>
              <w:t>9</w:t>
            </w:r>
          </w:p>
          <w:p w14:paraId="05AC2EAA" w14:textId="77777777" w:rsidR="00A47803" w:rsidRPr="00A47803" w:rsidRDefault="00A47803" w:rsidP="00A47803">
            <w:pPr>
              <w:pStyle w:val="BodyTextSMPC"/>
              <w:spacing w:after="0"/>
              <w:ind w:left="0"/>
              <w:jc w:val="left"/>
              <w:rPr>
                <w:sz w:val="22"/>
                <w:szCs w:val="22"/>
              </w:rPr>
            </w:pPr>
            <w:r w:rsidRPr="00A47803">
              <w:rPr>
                <w:sz w:val="22"/>
                <w:szCs w:val="22"/>
              </w:rPr>
              <w:t>(0.7%)</w:t>
            </w:r>
          </w:p>
        </w:tc>
      </w:tr>
      <w:tr w:rsidR="00A47803" w:rsidRPr="00A47803" w14:paraId="73FF339A"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09A5457F"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467BD1B" w14:textId="77777777" w:rsidR="00A47803" w:rsidRPr="00A47803" w:rsidRDefault="00A47803" w:rsidP="00A47803">
            <w:pPr>
              <w:pStyle w:val="BodyTextSMPC"/>
              <w:spacing w:after="0"/>
              <w:ind w:left="0"/>
              <w:jc w:val="left"/>
              <w:rPr>
                <w:sz w:val="22"/>
                <w:szCs w:val="22"/>
              </w:rPr>
            </w:pPr>
            <w:r w:rsidRPr="00A47803">
              <w:rPr>
                <w:sz w:val="22"/>
                <w:szCs w:val="22"/>
              </w:rPr>
              <w:t>1.03*</w:t>
            </w:r>
          </w:p>
          <w:p w14:paraId="3ACE6F7A" w14:textId="77777777" w:rsidR="00A47803" w:rsidRPr="00A47803" w:rsidRDefault="00A47803" w:rsidP="00A47803">
            <w:pPr>
              <w:pStyle w:val="BodyTextSMPC"/>
              <w:spacing w:after="0"/>
              <w:ind w:left="0"/>
              <w:jc w:val="left"/>
              <w:rPr>
                <w:sz w:val="22"/>
                <w:szCs w:val="22"/>
              </w:rPr>
            </w:pPr>
            <w:r w:rsidRPr="00A47803">
              <w:rPr>
                <w:sz w:val="22"/>
                <w:szCs w:val="22"/>
              </w:rPr>
              <w:t>(0.55– 1.92)</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C977DC7" w14:textId="77777777" w:rsidR="00A47803" w:rsidRPr="00A47803" w:rsidRDefault="00A47803" w:rsidP="00A47803">
            <w:pPr>
              <w:pStyle w:val="BodyTextSMPC"/>
              <w:spacing w:after="0"/>
              <w:ind w:left="0"/>
              <w:jc w:val="left"/>
              <w:rPr>
                <w:sz w:val="22"/>
                <w:szCs w:val="22"/>
              </w:rPr>
            </w:pPr>
            <w:r w:rsidRPr="00A47803">
              <w:rPr>
                <w:sz w:val="22"/>
                <w:szCs w:val="22"/>
              </w:rPr>
              <w:t>OR 1.19</w:t>
            </w:r>
          </w:p>
          <w:p w14:paraId="7AC108B1" w14:textId="77777777" w:rsidR="00A47803" w:rsidRPr="00A47803" w:rsidRDefault="00A47803" w:rsidP="00A47803">
            <w:pPr>
              <w:pStyle w:val="BodyTextSMPC"/>
              <w:spacing w:after="0"/>
              <w:ind w:left="0"/>
              <w:jc w:val="left"/>
              <w:rPr>
                <w:sz w:val="22"/>
                <w:szCs w:val="22"/>
              </w:rPr>
            </w:pPr>
            <w:r w:rsidRPr="00A47803">
              <w:rPr>
                <w:sz w:val="22"/>
                <w:szCs w:val="22"/>
              </w:rPr>
              <w:t>(0.68– 2.10)</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A77607D"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0BD94B8"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4668AFDA" w14:textId="77777777" w:rsidTr="003C650E">
        <w:trPr>
          <w:tblCellSpacing w:w="0" w:type="dxa"/>
        </w:trPr>
        <w:tc>
          <w:tcPr>
            <w:tcW w:w="968" w:type="pct"/>
            <w:tcBorders>
              <w:top w:val="outset" w:sz="6" w:space="0" w:color="auto"/>
              <w:left w:val="outset" w:sz="6" w:space="0" w:color="auto"/>
              <w:bottom w:val="outset" w:sz="6" w:space="0" w:color="auto"/>
              <w:right w:val="outset" w:sz="6" w:space="0" w:color="auto"/>
            </w:tcBorders>
            <w:shd w:val="clear" w:color="auto" w:fill="FFFFFF"/>
            <w:hideMark/>
          </w:tcPr>
          <w:p w14:paraId="206B9634" w14:textId="77777777" w:rsidR="00A47803" w:rsidRPr="00A47803" w:rsidRDefault="00A47803" w:rsidP="00A47803">
            <w:pPr>
              <w:pStyle w:val="BodyTextSMPC"/>
              <w:spacing w:after="0"/>
              <w:ind w:left="0"/>
              <w:jc w:val="left"/>
              <w:rPr>
                <w:sz w:val="22"/>
                <w:szCs w:val="22"/>
              </w:rPr>
            </w:pPr>
            <w:r w:rsidRPr="00A47803">
              <w:rPr>
                <w:sz w:val="22"/>
                <w:szCs w:val="22"/>
              </w:rPr>
              <w:t>Safety</w:t>
            </w:r>
          </w:p>
        </w:tc>
        <w:tc>
          <w:tcPr>
            <w:tcW w:w="4032" w:type="pct"/>
            <w:gridSpan w:val="8"/>
            <w:tcBorders>
              <w:top w:val="outset" w:sz="6" w:space="0" w:color="auto"/>
              <w:left w:val="outset" w:sz="6" w:space="0" w:color="auto"/>
              <w:bottom w:val="outset" w:sz="6" w:space="0" w:color="auto"/>
              <w:right w:val="outset" w:sz="6" w:space="0" w:color="auto"/>
            </w:tcBorders>
            <w:shd w:val="clear" w:color="auto" w:fill="FFFFFF"/>
            <w:hideMark/>
          </w:tcPr>
          <w:p w14:paraId="5A6E1B16" w14:textId="77777777" w:rsidR="00A47803" w:rsidRPr="00A47803" w:rsidRDefault="00A47803" w:rsidP="00A47803">
            <w:pPr>
              <w:pStyle w:val="BodyTextSMPC"/>
              <w:spacing w:after="0"/>
              <w:ind w:left="0"/>
              <w:jc w:val="left"/>
              <w:rPr>
                <w:sz w:val="22"/>
                <w:szCs w:val="22"/>
              </w:rPr>
            </w:pPr>
            <w:r w:rsidRPr="00A47803">
              <w:rPr>
                <w:sz w:val="22"/>
                <w:szCs w:val="22"/>
              </w:rPr>
              <w:t>Events</w:t>
            </w:r>
          </w:p>
          <w:p w14:paraId="4D11FECC" w14:textId="77777777" w:rsidR="00A47803" w:rsidRPr="00A47803" w:rsidRDefault="00A47803" w:rsidP="00A47803">
            <w:pPr>
              <w:pStyle w:val="BodyTextSMPC"/>
              <w:spacing w:after="0"/>
              <w:ind w:left="0"/>
              <w:jc w:val="left"/>
              <w:rPr>
                <w:sz w:val="22"/>
                <w:szCs w:val="22"/>
              </w:rPr>
            </w:pPr>
            <w:r w:rsidRPr="00A47803">
              <w:rPr>
                <w:sz w:val="22"/>
                <w:szCs w:val="22"/>
              </w:rPr>
              <w:t xml:space="preserve">OR </w:t>
            </w:r>
            <w:proofErr w:type="spellStart"/>
            <w:r w:rsidRPr="00A47803">
              <w:rPr>
                <w:sz w:val="22"/>
                <w:szCs w:val="22"/>
              </w:rPr>
              <w:t>or</w:t>
            </w:r>
            <w:proofErr w:type="spellEnd"/>
            <w:r w:rsidRPr="00A47803">
              <w:rPr>
                <w:sz w:val="22"/>
                <w:szCs w:val="22"/>
              </w:rPr>
              <w:t xml:space="preserve"> RR (95% CI)</w:t>
            </w:r>
          </w:p>
        </w:tc>
      </w:tr>
      <w:tr w:rsidR="00A47803" w:rsidRPr="00A47803" w14:paraId="4B060A45"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92F0C92" w14:textId="77777777" w:rsidR="00A47803" w:rsidRPr="00A47803" w:rsidRDefault="00A47803" w:rsidP="00A47803">
            <w:pPr>
              <w:pStyle w:val="BodyTextSMPC"/>
              <w:spacing w:after="0"/>
              <w:ind w:left="0"/>
              <w:jc w:val="left"/>
              <w:rPr>
                <w:sz w:val="22"/>
                <w:szCs w:val="22"/>
              </w:rPr>
            </w:pPr>
            <w:r w:rsidRPr="00A47803">
              <w:rPr>
                <w:sz w:val="22"/>
                <w:szCs w:val="22"/>
              </w:rPr>
              <w:t>Endometrial cancer</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5D0216BA" w14:textId="77777777" w:rsidR="00A47803" w:rsidRPr="00A47803" w:rsidRDefault="00A47803" w:rsidP="00A47803">
            <w:pPr>
              <w:pStyle w:val="BodyTextSMPC"/>
              <w:spacing w:after="0"/>
              <w:ind w:left="0"/>
              <w:jc w:val="left"/>
              <w:rPr>
                <w:sz w:val="22"/>
                <w:szCs w:val="22"/>
              </w:rPr>
            </w:pPr>
            <w:r w:rsidRPr="00A47803">
              <w:rPr>
                <w:sz w:val="22"/>
                <w:szCs w:val="22"/>
              </w:rPr>
              <w:t>67</w:t>
            </w:r>
          </w:p>
          <w:p w14:paraId="342EC7AB" w14:textId="77777777" w:rsidR="00A47803" w:rsidRPr="00A47803" w:rsidRDefault="00A47803" w:rsidP="00A47803">
            <w:pPr>
              <w:pStyle w:val="BodyTextSMPC"/>
              <w:spacing w:after="0"/>
              <w:ind w:left="0"/>
              <w:jc w:val="left"/>
              <w:rPr>
                <w:sz w:val="22"/>
                <w:szCs w:val="22"/>
              </w:rPr>
            </w:pPr>
            <w:r w:rsidRPr="00A47803">
              <w:rPr>
                <w:sz w:val="22"/>
                <w:szCs w:val="22"/>
              </w:rPr>
              <w:t>(0.5%)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01AECCC2" w14:textId="77777777" w:rsidR="00A47803" w:rsidRPr="00A47803" w:rsidRDefault="00A47803" w:rsidP="00A47803">
            <w:pPr>
              <w:pStyle w:val="BodyTextSMPC"/>
              <w:spacing w:after="0"/>
              <w:ind w:left="0"/>
              <w:jc w:val="left"/>
              <w:rPr>
                <w:sz w:val="22"/>
                <w:szCs w:val="22"/>
              </w:rPr>
            </w:pPr>
            <w:r w:rsidRPr="00A47803">
              <w:rPr>
                <w:sz w:val="22"/>
                <w:szCs w:val="22"/>
              </w:rPr>
              <w:t>31</w:t>
            </w:r>
          </w:p>
          <w:p w14:paraId="29F1D597" w14:textId="77777777" w:rsidR="00A47803" w:rsidRPr="00A47803" w:rsidRDefault="00A47803" w:rsidP="00A47803">
            <w:pPr>
              <w:pStyle w:val="BodyTextSMPC"/>
              <w:spacing w:after="0"/>
              <w:ind w:left="0"/>
              <w:jc w:val="left"/>
              <w:rPr>
                <w:sz w:val="22"/>
                <w:szCs w:val="22"/>
              </w:rPr>
            </w:pPr>
            <w:r w:rsidRPr="00A47803">
              <w:rPr>
                <w:sz w:val="22"/>
                <w:szCs w:val="22"/>
              </w:rPr>
              <w:t>(0.2%)</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3D9BD4A7" w14:textId="77777777" w:rsidR="00A47803" w:rsidRPr="00A47803" w:rsidRDefault="00A47803" w:rsidP="00A47803">
            <w:pPr>
              <w:pStyle w:val="BodyTextSMPC"/>
              <w:spacing w:after="0"/>
              <w:ind w:left="0"/>
              <w:jc w:val="left"/>
              <w:rPr>
                <w:sz w:val="22"/>
                <w:szCs w:val="22"/>
              </w:rPr>
            </w:pPr>
            <w:r w:rsidRPr="00A47803">
              <w:rPr>
                <w:sz w:val="22"/>
                <w:szCs w:val="22"/>
              </w:rPr>
              <w:t>29</w:t>
            </w:r>
          </w:p>
          <w:p w14:paraId="1E39F07F"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2FCC0C35" w14:textId="77777777" w:rsidR="00A47803" w:rsidRPr="00A47803" w:rsidRDefault="00A47803" w:rsidP="00A47803">
            <w:pPr>
              <w:pStyle w:val="BodyTextSMPC"/>
              <w:spacing w:after="0"/>
              <w:ind w:left="0"/>
              <w:jc w:val="left"/>
              <w:rPr>
                <w:sz w:val="22"/>
                <w:szCs w:val="22"/>
              </w:rPr>
            </w:pPr>
            <w:r w:rsidRPr="00A47803">
              <w:rPr>
                <w:sz w:val="22"/>
                <w:szCs w:val="22"/>
              </w:rPr>
              <w:t>20</w:t>
            </w:r>
          </w:p>
          <w:p w14:paraId="41FD1F73" w14:textId="77777777" w:rsidR="00A47803" w:rsidRPr="00A47803" w:rsidRDefault="00A47803" w:rsidP="00A47803">
            <w:pPr>
              <w:pStyle w:val="BodyTextSMPC"/>
              <w:spacing w:after="0"/>
              <w:ind w:left="0"/>
              <w:jc w:val="left"/>
              <w:rPr>
                <w:sz w:val="22"/>
                <w:szCs w:val="22"/>
              </w:rPr>
            </w:pPr>
            <w:r w:rsidRPr="00A47803">
              <w:rPr>
                <w:sz w:val="22"/>
                <w:szCs w:val="22"/>
              </w:rPr>
              <w:t>(0.6%)</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26AC6295" w14:textId="77777777" w:rsidR="00A47803" w:rsidRPr="00A47803" w:rsidRDefault="00A47803" w:rsidP="00A47803">
            <w:pPr>
              <w:pStyle w:val="BodyTextSMPC"/>
              <w:spacing w:after="0"/>
              <w:ind w:left="0"/>
              <w:jc w:val="left"/>
              <w:rPr>
                <w:sz w:val="22"/>
                <w:szCs w:val="22"/>
              </w:rPr>
            </w:pPr>
            <w:r w:rsidRPr="00A47803">
              <w:rPr>
                <w:sz w:val="22"/>
                <w:szCs w:val="22"/>
              </w:rPr>
              <w:t>53</w:t>
            </w:r>
          </w:p>
          <w:p w14:paraId="3E4EC5DF"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6F09CA62" w14:textId="77777777" w:rsidR="00A47803" w:rsidRPr="00A47803" w:rsidRDefault="00A47803" w:rsidP="00A47803">
            <w:pPr>
              <w:pStyle w:val="BodyTextSMPC"/>
              <w:spacing w:after="0"/>
              <w:ind w:left="0"/>
              <w:jc w:val="left"/>
              <w:rPr>
                <w:sz w:val="22"/>
                <w:szCs w:val="22"/>
              </w:rPr>
            </w:pPr>
            <w:r w:rsidRPr="00A47803">
              <w:rPr>
                <w:sz w:val="22"/>
                <w:szCs w:val="22"/>
              </w:rPr>
              <w:t>17</w:t>
            </w:r>
          </w:p>
          <w:p w14:paraId="65A611A7" w14:textId="77777777" w:rsidR="00A47803" w:rsidRPr="00A47803" w:rsidRDefault="00A47803" w:rsidP="00A47803">
            <w:pPr>
              <w:pStyle w:val="BodyTextSMPC"/>
              <w:spacing w:after="0"/>
              <w:ind w:left="0"/>
              <w:jc w:val="left"/>
              <w:rPr>
                <w:sz w:val="22"/>
                <w:szCs w:val="22"/>
              </w:rPr>
            </w:pPr>
            <w:r w:rsidRPr="00A47803">
              <w:rPr>
                <w:sz w:val="22"/>
                <w:szCs w:val="22"/>
              </w:rPr>
              <w:t>(0.3%)</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2F001DD8" w14:textId="77777777" w:rsidR="00A47803" w:rsidRPr="00A47803" w:rsidRDefault="00A47803" w:rsidP="00A47803">
            <w:pPr>
              <w:pStyle w:val="BodyTextSMPC"/>
              <w:spacing w:after="0"/>
              <w:ind w:left="0"/>
              <w:jc w:val="left"/>
              <w:rPr>
                <w:sz w:val="22"/>
                <w:szCs w:val="22"/>
              </w:rPr>
            </w:pPr>
            <w:r w:rsidRPr="00A47803">
              <w:rPr>
                <w:sz w:val="22"/>
                <w:szCs w:val="22"/>
              </w:rPr>
              <w:t>13</w:t>
            </w:r>
          </w:p>
          <w:p w14:paraId="3285A9B5" w14:textId="77777777" w:rsidR="00A47803" w:rsidRPr="00A47803" w:rsidRDefault="00A47803" w:rsidP="00A47803">
            <w:pPr>
              <w:pStyle w:val="BodyTextSMPC"/>
              <w:spacing w:after="0"/>
              <w:ind w:left="0"/>
              <w:jc w:val="left"/>
              <w:rPr>
                <w:sz w:val="22"/>
                <w:szCs w:val="22"/>
              </w:rPr>
            </w:pPr>
            <w:r w:rsidRPr="00A47803">
              <w:rPr>
                <w:sz w:val="22"/>
                <w:szCs w:val="22"/>
              </w:rPr>
              <w:t>(1.0%)</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4CCC4E1C" w14:textId="77777777" w:rsidR="00A47803" w:rsidRPr="00A47803" w:rsidRDefault="00A47803" w:rsidP="00A47803">
            <w:pPr>
              <w:pStyle w:val="BodyTextSMPC"/>
              <w:spacing w:after="0"/>
              <w:ind w:left="0"/>
              <w:jc w:val="left"/>
              <w:rPr>
                <w:sz w:val="22"/>
                <w:szCs w:val="22"/>
              </w:rPr>
            </w:pPr>
            <w:r w:rsidRPr="00A47803">
              <w:rPr>
                <w:sz w:val="22"/>
                <w:szCs w:val="22"/>
              </w:rPr>
              <w:t>5</w:t>
            </w:r>
          </w:p>
          <w:p w14:paraId="54DD5B57" w14:textId="77777777" w:rsidR="00A47803" w:rsidRPr="00A47803" w:rsidRDefault="00A47803" w:rsidP="00A47803">
            <w:pPr>
              <w:pStyle w:val="BodyTextSMPC"/>
              <w:spacing w:after="0"/>
              <w:ind w:left="0"/>
              <w:jc w:val="left"/>
              <w:rPr>
                <w:sz w:val="22"/>
                <w:szCs w:val="22"/>
              </w:rPr>
            </w:pPr>
            <w:r w:rsidRPr="00A47803">
              <w:rPr>
                <w:sz w:val="22"/>
                <w:szCs w:val="22"/>
              </w:rPr>
              <w:t>(0.4%)</w:t>
            </w:r>
          </w:p>
        </w:tc>
      </w:tr>
      <w:tr w:rsidR="00A47803" w:rsidRPr="00A47803" w14:paraId="05676586"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41C4E7F6"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A039B9D" w14:textId="77777777" w:rsidR="00A47803" w:rsidRPr="00A47803" w:rsidRDefault="00A47803" w:rsidP="00A47803">
            <w:pPr>
              <w:pStyle w:val="BodyTextSMPC"/>
              <w:spacing w:after="0"/>
              <w:ind w:left="0"/>
              <w:jc w:val="left"/>
              <w:rPr>
                <w:sz w:val="22"/>
                <w:szCs w:val="22"/>
              </w:rPr>
            </w:pPr>
            <w:r w:rsidRPr="00A47803">
              <w:rPr>
                <w:sz w:val="22"/>
                <w:szCs w:val="22"/>
              </w:rPr>
              <w:t>OR 2.18</w:t>
            </w:r>
          </w:p>
          <w:p w14:paraId="3775A84F" w14:textId="77777777" w:rsidR="00A47803" w:rsidRPr="00A47803" w:rsidRDefault="00A47803" w:rsidP="00A47803">
            <w:pPr>
              <w:pStyle w:val="BodyTextSMPC"/>
              <w:spacing w:after="0"/>
              <w:ind w:left="0"/>
              <w:jc w:val="left"/>
              <w:rPr>
                <w:sz w:val="22"/>
                <w:szCs w:val="22"/>
              </w:rPr>
            </w:pPr>
            <w:r w:rsidRPr="00A47803">
              <w:rPr>
                <w:sz w:val="22"/>
                <w:szCs w:val="22"/>
              </w:rPr>
              <w:t>(95%CI 1.39-3.42)</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7C6A31C" w14:textId="77777777" w:rsidR="00A47803" w:rsidRPr="00A47803" w:rsidRDefault="00A47803" w:rsidP="00A47803">
            <w:pPr>
              <w:pStyle w:val="BodyTextSMPC"/>
              <w:spacing w:after="0"/>
              <w:ind w:left="0"/>
              <w:jc w:val="left"/>
              <w:rPr>
                <w:sz w:val="22"/>
                <w:szCs w:val="22"/>
              </w:rPr>
            </w:pPr>
            <w:r w:rsidRPr="00A47803">
              <w:rPr>
                <w:sz w:val="22"/>
                <w:szCs w:val="22"/>
              </w:rPr>
              <w:t>OR 1.45</w:t>
            </w:r>
          </w:p>
          <w:p w14:paraId="5A6C3CCA" w14:textId="77777777" w:rsidR="00A47803" w:rsidRPr="00A47803" w:rsidRDefault="00A47803" w:rsidP="00A47803">
            <w:pPr>
              <w:pStyle w:val="BodyTextSMPC"/>
              <w:spacing w:after="0"/>
              <w:ind w:left="0"/>
              <w:jc w:val="left"/>
              <w:rPr>
                <w:sz w:val="22"/>
                <w:szCs w:val="22"/>
              </w:rPr>
            </w:pPr>
            <w:r w:rsidRPr="00A47803">
              <w:rPr>
                <w:sz w:val="22"/>
                <w:szCs w:val="22"/>
              </w:rPr>
              <w:t>(95%CI 0.79-2.71)</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5650680" w14:textId="77777777" w:rsidR="00A47803" w:rsidRPr="00A47803" w:rsidRDefault="00A47803" w:rsidP="00A47803">
            <w:pPr>
              <w:pStyle w:val="BodyTextSMPC"/>
              <w:spacing w:after="0"/>
              <w:ind w:left="0"/>
              <w:jc w:val="left"/>
              <w:rPr>
                <w:sz w:val="22"/>
                <w:szCs w:val="22"/>
              </w:rPr>
            </w:pPr>
            <w:r w:rsidRPr="00A47803">
              <w:rPr>
                <w:sz w:val="22"/>
                <w:szCs w:val="22"/>
              </w:rPr>
              <w:t>RR 3.28</w:t>
            </w:r>
          </w:p>
          <w:p w14:paraId="0FB70C4F" w14:textId="77777777" w:rsidR="00A47803" w:rsidRPr="00A47803" w:rsidRDefault="00A47803" w:rsidP="00A47803">
            <w:pPr>
              <w:pStyle w:val="BodyTextSMPC"/>
              <w:spacing w:after="0"/>
              <w:ind w:left="0"/>
              <w:jc w:val="left"/>
              <w:rPr>
                <w:sz w:val="22"/>
                <w:szCs w:val="22"/>
              </w:rPr>
            </w:pPr>
            <w:r w:rsidRPr="00A47803">
              <w:rPr>
                <w:sz w:val="22"/>
                <w:szCs w:val="22"/>
              </w:rPr>
              <w:t>(95%CI 1.87-6.03)</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C5FE1D3"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5B24FDAB"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AAE818C" w14:textId="77777777" w:rsidR="00A47803" w:rsidRPr="00A47803" w:rsidRDefault="00A47803" w:rsidP="00A47803">
            <w:pPr>
              <w:pStyle w:val="BodyTextSMPC"/>
              <w:spacing w:after="0"/>
              <w:ind w:left="0"/>
              <w:jc w:val="left"/>
              <w:rPr>
                <w:sz w:val="22"/>
                <w:szCs w:val="22"/>
              </w:rPr>
            </w:pPr>
            <w:r w:rsidRPr="00A47803">
              <w:rPr>
                <w:sz w:val="22"/>
                <w:szCs w:val="22"/>
              </w:rPr>
              <w:t>Other cancers</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43ACB6B8" w14:textId="77777777" w:rsidR="00A47803" w:rsidRPr="00A47803" w:rsidRDefault="00A47803" w:rsidP="00A47803">
            <w:pPr>
              <w:pStyle w:val="BodyTextSMPC"/>
              <w:spacing w:after="0"/>
              <w:ind w:left="0"/>
              <w:jc w:val="left"/>
              <w:rPr>
                <w:sz w:val="22"/>
                <w:szCs w:val="22"/>
              </w:rPr>
            </w:pPr>
            <w:r w:rsidRPr="00A47803">
              <w:rPr>
                <w:sz w:val="22"/>
                <w:szCs w:val="22"/>
              </w:rPr>
              <w:t>787</w:t>
            </w:r>
          </w:p>
          <w:p w14:paraId="53EA8909" w14:textId="77777777" w:rsidR="00A47803" w:rsidRPr="00A47803" w:rsidRDefault="00A47803" w:rsidP="00A47803">
            <w:pPr>
              <w:pStyle w:val="BodyTextSMPC"/>
              <w:spacing w:after="0"/>
              <w:ind w:left="0"/>
              <w:jc w:val="left"/>
              <w:rPr>
                <w:sz w:val="22"/>
                <w:szCs w:val="22"/>
              </w:rPr>
            </w:pPr>
            <w:r w:rsidRPr="00A47803">
              <w:rPr>
                <w:sz w:val="22"/>
                <w:szCs w:val="22"/>
              </w:rPr>
              <w:t>(1.8%)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6797F017" w14:textId="77777777" w:rsidR="00A47803" w:rsidRPr="00A47803" w:rsidRDefault="00A47803" w:rsidP="00A47803">
            <w:pPr>
              <w:pStyle w:val="BodyTextSMPC"/>
              <w:spacing w:after="0"/>
              <w:ind w:left="0"/>
              <w:jc w:val="left"/>
              <w:rPr>
                <w:sz w:val="22"/>
                <w:szCs w:val="22"/>
              </w:rPr>
            </w:pPr>
            <w:r w:rsidRPr="00A47803">
              <w:rPr>
                <w:sz w:val="22"/>
                <w:szCs w:val="22"/>
              </w:rPr>
              <w:t>799</w:t>
            </w:r>
          </w:p>
          <w:p w14:paraId="4AE289AE" w14:textId="77777777" w:rsidR="00A47803" w:rsidRPr="00A47803" w:rsidRDefault="00A47803" w:rsidP="00A47803">
            <w:pPr>
              <w:pStyle w:val="BodyTextSMPC"/>
              <w:spacing w:after="0"/>
              <w:ind w:left="0"/>
              <w:jc w:val="left"/>
              <w:rPr>
                <w:sz w:val="22"/>
                <w:szCs w:val="22"/>
              </w:rPr>
            </w:pPr>
            <w:r w:rsidRPr="00A47803">
              <w:rPr>
                <w:sz w:val="22"/>
                <w:szCs w:val="22"/>
              </w:rPr>
              <w:t>(1.9%)</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6FC8C48E" w14:textId="77777777" w:rsidR="00A47803" w:rsidRPr="00A47803" w:rsidRDefault="00A47803" w:rsidP="00A47803">
            <w:pPr>
              <w:pStyle w:val="BodyTextSMPC"/>
              <w:spacing w:after="0"/>
              <w:ind w:left="0"/>
              <w:jc w:val="left"/>
              <w:rPr>
                <w:sz w:val="22"/>
                <w:szCs w:val="22"/>
              </w:rPr>
            </w:pPr>
            <w:r w:rsidRPr="00A47803">
              <w:rPr>
                <w:sz w:val="22"/>
                <w:szCs w:val="22"/>
              </w:rPr>
              <w:t>322</w:t>
            </w:r>
          </w:p>
          <w:p w14:paraId="04296E74" w14:textId="77777777" w:rsidR="00A47803" w:rsidRPr="00A47803" w:rsidRDefault="00A47803" w:rsidP="00A47803">
            <w:pPr>
              <w:pStyle w:val="BodyTextSMPC"/>
              <w:spacing w:after="0"/>
              <w:ind w:left="0"/>
              <w:jc w:val="left"/>
              <w:rPr>
                <w:sz w:val="22"/>
                <w:szCs w:val="22"/>
              </w:rPr>
            </w:pPr>
            <w:r w:rsidRPr="00A47803">
              <w:rPr>
                <w:sz w:val="22"/>
                <w:szCs w:val="22"/>
              </w:rPr>
              <w:t>(9.0%)</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447F1D26" w14:textId="77777777" w:rsidR="00A47803" w:rsidRPr="00A47803" w:rsidRDefault="00A47803" w:rsidP="00A47803">
            <w:pPr>
              <w:pStyle w:val="BodyTextSMPC"/>
              <w:spacing w:after="0"/>
              <w:ind w:left="0"/>
              <w:jc w:val="left"/>
              <w:rPr>
                <w:sz w:val="22"/>
                <w:szCs w:val="22"/>
              </w:rPr>
            </w:pPr>
            <w:r w:rsidRPr="00A47803">
              <w:rPr>
                <w:sz w:val="22"/>
                <w:szCs w:val="22"/>
              </w:rPr>
              <w:t>295</w:t>
            </w:r>
          </w:p>
          <w:p w14:paraId="5B8E1FCF" w14:textId="77777777" w:rsidR="00A47803" w:rsidRPr="00A47803" w:rsidRDefault="00A47803" w:rsidP="00A47803">
            <w:pPr>
              <w:pStyle w:val="BodyTextSMPC"/>
              <w:spacing w:after="0"/>
              <w:ind w:left="0"/>
              <w:jc w:val="left"/>
              <w:rPr>
                <w:sz w:val="22"/>
                <w:szCs w:val="22"/>
              </w:rPr>
            </w:pPr>
            <w:r w:rsidRPr="00A47803">
              <w:rPr>
                <w:sz w:val="22"/>
                <w:szCs w:val="22"/>
              </w:rPr>
              <w:t>(8.3%)</w:t>
            </w:r>
          </w:p>
        </w:tc>
        <w:tc>
          <w:tcPr>
            <w:tcW w:w="10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671C57"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6CB73522" w14:textId="77777777" w:rsidR="00A47803" w:rsidRPr="00A47803" w:rsidRDefault="00A47803" w:rsidP="00A47803">
            <w:pPr>
              <w:pStyle w:val="BodyTextSMPC"/>
              <w:spacing w:after="0"/>
              <w:ind w:left="0"/>
              <w:jc w:val="left"/>
              <w:rPr>
                <w:sz w:val="22"/>
                <w:szCs w:val="22"/>
              </w:rPr>
            </w:pPr>
            <w:r w:rsidRPr="00A47803">
              <w:rPr>
                <w:sz w:val="22"/>
                <w:szCs w:val="22"/>
              </w:rPr>
              <w:t>64</w:t>
            </w:r>
          </w:p>
          <w:p w14:paraId="4B7E392F" w14:textId="77777777" w:rsidR="00A47803" w:rsidRPr="00A47803" w:rsidRDefault="00A47803" w:rsidP="00A47803">
            <w:pPr>
              <w:pStyle w:val="BodyTextSMPC"/>
              <w:spacing w:after="0"/>
              <w:ind w:left="0"/>
              <w:jc w:val="left"/>
              <w:rPr>
                <w:sz w:val="22"/>
                <w:szCs w:val="22"/>
              </w:rPr>
            </w:pPr>
            <w:r w:rsidRPr="00A47803">
              <w:rPr>
                <w:sz w:val="22"/>
                <w:szCs w:val="22"/>
              </w:rPr>
              <w:t>(5.1%)</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4464A634" w14:textId="77777777" w:rsidR="00A47803" w:rsidRPr="00A47803" w:rsidRDefault="00A47803" w:rsidP="00A47803">
            <w:pPr>
              <w:pStyle w:val="BodyTextSMPC"/>
              <w:spacing w:after="0"/>
              <w:ind w:left="0"/>
              <w:jc w:val="left"/>
              <w:rPr>
                <w:sz w:val="22"/>
                <w:szCs w:val="22"/>
              </w:rPr>
            </w:pPr>
            <w:r w:rsidRPr="00A47803">
              <w:rPr>
                <w:sz w:val="22"/>
                <w:szCs w:val="22"/>
              </w:rPr>
              <w:t>70</w:t>
            </w:r>
          </w:p>
          <w:p w14:paraId="6448E278" w14:textId="77777777" w:rsidR="00A47803" w:rsidRPr="00A47803" w:rsidRDefault="00A47803" w:rsidP="00A47803">
            <w:pPr>
              <w:pStyle w:val="BodyTextSMPC"/>
              <w:spacing w:after="0"/>
              <w:ind w:left="0"/>
              <w:jc w:val="left"/>
              <w:rPr>
                <w:sz w:val="22"/>
                <w:szCs w:val="22"/>
              </w:rPr>
            </w:pPr>
            <w:r w:rsidRPr="00A47803">
              <w:rPr>
                <w:sz w:val="22"/>
                <w:szCs w:val="22"/>
              </w:rPr>
              <w:t>(5.6%)</w:t>
            </w:r>
          </w:p>
        </w:tc>
      </w:tr>
      <w:tr w:rsidR="00A47803" w:rsidRPr="00A47803" w14:paraId="5C43D3CA"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35246E6D"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1AD1540" w14:textId="77777777" w:rsidR="00A47803" w:rsidRPr="00A47803" w:rsidRDefault="00A47803" w:rsidP="00A47803">
            <w:pPr>
              <w:pStyle w:val="BodyTextSMPC"/>
              <w:spacing w:after="0"/>
              <w:ind w:left="0"/>
              <w:jc w:val="left"/>
              <w:rPr>
                <w:sz w:val="22"/>
                <w:szCs w:val="22"/>
              </w:rPr>
            </w:pPr>
            <w:r w:rsidRPr="00A47803">
              <w:rPr>
                <w:sz w:val="22"/>
                <w:szCs w:val="22"/>
              </w:rPr>
              <w:t>OR 0.98*</w:t>
            </w:r>
          </w:p>
          <w:p w14:paraId="7815274A" w14:textId="77777777" w:rsidR="00A47803" w:rsidRPr="00A47803" w:rsidRDefault="00A47803" w:rsidP="00A47803">
            <w:pPr>
              <w:pStyle w:val="BodyTextSMPC"/>
              <w:spacing w:after="0"/>
              <w:ind w:left="0"/>
              <w:jc w:val="left"/>
              <w:rPr>
                <w:sz w:val="22"/>
                <w:szCs w:val="22"/>
              </w:rPr>
            </w:pPr>
            <w:r w:rsidRPr="00A47803">
              <w:rPr>
                <w:sz w:val="22"/>
                <w:szCs w:val="22"/>
              </w:rPr>
              <w:t>(95%CI 0.89-1.08)</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E91496D"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1046" w:type="pct"/>
            <w:gridSpan w:val="2"/>
            <w:vMerge/>
            <w:tcBorders>
              <w:top w:val="outset" w:sz="6" w:space="0" w:color="auto"/>
              <w:left w:val="outset" w:sz="6" w:space="0" w:color="auto"/>
              <w:bottom w:val="outset" w:sz="6" w:space="0" w:color="auto"/>
              <w:right w:val="outset" w:sz="6" w:space="0" w:color="auto"/>
            </w:tcBorders>
            <w:shd w:val="clear" w:color="auto" w:fill="FFFFFF"/>
            <w:hideMark/>
          </w:tcPr>
          <w:p w14:paraId="06BACB12" w14:textId="77777777" w:rsidR="00A47803" w:rsidRPr="00A47803" w:rsidRDefault="00A47803" w:rsidP="00A47803">
            <w:pPr>
              <w:pStyle w:val="BodyTextSMPC"/>
              <w:spacing w:after="0"/>
              <w:ind w:left="0"/>
              <w:jc w:val="left"/>
              <w:rPr>
                <w:sz w:val="22"/>
                <w:szCs w:val="22"/>
              </w:rPr>
            </w:pP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70D174E"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1E9499D8"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120DF06" w14:textId="77777777" w:rsidR="00A47803" w:rsidRPr="00A47803" w:rsidRDefault="00A47803" w:rsidP="00A47803">
            <w:pPr>
              <w:pStyle w:val="BodyTextSMPC"/>
              <w:spacing w:after="0"/>
              <w:ind w:left="0"/>
              <w:jc w:val="left"/>
              <w:rPr>
                <w:sz w:val="22"/>
                <w:szCs w:val="22"/>
              </w:rPr>
            </w:pPr>
            <w:proofErr w:type="spellStart"/>
            <w:r w:rsidRPr="00A47803">
              <w:rPr>
                <w:sz w:val="22"/>
                <w:szCs w:val="22"/>
              </w:rPr>
              <w:t>Venousthomboemblism</w:t>
            </w:r>
            <w:proofErr w:type="spellEnd"/>
            <w:r w:rsidRPr="00A47803">
              <w:rPr>
                <w:sz w:val="22"/>
                <w:szCs w:val="22"/>
              </w:rPr>
              <w:t xml:space="preserve"> (DVT,PE)</w:t>
            </w:r>
          </w:p>
        </w:tc>
        <w:tc>
          <w:tcPr>
            <w:tcW w:w="52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18BF92" w14:textId="77777777" w:rsidR="00A47803" w:rsidRPr="00A47803" w:rsidRDefault="00A47803" w:rsidP="00A47803">
            <w:pPr>
              <w:pStyle w:val="BodyTextSMPC"/>
              <w:spacing w:after="0"/>
              <w:ind w:left="0"/>
              <w:jc w:val="left"/>
              <w:rPr>
                <w:sz w:val="22"/>
                <w:szCs w:val="22"/>
              </w:rPr>
            </w:pPr>
            <w:r w:rsidRPr="00A47803">
              <w:rPr>
                <w:sz w:val="22"/>
                <w:szCs w:val="22"/>
              </w:rPr>
              <w:t>131</w:t>
            </w:r>
          </w:p>
          <w:p w14:paraId="317A2E70" w14:textId="77777777" w:rsidR="00A47803" w:rsidRPr="00A47803" w:rsidRDefault="00A47803" w:rsidP="00A47803">
            <w:pPr>
              <w:pStyle w:val="BodyTextSMPC"/>
              <w:spacing w:after="0"/>
              <w:ind w:left="0"/>
              <w:jc w:val="left"/>
              <w:rPr>
                <w:sz w:val="22"/>
                <w:szCs w:val="22"/>
              </w:rPr>
            </w:pPr>
            <w:r w:rsidRPr="00A47803">
              <w:rPr>
                <w:sz w:val="22"/>
                <w:szCs w:val="22"/>
              </w:rPr>
              <w:t>(0.9%)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5455D4" w14:textId="77777777" w:rsidR="00A47803" w:rsidRPr="00A47803" w:rsidRDefault="00A47803" w:rsidP="00A47803">
            <w:pPr>
              <w:pStyle w:val="BodyTextSMPC"/>
              <w:spacing w:after="0"/>
              <w:ind w:left="0"/>
              <w:jc w:val="left"/>
              <w:rPr>
                <w:sz w:val="22"/>
                <w:szCs w:val="22"/>
              </w:rPr>
            </w:pPr>
            <w:r w:rsidRPr="00A47803">
              <w:rPr>
                <w:sz w:val="22"/>
                <w:szCs w:val="22"/>
              </w:rPr>
              <w:t>82</w:t>
            </w:r>
          </w:p>
          <w:p w14:paraId="396D895F" w14:textId="77777777" w:rsidR="00A47803" w:rsidRPr="00A47803" w:rsidRDefault="00A47803" w:rsidP="00A47803">
            <w:pPr>
              <w:pStyle w:val="BodyTextSMPC"/>
              <w:spacing w:after="0"/>
              <w:ind w:left="0"/>
              <w:jc w:val="left"/>
              <w:rPr>
                <w:sz w:val="22"/>
                <w:szCs w:val="22"/>
              </w:rPr>
            </w:pPr>
            <w:r w:rsidRPr="00A47803">
              <w:rPr>
                <w:sz w:val="22"/>
                <w:szCs w:val="22"/>
              </w:rPr>
              <w:t>(0.6%)</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3BD5CF" w14:textId="77777777" w:rsidR="00A47803" w:rsidRPr="00A47803" w:rsidRDefault="00A47803" w:rsidP="00A47803">
            <w:pPr>
              <w:pStyle w:val="BodyTextSMPC"/>
              <w:spacing w:after="0"/>
              <w:ind w:left="0"/>
              <w:jc w:val="left"/>
              <w:rPr>
                <w:sz w:val="22"/>
                <w:szCs w:val="22"/>
              </w:rPr>
            </w:pPr>
            <w:r w:rsidRPr="00A47803">
              <w:rPr>
                <w:sz w:val="22"/>
                <w:szCs w:val="22"/>
              </w:rPr>
              <w:t>104</w:t>
            </w:r>
          </w:p>
          <w:p w14:paraId="248626F0" w14:textId="77777777" w:rsidR="00A47803" w:rsidRPr="00A47803" w:rsidRDefault="00A47803" w:rsidP="00A47803">
            <w:pPr>
              <w:pStyle w:val="BodyTextSMPC"/>
              <w:spacing w:after="0"/>
              <w:ind w:left="0"/>
              <w:jc w:val="left"/>
              <w:rPr>
                <w:sz w:val="22"/>
                <w:szCs w:val="22"/>
              </w:rPr>
            </w:pPr>
            <w:r w:rsidRPr="00A47803">
              <w:rPr>
                <w:sz w:val="22"/>
                <w:szCs w:val="22"/>
              </w:rPr>
              <w:t>(2.9%)</w:t>
            </w:r>
          </w:p>
        </w:tc>
        <w:tc>
          <w:tcPr>
            <w:tcW w:w="4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909CA1" w14:textId="77777777" w:rsidR="00A47803" w:rsidRPr="00A47803" w:rsidRDefault="00A47803" w:rsidP="00A47803">
            <w:pPr>
              <w:pStyle w:val="BodyTextSMPC"/>
              <w:spacing w:after="0"/>
              <w:ind w:left="0"/>
              <w:jc w:val="left"/>
              <w:rPr>
                <w:sz w:val="22"/>
                <w:szCs w:val="22"/>
              </w:rPr>
            </w:pPr>
            <w:r w:rsidRPr="00A47803">
              <w:rPr>
                <w:sz w:val="22"/>
                <w:szCs w:val="22"/>
              </w:rPr>
              <w:t>62</w:t>
            </w:r>
          </w:p>
          <w:p w14:paraId="4BD5A55A" w14:textId="77777777" w:rsidR="00A47803" w:rsidRPr="00A47803" w:rsidRDefault="00A47803" w:rsidP="00A47803">
            <w:pPr>
              <w:pStyle w:val="BodyTextSMPC"/>
              <w:spacing w:after="0"/>
              <w:ind w:left="0"/>
              <w:jc w:val="left"/>
              <w:rPr>
                <w:sz w:val="22"/>
                <w:szCs w:val="22"/>
              </w:rPr>
            </w:pPr>
            <w:r w:rsidRPr="00A47803">
              <w:rPr>
                <w:sz w:val="22"/>
                <w:szCs w:val="22"/>
              </w:rPr>
              <w:t>(1.7%)</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5E3557DE" w14:textId="77777777" w:rsidR="00A47803" w:rsidRPr="00A47803" w:rsidRDefault="00A47803" w:rsidP="00A47803">
            <w:pPr>
              <w:pStyle w:val="BodyTextSMPC"/>
              <w:spacing w:after="0"/>
              <w:ind w:left="0"/>
              <w:jc w:val="left"/>
              <w:rPr>
                <w:sz w:val="22"/>
                <w:szCs w:val="22"/>
              </w:rPr>
            </w:pPr>
            <w:r w:rsidRPr="00A47803">
              <w:rPr>
                <w:sz w:val="22"/>
                <w:szCs w:val="22"/>
              </w:rPr>
              <w:t>DVT 49</w:t>
            </w:r>
          </w:p>
          <w:p w14:paraId="3F78C840" w14:textId="77777777" w:rsidR="00A47803" w:rsidRPr="00A47803" w:rsidRDefault="00A47803" w:rsidP="00A47803">
            <w:pPr>
              <w:pStyle w:val="BodyTextSMPC"/>
              <w:spacing w:after="0"/>
              <w:ind w:left="0"/>
              <w:jc w:val="left"/>
              <w:rPr>
                <w:sz w:val="22"/>
                <w:szCs w:val="22"/>
              </w:rPr>
            </w:pPr>
            <w:r w:rsidRPr="00A47803">
              <w:rPr>
                <w:sz w:val="22"/>
                <w:szCs w:val="22"/>
              </w:rPr>
              <w:t>(0.7%)</w:t>
            </w:r>
          </w:p>
          <w:p w14:paraId="17A7089C" w14:textId="77777777" w:rsidR="00A47803" w:rsidRPr="00A47803" w:rsidRDefault="00A47803" w:rsidP="00A47803">
            <w:pPr>
              <w:pStyle w:val="BodyTextSMPC"/>
              <w:spacing w:after="0"/>
              <w:ind w:left="0"/>
              <w:jc w:val="left"/>
              <w:rPr>
                <w:sz w:val="22"/>
                <w:szCs w:val="22"/>
              </w:rPr>
            </w:pPr>
            <w:r w:rsidRPr="00A47803">
              <w:rPr>
                <w:sz w:val="22"/>
                <w:szCs w:val="22"/>
              </w:rPr>
              <w:t>PE 28</w:t>
            </w:r>
          </w:p>
          <w:p w14:paraId="7E01F57A" w14:textId="77777777" w:rsidR="00A47803" w:rsidRPr="00A47803" w:rsidRDefault="00A47803" w:rsidP="00A47803">
            <w:pPr>
              <w:pStyle w:val="BodyTextSMPC"/>
              <w:spacing w:after="0"/>
              <w:ind w:left="0"/>
              <w:jc w:val="left"/>
              <w:rPr>
                <w:sz w:val="22"/>
                <w:szCs w:val="22"/>
              </w:rPr>
            </w:pPr>
            <w:r w:rsidRPr="00A47803">
              <w:rPr>
                <w:sz w:val="22"/>
                <w:szCs w:val="22"/>
              </w:rPr>
              <w:lastRenderedPageBreak/>
              <w:t>(0.4%)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2C333AFD" w14:textId="77777777" w:rsidR="00A47803" w:rsidRPr="00A47803" w:rsidRDefault="00A47803" w:rsidP="00A47803">
            <w:pPr>
              <w:pStyle w:val="BodyTextSMPC"/>
              <w:spacing w:after="0"/>
              <w:ind w:left="0"/>
              <w:jc w:val="left"/>
              <w:rPr>
                <w:sz w:val="22"/>
                <w:szCs w:val="22"/>
              </w:rPr>
            </w:pPr>
            <w:r w:rsidRPr="00A47803">
              <w:rPr>
                <w:sz w:val="22"/>
                <w:szCs w:val="22"/>
              </w:rPr>
              <w:lastRenderedPageBreak/>
              <w:t>DVT 34</w:t>
            </w:r>
          </w:p>
          <w:p w14:paraId="446AC484" w14:textId="77777777" w:rsidR="00A47803" w:rsidRPr="00A47803" w:rsidRDefault="00A47803" w:rsidP="00A47803">
            <w:pPr>
              <w:pStyle w:val="BodyTextSMPC"/>
              <w:spacing w:after="0"/>
              <w:ind w:left="0"/>
              <w:jc w:val="left"/>
              <w:rPr>
                <w:sz w:val="22"/>
                <w:szCs w:val="22"/>
              </w:rPr>
            </w:pPr>
            <w:r w:rsidRPr="00A47803">
              <w:rPr>
                <w:sz w:val="22"/>
                <w:szCs w:val="22"/>
              </w:rPr>
              <w:t>(0.5%)</w:t>
            </w:r>
          </w:p>
          <w:p w14:paraId="4F01D62B" w14:textId="77777777" w:rsidR="00A47803" w:rsidRPr="00A47803" w:rsidRDefault="00A47803" w:rsidP="00A47803">
            <w:pPr>
              <w:pStyle w:val="BodyTextSMPC"/>
              <w:spacing w:after="0"/>
              <w:ind w:left="0"/>
              <w:jc w:val="left"/>
              <w:rPr>
                <w:sz w:val="22"/>
                <w:szCs w:val="22"/>
              </w:rPr>
            </w:pPr>
            <w:r w:rsidRPr="00A47803">
              <w:rPr>
                <w:sz w:val="22"/>
                <w:szCs w:val="22"/>
              </w:rPr>
              <w:t>PE 13</w:t>
            </w:r>
          </w:p>
          <w:p w14:paraId="1481FDC6" w14:textId="77777777" w:rsidR="00A47803" w:rsidRPr="00A47803" w:rsidRDefault="00A47803" w:rsidP="00A47803">
            <w:pPr>
              <w:pStyle w:val="BodyTextSMPC"/>
              <w:spacing w:after="0"/>
              <w:ind w:left="0"/>
              <w:jc w:val="left"/>
              <w:rPr>
                <w:sz w:val="22"/>
                <w:szCs w:val="22"/>
              </w:rPr>
            </w:pPr>
            <w:r w:rsidRPr="00A47803">
              <w:rPr>
                <w:sz w:val="22"/>
                <w:szCs w:val="22"/>
              </w:rPr>
              <w:lastRenderedPageBreak/>
              <w:t>(0.2%)</w:t>
            </w:r>
          </w:p>
        </w:tc>
        <w:tc>
          <w:tcPr>
            <w:tcW w:w="5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F159B6" w14:textId="77777777" w:rsidR="00A47803" w:rsidRPr="00A47803" w:rsidRDefault="00A47803" w:rsidP="00A47803">
            <w:pPr>
              <w:pStyle w:val="BodyTextSMPC"/>
              <w:spacing w:after="0"/>
              <w:ind w:left="0"/>
              <w:jc w:val="left"/>
              <w:rPr>
                <w:sz w:val="22"/>
                <w:szCs w:val="22"/>
              </w:rPr>
            </w:pPr>
            <w:r w:rsidRPr="00A47803">
              <w:rPr>
                <w:sz w:val="22"/>
                <w:szCs w:val="22"/>
              </w:rPr>
              <w:lastRenderedPageBreak/>
              <w:t>8</w:t>
            </w:r>
          </w:p>
          <w:p w14:paraId="1B0B9195" w14:textId="77777777" w:rsidR="00A47803" w:rsidRPr="00A47803" w:rsidRDefault="00A47803" w:rsidP="00A47803">
            <w:pPr>
              <w:pStyle w:val="BodyTextSMPC"/>
              <w:spacing w:after="0"/>
              <w:ind w:left="0"/>
              <w:jc w:val="left"/>
              <w:rPr>
                <w:sz w:val="22"/>
                <w:szCs w:val="22"/>
              </w:rPr>
            </w:pPr>
            <w:r w:rsidRPr="00A47803">
              <w:rPr>
                <w:sz w:val="22"/>
                <w:szCs w:val="22"/>
              </w:rPr>
              <w:t>(0.6%)</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DCBB46" w14:textId="77777777" w:rsidR="00A47803" w:rsidRPr="00A47803" w:rsidRDefault="00A47803" w:rsidP="00A47803">
            <w:pPr>
              <w:pStyle w:val="BodyTextSMPC"/>
              <w:spacing w:after="0"/>
              <w:ind w:left="0"/>
              <w:jc w:val="left"/>
              <w:rPr>
                <w:sz w:val="22"/>
                <w:szCs w:val="22"/>
              </w:rPr>
            </w:pPr>
            <w:r w:rsidRPr="00A47803">
              <w:rPr>
                <w:sz w:val="22"/>
                <w:szCs w:val="22"/>
              </w:rPr>
              <w:t>3</w:t>
            </w:r>
          </w:p>
          <w:p w14:paraId="20094479" w14:textId="77777777" w:rsidR="00A47803" w:rsidRPr="00A47803" w:rsidRDefault="00A47803" w:rsidP="00A47803">
            <w:pPr>
              <w:pStyle w:val="BodyTextSMPC"/>
              <w:spacing w:after="0"/>
              <w:ind w:left="0"/>
              <w:jc w:val="left"/>
              <w:rPr>
                <w:sz w:val="22"/>
                <w:szCs w:val="22"/>
              </w:rPr>
            </w:pPr>
            <w:r w:rsidRPr="00A47803">
              <w:rPr>
                <w:sz w:val="22"/>
                <w:szCs w:val="22"/>
              </w:rPr>
              <w:t>(0.2%)</w:t>
            </w:r>
          </w:p>
        </w:tc>
      </w:tr>
      <w:tr w:rsidR="00A47803" w:rsidRPr="00A47803" w14:paraId="0D7A7109"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45DEBCAC"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CF8FE16" w14:textId="77777777" w:rsidR="00A47803" w:rsidRPr="00A47803" w:rsidRDefault="00A47803" w:rsidP="00A47803">
            <w:pPr>
              <w:pStyle w:val="BodyTextSMPC"/>
              <w:spacing w:after="0"/>
              <w:ind w:left="0"/>
              <w:jc w:val="left"/>
              <w:rPr>
                <w:sz w:val="22"/>
                <w:szCs w:val="22"/>
              </w:rPr>
            </w:pPr>
            <w:r w:rsidRPr="00A47803">
              <w:rPr>
                <w:sz w:val="22"/>
                <w:szCs w:val="22"/>
              </w:rPr>
              <w:t>OR 1.60</w:t>
            </w:r>
          </w:p>
          <w:p w14:paraId="47383F2D" w14:textId="77777777" w:rsidR="00A47803" w:rsidRPr="00A47803" w:rsidRDefault="00A47803" w:rsidP="00A47803">
            <w:pPr>
              <w:pStyle w:val="BodyTextSMPC"/>
              <w:spacing w:after="0"/>
              <w:ind w:left="0"/>
              <w:jc w:val="left"/>
              <w:rPr>
                <w:sz w:val="22"/>
                <w:szCs w:val="22"/>
              </w:rPr>
            </w:pPr>
            <w:r w:rsidRPr="00A47803">
              <w:rPr>
                <w:sz w:val="22"/>
                <w:szCs w:val="22"/>
              </w:rPr>
              <w:t>(95%CI 1.21-2.12)</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3DC6921" w14:textId="77777777" w:rsidR="00A47803" w:rsidRPr="00A47803" w:rsidRDefault="00A47803" w:rsidP="00A47803">
            <w:pPr>
              <w:pStyle w:val="BodyTextSMPC"/>
              <w:spacing w:after="0"/>
              <w:ind w:left="0"/>
              <w:jc w:val="left"/>
              <w:rPr>
                <w:sz w:val="22"/>
                <w:szCs w:val="22"/>
              </w:rPr>
            </w:pPr>
            <w:r w:rsidRPr="00A47803">
              <w:rPr>
                <w:sz w:val="22"/>
                <w:szCs w:val="22"/>
              </w:rPr>
              <w:t>OR 1.70</w:t>
            </w:r>
          </w:p>
          <w:p w14:paraId="49B9F147" w14:textId="77777777" w:rsidR="00A47803" w:rsidRPr="00A47803" w:rsidRDefault="00A47803" w:rsidP="00A47803">
            <w:pPr>
              <w:pStyle w:val="BodyTextSMPC"/>
              <w:spacing w:after="0"/>
              <w:ind w:left="0"/>
              <w:jc w:val="left"/>
              <w:rPr>
                <w:sz w:val="22"/>
                <w:szCs w:val="22"/>
              </w:rPr>
            </w:pPr>
            <w:r w:rsidRPr="00A47803">
              <w:rPr>
                <w:sz w:val="22"/>
                <w:szCs w:val="22"/>
              </w:rPr>
              <w:t>(95%CI 1.22-2.37)</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D6A05E8" w14:textId="77777777" w:rsidR="00A47803" w:rsidRPr="00A47803" w:rsidRDefault="00A47803" w:rsidP="00A47803">
            <w:pPr>
              <w:pStyle w:val="BodyTextSMPC"/>
              <w:spacing w:after="0"/>
              <w:ind w:left="0"/>
              <w:jc w:val="left"/>
              <w:rPr>
                <w:sz w:val="22"/>
                <w:szCs w:val="22"/>
              </w:rPr>
            </w:pPr>
            <w:r w:rsidRPr="00A47803">
              <w:rPr>
                <w:sz w:val="22"/>
                <w:szCs w:val="22"/>
              </w:rPr>
              <w:t>DVT RR 1.44 (95%CI 0.91-2.30) PE RR 2.15 (95%CI 1.08-4.51)</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771A2AB"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65AD4C8A"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D4F23DD" w14:textId="77777777" w:rsidR="00A47803" w:rsidRPr="00A47803" w:rsidRDefault="00A47803" w:rsidP="00A47803">
            <w:pPr>
              <w:pStyle w:val="BodyTextSMPC"/>
              <w:spacing w:after="0"/>
              <w:ind w:left="0"/>
              <w:jc w:val="left"/>
              <w:rPr>
                <w:sz w:val="22"/>
                <w:szCs w:val="22"/>
              </w:rPr>
            </w:pPr>
            <w:r w:rsidRPr="00A47803">
              <w:rPr>
                <w:sz w:val="22"/>
                <w:szCs w:val="22"/>
              </w:rPr>
              <w:t>Stroke</w:t>
            </w:r>
          </w:p>
        </w:tc>
        <w:tc>
          <w:tcPr>
            <w:tcW w:w="972"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1F9499" w14:textId="77777777" w:rsidR="00A47803" w:rsidRPr="00A47803" w:rsidRDefault="00A47803" w:rsidP="00A47803">
            <w:pPr>
              <w:pStyle w:val="BodyTextSMPC"/>
              <w:spacing w:after="0"/>
              <w:ind w:left="0"/>
              <w:jc w:val="left"/>
              <w:rPr>
                <w:sz w:val="22"/>
                <w:szCs w:val="22"/>
              </w:rPr>
            </w:pPr>
            <w:r w:rsidRPr="00A47803">
              <w:rPr>
                <w:sz w:val="22"/>
                <w:szCs w:val="22"/>
              </w:rPr>
              <w:t>NR</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66949E13" w14:textId="77777777" w:rsidR="00A47803" w:rsidRPr="00A47803" w:rsidRDefault="00A47803" w:rsidP="00A47803">
            <w:pPr>
              <w:pStyle w:val="BodyTextSMPC"/>
              <w:spacing w:after="0"/>
              <w:ind w:left="0"/>
              <w:jc w:val="left"/>
              <w:rPr>
                <w:sz w:val="22"/>
                <w:szCs w:val="22"/>
              </w:rPr>
            </w:pPr>
            <w:r w:rsidRPr="00A47803">
              <w:rPr>
                <w:sz w:val="22"/>
                <w:szCs w:val="22"/>
              </w:rPr>
              <w:t>30</w:t>
            </w:r>
          </w:p>
          <w:p w14:paraId="6E813FB4"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6F75BF71" w14:textId="77777777" w:rsidR="00A47803" w:rsidRPr="00A47803" w:rsidRDefault="00A47803" w:rsidP="00A47803">
            <w:pPr>
              <w:pStyle w:val="BodyTextSMPC"/>
              <w:spacing w:after="0"/>
              <w:ind w:left="0"/>
              <w:jc w:val="left"/>
              <w:rPr>
                <w:sz w:val="22"/>
                <w:szCs w:val="22"/>
              </w:rPr>
            </w:pPr>
            <w:r w:rsidRPr="00A47803">
              <w:rPr>
                <w:sz w:val="22"/>
                <w:szCs w:val="22"/>
              </w:rPr>
              <w:t>28</w:t>
            </w:r>
          </w:p>
          <w:p w14:paraId="133E575A"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59A9D091" w14:textId="77777777" w:rsidR="00A47803" w:rsidRPr="00A47803" w:rsidRDefault="00A47803" w:rsidP="00A47803">
            <w:pPr>
              <w:pStyle w:val="BodyTextSMPC"/>
              <w:spacing w:after="0"/>
              <w:ind w:left="0"/>
              <w:jc w:val="left"/>
              <w:rPr>
                <w:sz w:val="22"/>
                <w:szCs w:val="22"/>
              </w:rPr>
            </w:pPr>
            <w:r w:rsidRPr="00A47803">
              <w:rPr>
                <w:sz w:val="22"/>
                <w:szCs w:val="22"/>
              </w:rPr>
              <w:t>71</w:t>
            </w:r>
          </w:p>
          <w:p w14:paraId="62B31F58" w14:textId="77777777" w:rsidR="00A47803" w:rsidRPr="00A47803" w:rsidRDefault="00A47803" w:rsidP="00A47803">
            <w:pPr>
              <w:pStyle w:val="BodyTextSMPC"/>
              <w:spacing w:after="0"/>
              <w:ind w:left="0"/>
              <w:jc w:val="left"/>
              <w:rPr>
                <w:sz w:val="22"/>
                <w:szCs w:val="22"/>
              </w:rPr>
            </w:pPr>
            <w:r w:rsidRPr="00A47803">
              <w:rPr>
                <w:sz w:val="22"/>
                <w:szCs w:val="22"/>
              </w:rPr>
              <w:t>(1.1%)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0CC6568D" w14:textId="77777777" w:rsidR="00A47803" w:rsidRPr="00A47803" w:rsidRDefault="00A47803" w:rsidP="00A47803">
            <w:pPr>
              <w:pStyle w:val="BodyTextSMPC"/>
              <w:spacing w:after="0"/>
              <w:ind w:left="0"/>
              <w:jc w:val="left"/>
              <w:rPr>
                <w:sz w:val="22"/>
                <w:szCs w:val="22"/>
              </w:rPr>
            </w:pPr>
            <w:r w:rsidRPr="00A47803">
              <w:rPr>
                <w:sz w:val="22"/>
                <w:szCs w:val="22"/>
              </w:rPr>
              <w:t>50</w:t>
            </w:r>
          </w:p>
          <w:p w14:paraId="2FF3220F" w14:textId="77777777" w:rsidR="00A47803" w:rsidRPr="00A47803" w:rsidRDefault="00A47803" w:rsidP="00A47803">
            <w:pPr>
              <w:pStyle w:val="BodyTextSMPC"/>
              <w:spacing w:after="0"/>
              <w:ind w:left="0"/>
              <w:jc w:val="left"/>
              <w:rPr>
                <w:sz w:val="22"/>
                <w:szCs w:val="22"/>
              </w:rPr>
            </w:pPr>
            <w:r w:rsidRPr="00A47803">
              <w:rPr>
                <w:sz w:val="22"/>
                <w:szCs w:val="22"/>
              </w:rPr>
              <w:t>(0.8%)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1D6E7431" w14:textId="77777777" w:rsidR="00A47803" w:rsidRPr="00A47803" w:rsidRDefault="00A47803" w:rsidP="00A47803">
            <w:pPr>
              <w:pStyle w:val="BodyTextSMPC"/>
              <w:spacing w:after="0"/>
              <w:ind w:left="0"/>
              <w:jc w:val="left"/>
              <w:rPr>
                <w:sz w:val="22"/>
                <w:szCs w:val="22"/>
              </w:rPr>
            </w:pPr>
            <w:r w:rsidRPr="00A47803">
              <w:rPr>
                <w:sz w:val="22"/>
                <w:szCs w:val="22"/>
              </w:rPr>
              <w:t>7</w:t>
            </w:r>
          </w:p>
          <w:p w14:paraId="316C2E01" w14:textId="77777777" w:rsidR="00A47803" w:rsidRPr="00A47803" w:rsidRDefault="00A47803" w:rsidP="00A47803">
            <w:pPr>
              <w:pStyle w:val="BodyTextSMPC"/>
              <w:spacing w:after="0"/>
              <w:ind w:left="0"/>
              <w:jc w:val="left"/>
              <w:rPr>
                <w:sz w:val="22"/>
                <w:szCs w:val="22"/>
              </w:rPr>
            </w:pPr>
            <w:r w:rsidRPr="00A47803">
              <w:rPr>
                <w:sz w:val="22"/>
                <w:szCs w:val="22"/>
              </w:rPr>
              <w:t>(0.6%)</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1E2DAAAA" w14:textId="77777777" w:rsidR="00A47803" w:rsidRPr="00A47803" w:rsidRDefault="00A47803" w:rsidP="00A47803">
            <w:pPr>
              <w:pStyle w:val="BodyTextSMPC"/>
              <w:spacing w:after="0"/>
              <w:ind w:left="0"/>
              <w:jc w:val="left"/>
              <w:rPr>
                <w:sz w:val="22"/>
                <w:szCs w:val="22"/>
              </w:rPr>
            </w:pPr>
            <w:r w:rsidRPr="00A47803">
              <w:rPr>
                <w:sz w:val="22"/>
                <w:szCs w:val="22"/>
              </w:rPr>
              <w:t>9</w:t>
            </w:r>
          </w:p>
          <w:p w14:paraId="58F90E7A" w14:textId="77777777" w:rsidR="00A47803" w:rsidRPr="00A47803" w:rsidRDefault="00A47803" w:rsidP="00A47803">
            <w:pPr>
              <w:pStyle w:val="BodyTextSMPC"/>
              <w:spacing w:after="0"/>
              <w:ind w:left="0"/>
              <w:jc w:val="left"/>
              <w:rPr>
                <w:sz w:val="22"/>
                <w:szCs w:val="22"/>
              </w:rPr>
            </w:pPr>
            <w:r w:rsidRPr="00A47803">
              <w:rPr>
                <w:sz w:val="22"/>
                <w:szCs w:val="22"/>
              </w:rPr>
              <w:t>(0.7%)</w:t>
            </w:r>
          </w:p>
        </w:tc>
      </w:tr>
      <w:tr w:rsidR="00A47803" w:rsidRPr="00A47803" w14:paraId="6752D737"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445E2B64" w14:textId="77777777" w:rsidR="00A47803" w:rsidRPr="00A47803" w:rsidRDefault="00A47803" w:rsidP="00A47803">
            <w:pPr>
              <w:pStyle w:val="BodyTextSMPC"/>
              <w:spacing w:after="0"/>
              <w:ind w:left="0"/>
              <w:jc w:val="left"/>
              <w:rPr>
                <w:sz w:val="22"/>
                <w:szCs w:val="22"/>
              </w:rPr>
            </w:pPr>
          </w:p>
        </w:tc>
        <w:tc>
          <w:tcPr>
            <w:tcW w:w="972" w:type="pct"/>
            <w:gridSpan w:val="2"/>
            <w:vMerge/>
            <w:tcBorders>
              <w:top w:val="outset" w:sz="6" w:space="0" w:color="auto"/>
              <w:left w:val="outset" w:sz="6" w:space="0" w:color="auto"/>
              <w:bottom w:val="outset" w:sz="6" w:space="0" w:color="auto"/>
              <w:right w:val="outset" w:sz="6" w:space="0" w:color="auto"/>
            </w:tcBorders>
            <w:shd w:val="clear" w:color="auto" w:fill="FFFFFF"/>
            <w:hideMark/>
          </w:tcPr>
          <w:p w14:paraId="6BB36C53" w14:textId="77777777" w:rsidR="00A47803" w:rsidRPr="00A47803" w:rsidRDefault="00A47803" w:rsidP="00A47803">
            <w:pPr>
              <w:pStyle w:val="BodyTextSMPC"/>
              <w:spacing w:after="0"/>
              <w:ind w:left="0"/>
              <w:jc w:val="left"/>
              <w:rPr>
                <w:sz w:val="22"/>
                <w:szCs w:val="22"/>
              </w:rPr>
            </w:pP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D4F938D" w14:textId="77777777" w:rsidR="00A47803" w:rsidRPr="00A47803" w:rsidRDefault="00A47803" w:rsidP="00A47803">
            <w:pPr>
              <w:pStyle w:val="BodyTextSMPC"/>
              <w:spacing w:after="0"/>
              <w:ind w:left="0"/>
              <w:jc w:val="left"/>
              <w:rPr>
                <w:sz w:val="22"/>
                <w:szCs w:val="22"/>
              </w:rPr>
            </w:pPr>
            <w:r w:rsidRPr="00A47803">
              <w:rPr>
                <w:sz w:val="22"/>
                <w:szCs w:val="22"/>
              </w:rPr>
              <w:t>OR 1.07</w:t>
            </w:r>
          </w:p>
          <w:p w14:paraId="50DC7B89" w14:textId="77777777" w:rsidR="00A47803" w:rsidRPr="00A47803" w:rsidRDefault="00A47803" w:rsidP="00A47803">
            <w:pPr>
              <w:pStyle w:val="BodyTextSMPC"/>
              <w:spacing w:after="0"/>
              <w:ind w:left="0"/>
              <w:jc w:val="left"/>
              <w:rPr>
                <w:sz w:val="22"/>
                <w:szCs w:val="22"/>
              </w:rPr>
            </w:pPr>
            <w:r w:rsidRPr="00A47803">
              <w:rPr>
                <w:sz w:val="22"/>
                <w:szCs w:val="22"/>
              </w:rPr>
              <w:t>(95%CI 0.62-1.86)</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57C2584" w14:textId="77777777" w:rsidR="00A47803" w:rsidRPr="00A47803" w:rsidRDefault="00A47803" w:rsidP="00A47803">
            <w:pPr>
              <w:pStyle w:val="BodyTextSMPC"/>
              <w:spacing w:after="0"/>
              <w:ind w:left="0"/>
              <w:jc w:val="left"/>
              <w:rPr>
                <w:sz w:val="22"/>
                <w:szCs w:val="22"/>
              </w:rPr>
            </w:pPr>
            <w:r w:rsidRPr="00A47803">
              <w:rPr>
                <w:sz w:val="22"/>
                <w:szCs w:val="22"/>
              </w:rPr>
              <w:t>RR 1.42</w:t>
            </w:r>
          </w:p>
          <w:p w14:paraId="76B7FE42" w14:textId="77777777" w:rsidR="00A47803" w:rsidRPr="00A47803" w:rsidRDefault="00A47803" w:rsidP="00A47803">
            <w:pPr>
              <w:pStyle w:val="BodyTextSMPC"/>
              <w:spacing w:after="0"/>
              <w:ind w:left="0"/>
              <w:jc w:val="left"/>
              <w:rPr>
                <w:sz w:val="22"/>
                <w:szCs w:val="22"/>
              </w:rPr>
            </w:pPr>
            <w:r w:rsidRPr="00A47803">
              <w:rPr>
                <w:sz w:val="22"/>
                <w:szCs w:val="22"/>
              </w:rPr>
              <w:t>(95%CI 0.97-2.08)</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BA22ADB" w14:textId="77777777" w:rsidR="00A47803" w:rsidRPr="00A47803" w:rsidRDefault="00A47803" w:rsidP="00A47803">
            <w:pPr>
              <w:pStyle w:val="BodyTextSMPC"/>
              <w:spacing w:after="0"/>
              <w:ind w:left="0"/>
              <w:jc w:val="left"/>
              <w:rPr>
                <w:sz w:val="22"/>
                <w:szCs w:val="22"/>
              </w:rPr>
            </w:pPr>
            <w:r w:rsidRPr="00A47803">
              <w:rPr>
                <w:sz w:val="22"/>
                <w:szCs w:val="22"/>
              </w:rPr>
              <w:t>NR</w:t>
            </w:r>
          </w:p>
        </w:tc>
      </w:tr>
      <w:tr w:rsidR="00A47803" w:rsidRPr="00A47803" w14:paraId="4B2BCC47" w14:textId="77777777" w:rsidTr="00A47803">
        <w:trPr>
          <w:tblCellSpacing w:w="0" w:type="dxa"/>
        </w:trPr>
        <w:tc>
          <w:tcPr>
            <w:tcW w:w="96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0175A01" w14:textId="77777777" w:rsidR="00A47803" w:rsidRPr="00A47803" w:rsidRDefault="00A47803" w:rsidP="00A47803">
            <w:pPr>
              <w:pStyle w:val="BodyTextSMPC"/>
              <w:spacing w:after="0"/>
              <w:ind w:left="0"/>
              <w:jc w:val="left"/>
              <w:rPr>
                <w:sz w:val="22"/>
                <w:szCs w:val="22"/>
              </w:rPr>
            </w:pPr>
            <w:r w:rsidRPr="00A47803">
              <w:rPr>
                <w:sz w:val="22"/>
                <w:szCs w:val="22"/>
              </w:rPr>
              <w:t>Fractures</w:t>
            </w:r>
          </w:p>
        </w:tc>
        <w:tc>
          <w:tcPr>
            <w:tcW w:w="522" w:type="pct"/>
            <w:tcBorders>
              <w:top w:val="outset" w:sz="6" w:space="0" w:color="auto"/>
              <w:left w:val="outset" w:sz="6" w:space="0" w:color="auto"/>
              <w:bottom w:val="outset" w:sz="6" w:space="0" w:color="auto"/>
              <w:right w:val="outset" w:sz="6" w:space="0" w:color="auto"/>
            </w:tcBorders>
            <w:shd w:val="clear" w:color="auto" w:fill="FFFFFF"/>
            <w:hideMark/>
          </w:tcPr>
          <w:p w14:paraId="4AE4D053" w14:textId="77777777" w:rsidR="00A47803" w:rsidRPr="00A47803" w:rsidRDefault="00A47803" w:rsidP="00A47803">
            <w:pPr>
              <w:pStyle w:val="BodyTextSMPC"/>
              <w:spacing w:after="0"/>
              <w:ind w:left="0"/>
              <w:jc w:val="left"/>
              <w:rPr>
                <w:sz w:val="22"/>
                <w:szCs w:val="22"/>
              </w:rPr>
            </w:pPr>
            <w:r w:rsidRPr="00A47803">
              <w:rPr>
                <w:sz w:val="22"/>
                <w:szCs w:val="22"/>
              </w:rPr>
              <w:t>731</w:t>
            </w:r>
          </w:p>
          <w:p w14:paraId="4718D2A6" w14:textId="77777777" w:rsidR="00A47803" w:rsidRPr="00A47803" w:rsidRDefault="00A47803" w:rsidP="00A47803">
            <w:pPr>
              <w:pStyle w:val="BodyTextSMPC"/>
              <w:spacing w:after="0"/>
              <w:ind w:left="0"/>
              <w:jc w:val="left"/>
              <w:rPr>
                <w:sz w:val="22"/>
                <w:szCs w:val="22"/>
              </w:rPr>
            </w:pPr>
            <w:r w:rsidRPr="00A47803">
              <w:rPr>
                <w:sz w:val="22"/>
                <w:szCs w:val="22"/>
              </w:rPr>
              <w:t>(5.2%)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1E56039F" w14:textId="77777777" w:rsidR="00A47803" w:rsidRPr="00A47803" w:rsidRDefault="00A47803" w:rsidP="00A47803">
            <w:pPr>
              <w:pStyle w:val="BodyTextSMPC"/>
              <w:spacing w:after="0"/>
              <w:ind w:left="0"/>
              <w:jc w:val="left"/>
              <w:rPr>
                <w:sz w:val="22"/>
                <w:szCs w:val="22"/>
              </w:rPr>
            </w:pPr>
            <w:r w:rsidRPr="00A47803">
              <w:rPr>
                <w:sz w:val="22"/>
                <w:szCs w:val="22"/>
              </w:rPr>
              <w:t>791</w:t>
            </w:r>
          </w:p>
          <w:p w14:paraId="64D5B204" w14:textId="77777777" w:rsidR="00A47803" w:rsidRPr="00A47803" w:rsidRDefault="00A47803" w:rsidP="00A47803">
            <w:pPr>
              <w:pStyle w:val="BodyTextSMPC"/>
              <w:spacing w:after="0"/>
              <w:ind w:left="0"/>
              <w:jc w:val="left"/>
              <w:rPr>
                <w:sz w:val="22"/>
                <w:szCs w:val="22"/>
              </w:rPr>
            </w:pPr>
            <w:r w:rsidRPr="00A47803">
              <w:rPr>
                <w:sz w:val="22"/>
                <w:szCs w:val="22"/>
              </w:rPr>
              <w:t>(5.6%)</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751B39B0" w14:textId="77777777" w:rsidR="00A47803" w:rsidRPr="00A47803" w:rsidRDefault="00A47803" w:rsidP="00A47803">
            <w:pPr>
              <w:pStyle w:val="BodyTextSMPC"/>
              <w:spacing w:after="0"/>
              <w:ind w:left="0"/>
              <w:jc w:val="left"/>
              <w:rPr>
                <w:sz w:val="22"/>
                <w:szCs w:val="22"/>
              </w:rPr>
            </w:pPr>
            <w:r w:rsidRPr="00A47803">
              <w:rPr>
                <w:sz w:val="22"/>
                <w:szCs w:val="22"/>
              </w:rPr>
              <w:t>240</w:t>
            </w:r>
          </w:p>
          <w:p w14:paraId="308106E8" w14:textId="77777777" w:rsidR="00A47803" w:rsidRPr="00A47803" w:rsidRDefault="00A47803" w:rsidP="00A47803">
            <w:pPr>
              <w:pStyle w:val="BodyTextSMPC"/>
              <w:spacing w:after="0"/>
              <w:ind w:left="0"/>
              <w:jc w:val="left"/>
              <w:rPr>
                <w:sz w:val="22"/>
                <w:szCs w:val="22"/>
              </w:rPr>
            </w:pPr>
            <w:r w:rsidRPr="00A47803">
              <w:rPr>
                <w:sz w:val="22"/>
                <w:szCs w:val="22"/>
              </w:rPr>
              <w:t>(6.7%)</w:t>
            </w:r>
          </w:p>
        </w:tc>
        <w:tc>
          <w:tcPr>
            <w:tcW w:w="449" w:type="pct"/>
            <w:tcBorders>
              <w:top w:val="outset" w:sz="6" w:space="0" w:color="auto"/>
              <w:left w:val="outset" w:sz="6" w:space="0" w:color="auto"/>
              <w:bottom w:val="outset" w:sz="6" w:space="0" w:color="auto"/>
              <w:right w:val="outset" w:sz="6" w:space="0" w:color="auto"/>
            </w:tcBorders>
            <w:shd w:val="clear" w:color="auto" w:fill="FFFFFF"/>
            <w:hideMark/>
          </w:tcPr>
          <w:p w14:paraId="60F2B065" w14:textId="77777777" w:rsidR="00A47803" w:rsidRPr="00A47803" w:rsidRDefault="00A47803" w:rsidP="00A47803">
            <w:pPr>
              <w:pStyle w:val="BodyTextSMPC"/>
              <w:spacing w:after="0"/>
              <w:ind w:left="0"/>
              <w:jc w:val="left"/>
              <w:rPr>
                <w:sz w:val="22"/>
                <w:szCs w:val="22"/>
              </w:rPr>
            </w:pPr>
            <w:r w:rsidRPr="00A47803">
              <w:rPr>
                <w:sz w:val="22"/>
                <w:szCs w:val="22"/>
              </w:rPr>
              <w:t>235</w:t>
            </w:r>
          </w:p>
          <w:p w14:paraId="596602C8" w14:textId="77777777" w:rsidR="00A47803" w:rsidRPr="00A47803" w:rsidRDefault="00A47803" w:rsidP="00A47803">
            <w:pPr>
              <w:pStyle w:val="BodyTextSMPC"/>
              <w:spacing w:after="0"/>
              <w:ind w:left="0"/>
              <w:jc w:val="left"/>
              <w:rPr>
                <w:sz w:val="22"/>
                <w:szCs w:val="22"/>
              </w:rPr>
            </w:pPr>
            <w:r w:rsidRPr="00A47803">
              <w:rPr>
                <w:sz w:val="22"/>
                <w:szCs w:val="22"/>
              </w:rPr>
              <w:t>(6.6%)</w:t>
            </w:r>
          </w:p>
        </w:tc>
        <w:tc>
          <w:tcPr>
            <w:tcW w:w="596" w:type="pct"/>
            <w:tcBorders>
              <w:top w:val="outset" w:sz="6" w:space="0" w:color="auto"/>
              <w:left w:val="outset" w:sz="6" w:space="0" w:color="auto"/>
              <w:bottom w:val="outset" w:sz="6" w:space="0" w:color="auto"/>
              <w:right w:val="outset" w:sz="6" w:space="0" w:color="auto"/>
            </w:tcBorders>
            <w:shd w:val="clear" w:color="auto" w:fill="FFFFFF"/>
            <w:hideMark/>
          </w:tcPr>
          <w:p w14:paraId="3985A8AB" w14:textId="77777777" w:rsidR="00A47803" w:rsidRPr="00A47803" w:rsidRDefault="00A47803" w:rsidP="00A47803">
            <w:pPr>
              <w:pStyle w:val="BodyTextSMPC"/>
              <w:spacing w:after="0"/>
              <w:ind w:left="0"/>
              <w:jc w:val="left"/>
              <w:rPr>
                <w:sz w:val="22"/>
                <w:szCs w:val="22"/>
              </w:rPr>
            </w:pPr>
            <w:r w:rsidRPr="00A47803">
              <w:rPr>
                <w:sz w:val="22"/>
                <w:szCs w:val="22"/>
              </w:rPr>
              <w:t>80</w:t>
            </w:r>
          </w:p>
          <w:p w14:paraId="57A4852E" w14:textId="77777777" w:rsidR="00A47803" w:rsidRPr="00A47803" w:rsidRDefault="00A47803" w:rsidP="00A47803">
            <w:pPr>
              <w:pStyle w:val="BodyTextSMPC"/>
              <w:spacing w:after="0"/>
              <w:ind w:left="0"/>
              <w:jc w:val="left"/>
              <w:rPr>
                <w:sz w:val="22"/>
                <w:szCs w:val="22"/>
              </w:rPr>
            </w:pPr>
            <w:r w:rsidRPr="00A47803">
              <w:rPr>
                <w:sz w:val="22"/>
                <w:szCs w:val="22"/>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14:paraId="5D96267A" w14:textId="77777777" w:rsidR="00A47803" w:rsidRPr="00A47803" w:rsidRDefault="00A47803" w:rsidP="00A47803">
            <w:pPr>
              <w:pStyle w:val="BodyTextSMPC"/>
              <w:spacing w:after="0"/>
              <w:ind w:left="0"/>
              <w:jc w:val="left"/>
              <w:rPr>
                <w:sz w:val="22"/>
                <w:szCs w:val="22"/>
              </w:rPr>
            </w:pPr>
            <w:r w:rsidRPr="00A47803">
              <w:rPr>
                <w:sz w:val="22"/>
                <w:szCs w:val="22"/>
              </w:rPr>
              <w:t>116</w:t>
            </w:r>
          </w:p>
          <w:p w14:paraId="644EFE52" w14:textId="77777777" w:rsidR="00A47803" w:rsidRPr="00A47803" w:rsidRDefault="00A47803" w:rsidP="00A47803">
            <w:pPr>
              <w:pStyle w:val="BodyTextSMPC"/>
              <w:spacing w:after="0"/>
              <w:ind w:left="0"/>
              <w:jc w:val="left"/>
              <w:rPr>
                <w:sz w:val="22"/>
                <w:szCs w:val="22"/>
              </w:rPr>
            </w:pPr>
            <w:r w:rsidRPr="00A47803">
              <w:rPr>
                <w:sz w:val="22"/>
                <w:szCs w:val="22"/>
              </w:rPr>
              <w:t>(1.8%)</w:t>
            </w:r>
          </w:p>
        </w:tc>
        <w:tc>
          <w:tcPr>
            <w:tcW w:w="521" w:type="pct"/>
            <w:tcBorders>
              <w:top w:val="outset" w:sz="6" w:space="0" w:color="auto"/>
              <w:left w:val="outset" w:sz="6" w:space="0" w:color="auto"/>
              <w:bottom w:val="outset" w:sz="6" w:space="0" w:color="auto"/>
              <w:right w:val="outset" w:sz="6" w:space="0" w:color="auto"/>
            </w:tcBorders>
            <w:shd w:val="clear" w:color="auto" w:fill="FFFFFF"/>
            <w:hideMark/>
          </w:tcPr>
          <w:p w14:paraId="457F6E20" w14:textId="77777777" w:rsidR="00A47803" w:rsidRPr="00A47803" w:rsidRDefault="00A47803" w:rsidP="00A47803">
            <w:pPr>
              <w:pStyle w:val="BodyTextSMPC"/>
              <w:spacing w:after="0"/>
              <w:ind w:left="0"/>
              <w:jc w:val="left"/>
              <w:rPr>
                <w:sz w:val="22"/>
                <w:szCs w:val="22"/>
              </w:rPr>
            </w:pPr>
            <w:r w:rsidRPr="00A47803">
              <w:rPr>
                <w:sz w:val="22"/>
                <w:szCs w:val="22"/>
              </w:rPr>
              <w:t>19</w:t>
            </w:r>
          </w:p>
          <w:p w14:paraId="44B08F67" w14:textId="77777777" w:rsidR="00A47803" w:rsidRPr="00A47803" w:rsidRDefault="00A47803" w:rsidP="00A47803">
            <w:pPr>
              <w:pStyle w:val="BodyTextSMPC"/>
              <w:spacing w:after="0"/>
              <w:ind w:left="0"/>
              <w:jc w:val="left"/>
              <w:rPr>
                <w:sz w:val="22"/>
                <w:szCs w:val="22"/>
              </w:rPr>
            </w:pPr>
            <w:r w:rsidRPr="00A47803">
              <w:rPr>
                <w:sz w:val="22"/>
                <w:szCs w:val="22"/>
              </w:rPr>
              <w:t>(1.5%)</w:t>
            </w:r>
          </w:p>
        </w:tc>
        <w:tc>
          <w:tcPr>
            <w:tcW w:w="523" w:type="pct"/>
            <w:tcBorders>
              <w:top w:val="outset" w:sz="6" w:space="0" w:color="auto"/>
              <w:left w:val="outset" w:sz="6" w:space="0" w:color="auto"/>
              <w:bottom w:val="outset" w:sz="6" w:space="0" w:color="auto"/>
              <w:right w:val="outset" w:sz="6" w:space="0" w:color="auto"/>
            </w:tcBorders>
            <w:shd w:val="clear" w:color="auto" w:fill="FFFFFF"/>
            <w:hideMark/>
          </w:tcPr>
          <w:p w14:paraId="447A2AB9" w14:textId="77777777" w:rsidR="00A47803" w:rsidRPr="00A47803" w:rsidRDefault="00A47803" w:rsidP="00A47803">
            <w:pPr>
              <w:pStyle w:val="BodyTextSMPC"/>
              <w:spacing w:after="0"/>
              <w:ind w:left="0"/>
              <w:jc w:val="left"/>
              <w:rPr>
                <w:sz w:val="22"/>
                <w:szCs w:val="22"/>
              </w:rPr>
            </w:pPr>
            <w:r w:rsidRPr="00A47803">
              <w:rPr>
                <w:sz w:val="22"/>
                <w:szCs w:val="22"/>
              </w:rPr>
              <w:t>22</w:t>
            </w:r>
          </w:p>
          <w:p w14:paraId="1DC5DFEA" w14:textId="77777777" w:rsidR="00A47803" w:rsidRPr="00A47803" w:rsidRDefault="00A47803" w:rsidP="00A47803">
            <w:pPr>
              <w:pStyle w:val="BodyTextSMPC"/>
              <w:spacing w:after="0"/>
              <w:ind w:left="0"/>
              <w:jc w:val="left"/>
              <w:rPr>
                <w:sz w:val="22"/>
                <w:szCs w:val="22"/>
              </w:rPr>
            </w:pPr>
            <w:r w:rsidRPr="00A47803">
              <w:rPr>
                <w:sz w:val="22"/>
                <w:szCs w:val="22"/>
              </w:rPr>
              <w:t>(1.8%)</w:t>
            </w:r>
          </w:p>
        </w:tc>
      </w:tr>
      <w:tr w:rsidR="00A47803" w:rsidRPr="00A47803" w14:paraId="53CBD2BC" w14:textId="77777777" w:rsidTr="00A47803">
        <w:trPr>
          <w:tblCellSpacing w:w="0" w:type="dxa"/>
        </w:trPr>
        <w:tc>
          <w:tcPr>
            <w:tcW w:w="968" w:type="pct"/>
            <w:vMerge/>
            <w:tcBorders>
              <w:top w:val="outset" w:sz="6" w:space="0" w:color="auto"/>
              <w:left w:val="outset" w:sz="6" w:space="0" w:color="auto"/>
              <w:bottom w:val="outset" w:sz="6" w:space="0" w:color="auto"/>
              <w:right w:val="outset" w:sz="6" w:space="0" w:color="auto"/>
            </w:tcBorders>
            <w:shd w:val="clear" w:color="auto" w:fill="FFFFFF"/>
            <w:hideMark/>
          </w:tcPr>
          <w:p w14:paraId="6A48A971" w14:textId="77777777" w:rsidR="00A47803" w:rsidRPr="00A47803" w:rsidRDefault="00A47803" w:rsidP="00A47803">
            <w:pPr>
              <w:pStyle w:val="BodyTextSMPC"/>
              <w:spacing w:after="0"/>
              <w:ind w:left="0"/>
              <w:jc w:val="left"/>
              <w:rPr>
                <w:sz w:val="22"/>
                <w:szCs w:val="22"/>
              </w:rPr>
            </w:pP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099323D" w14:textId="77777777" w:rsidR="00A47803" w:rsidRPr="00A47803" w:rsidRDefault="00A47803" w:rsidP="00A47803">
            <w:pPr>
              <w:pStyle w:val="BodyTextSMPC"/>
              <w:spacing w:after="0"/>
              <w:ind w:left="0"/>
              <w:jc w:val="left"/>
              <w:rPr>
                <w:sz w:val="22"/>
                <w:szCs w:val="22"/>
              </w:rPr>
            </w:pPr>
            <w:r w:rsidRPr="00A47803">
              <w:rPr>
                <w:sz w:val="22"/>
                <w:szCs w:val="22"/>
              </w:rPr>
              <w:t>OR 0.92</w:t>
            </w:r>
          </w:p>
          <w:p w14:paraId="10290E01" w14:textId="77777777" w:rsidR="00A47803" w:rsidRPr="00A47803" w:rsidRDefault="00A47803" w:rsidP="00A47803">
            <w:pPr>
              <w:pStyle w:val="BodyTextSMPC"/>
              <w:spacing w:after="0"/>
              <w:ind w:left="0"/>
              <w:jc w:val="left"/>
              <w:rPr>
                <w:sz w:val="22"/>
                <w:szCs w:val="22"/>
              </w:rPr>
            </w:pPr>
            <w:r w:rsidRPr="00A47803">
              <w:rPr>
                <w:sz w:val="22"/>
                <w:szCs w:val="22"/>
              </w:rPr>
              <w:t>(95%CI 0.83-1.02)</w:t>
            </w:r>
          </w:p>
        </w:tc>
        <w:tc>
          <w:tcPr>
            <w:tcW w:w="97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20AE68D" w14:textId="77777777" w:rsidR="00A47803" w:rsidRPr="00A47803" w:rsidRDefault="00A47803" w:rsidP="00A47803">
            <w:pPr>
              <w:pStyle w:val="BodyTextSMPC"/>
              <w:spacing w:after="0"/>
              <w:ind w:left="0"/>
              <w:jc w:val="left"/>
              <w:rPr>
                <w:sz w:val="22"/>
                <w:szCs w:val="22"/>
              </w:rPr>
            </w:pPr>
            <w:r w:rsidRPr="00A47803">
              <w:rPr>
                <w:sz w:val="22"/>
                <w:szCs w:val="22"/>
              </w:rPr>
              <w:t>RR 1.02**</w:t>
            </w:r>
          </w:p>
          <w:p w14:paraId="473B7851" w14:textId="77777777" w:rsidR="00A47803" w:rsidRPr="00A47803" w:rsidRDefault="00A47803" w:rsidP="00A47803">
            <w:pPr>
              <w:pStyle w:val="BodyTextSMPC"/>
              <w:spacing w:after="0"/>
              <w:ind w:left="0"/>
              <w:jc w:val="left"/>
              <w:rPr>
                <w:sz w:val="22"/>
                <w:szCs w:val="22"/>
              </w:rPr>
            </w:pPr>
            <w:r w:rsidRPr="00A47803">
              <w:rPr>
                <w:sz w:val="22"/>
                <w:szCs w:val="22"/>
              </w:rPr>
              <w:t>(95%CI 0.86-1.21)</w:t>
            </w:r>
          </w:p>
        </w:tc>
        <w:tc>
          <w:tcPr>
            <w:tcW w:w="1046"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F838963" w14:textId="77777777" w:rsidR="00A47803" w:rsidRPr="00A47803" w:rsidRDefault="00A47803" w:rsidP="00A47803">
            <w:pPr>
              <w:pStyle w:val="BodyTextSMPC"/>
              <w:spacing w:after="0"/>
              <w:ind w:left="0"/>
              <w:jc w:val="left"/>
              <w:rPr>
                <w:sz w:val="22"/>
                <w:szCs w:val="22"/>
              </w:rPr>
            </w:pPr>
            <w:r w:rsidRPr="00A47803">
              <w:rPr>
                <w:sz w:val="22"/>
                <w:szCs w:val="22"/>
              </w:rPr>
              <w:t>RR 0.68</w:t>
            </w:r>
          </w:p>
          <w:p w14:paraId="043A87EA" w14:textId="77777777" w:rsidR="00A47803" w:rsidRPr="00A47803" w:rsidRDefault="00A47803" w:rsidP="00A47803">
            <w:pPr>
              <w:pStyle w:val="BodyTextSMPC"/>
              <w:spacing w:after="0"/>
              <w:ind w:left="0"/>
              <w:jc w:val="left"/>
              <w:rPr>
                <w:sz w:val="22"/>
                <w:szCs w:val="22"/>
              </w:rPr>
            </w:pPr>
            <w:r w:rsidRPr="00A47803">
              <w:rPr>
                <w:sz w:val="22"/>
                <w:szCs w:val="22"/>
              </w:rPr>
              <w:t>(95%CI 0.51-0.92)</w:t>
            </w:r>
          </w:p>
        </w:tc>
        <w:tc>
          <w:tcPr>
            <w:tcW w:w="104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7CD387" w14:textId="77777777" w:rsidR="00A47803" w:rsidRPr="00A47803" w:rsidRDefault="00A47803" w:rsidP="00A47803">
            <w:pPr>
              <w:pStyle w:val="BodyTextSMPC"/>
              <w:spacing w:after="0"/>
              <w:ind w:left="0"/>
              <w:jc w:val="left"/>
              <w:rPr>
                <w:sz w:val="22"/>
                <w:szCs w:val="22"/>
              </w:rPr>
            </w:pPr>
            <w:r w:rsidRPr="00A47803">
              <w:rPr>
                <w:sz w:val="22"/>
                <w:szCs w:val="22"/>
              </w:rPr>
              <w:t>NR</w:t>
            </w:r>
          </w:p>
        </w:tc>
      </w:tr>
    </w:tbl>
    <w:p w14:paraId="259C53CD" w14:textId="7904B21A" w:rsidR="00A47803" w:rsidRDefault="00A47803" w:rsidP="00A47803">
      <w:pPr>
        <w:pStyle w:val="BodyTextSMPC"/>
        <w:spacing w:before="240"/>
      </w:pPr>
      <w:r>
        <w:t xml:space="preserve">Abbreviations: CI = confidence interval, HR = hazard ratio, NS = nonsignificant, NR = not reported, </w:t>
      </w:r>
      <w:proofErr w:type="spellStart"/>
      <w:r>
        <w:t>placeb</w:t>
      </w:r>
      <w:proofErr w:type="spellEnd"/>
      <w:r>
        <w:t xml:space="preserve"> = placebo, RR = risk ratio, </w:t>
      </w:r>
      <w:proofErr w:type="spellStart"/>
      <w:r>
        <w:t>tamox</w:t>
      </w:r>
      <w:proofErr w:type="spellEnd"/>
      <w:r>
        <w:t xml:space="preserve"> = tamoxifen.</w:t>
      </w:r>
    </w:p>
    <w:p w14:paraId="4A0B43E1" w14:textId="44317619" w:rsidR="00A47803" w:rsidRDefault="00A47803" w:rsidP="00A47803">
      <w:pPr>
        <w:pStyle w:val="BodyTextSMPC"/>
        <w:spacing w:before="240"/>
      </w:pPr>
      <w:r>
        <w:t>a Cuzick 2013 was a meta-analysis of individual participant data from the IBIS-I, NSABP P1, and Royal Marsden primary prevention trials in women at increased risk of breast cancer, and the Italian trial in women at normal risk of breast cancer. The median follow up was 65 months.</w:t>
      </w:r>
    </w:p>
    <w:p w14:paraId="5674B555" w14:textId="388C713A" w:rsidR="00A47803" w:rsidRDefault="00A47803" w:rsidP="00A47803">
      <w:pPr>
        <w:pStyle w:val="BodyTextSMPC"/>
        <w:spacing w:before="240"/>
      </w:pPr>
      <w:r>
        <w:t>b Participants were treated with 20 mg tamoxifen for 5 years; the median follow up was16 years.</w:t>
      </w:r>
    </w:p>
    <w:p w14:paraId="55B042E1" w14:textId="7EE0973B" w:rsidR="00A47803" w:rsidRDefault="00A47803" w:rsidP="00A47803">
      <w:pPr>
        <w:pStyle w:val="BodyTextSMPC"/>
        <w:spacing w:before="240"/>
      </w:pPr>
      <w:r>
        <w:t>c Participants were treated with 20 mg tamoxifen for 5 years; the median follow up was 6 years</w:t>
      </w:r>
    </w:p>
    <w:p w14:paraId="096F8CED" w14:textId="0916B87C" w:rsidR="00A47803" w:rsidRDefault="00A47803" w:rsidP="00A47803">
      <w:pPr>
        <w:pStyle w:val="BodyTextSMPC"/>
        <w:spacing w:before="240"/>
      </w:pPr>
      <w:r>
        <w:t>d Participants were treated with 20 mg tamoxifen for 8 years; the median follow up was 13 years</w:t>
      </w:r>
    </w:p>
    <w:p w14:paraId="5ADE7EC8" w14:textId="47B01EE0" w:rsidR="00A47803" w:rsidRDefault="00A47803" w:rsidP="00A47803">
      <w:pPr>
        <w:pStyle w:val="BodyTextSMPC"/>
        <w:spacing w:before="240"/>
      </w:pPr>
      <w:r>
        <w:t>*This result is for all 9 studies included in the meta- analysis not just the tamoxifen studies, as it is not reported for just the tamoxifen studies. There was no heterogeneity between the studies for this category</w:t>
      </w:r>
    </w:p>
    <w:p w14:paraId="7212977F" w14:textId="4A9D4932" w:rsidR="00A47803" w:rsidRDefault="00A47803" w:rsidP="00A47803">
      <w:pPr>
        <w:pStyle w:val="BodyTextSMPC"/>
        <w:spacing w:before="240"/>
      </w:pPr>
      <w:r>
        <w:t>** This result is after 8 years median follow up in the IBIS- 1 study, as not all adverse events continued to be recorded after this as no events were anticipated to occur more than 5 years after completion of treatment.</w:t>
      </w:r>
    </w:p>
    <w:p w14:paraId="285CA53C" w14:textId="0F0DEA7E" w:rsidR="00A47803" w:rsidRDefault="00A47803" w:rsidP="00A47803">
      <w:pPr>
        <w:pStyle w:val="BodyTextSMPC"/>
        <w:spacing w:before="240"/>
      </w:pPr>
      <w:r>
        <w:t xml:space="preserve">Mortality was a secondary outcome measure for the IBIS-1, NSABP P1 and Royal Marsden trials. In comparing the tamoxifen and placebo arms, </w:t>
      </w:r>
      <w:r>
        <w:lastRenderedPageBreak/>
        <w:t>no significant difference was found for mortality in each trial. This outcome may be due to confounding factors in these trials such as low event rates, underpowering, close screening leading to early detection of events and subsequent breast cancer treatments.</w:t>
      </w:r>
    </w:p>
    <w:p w14:paraId="60B55096" w14:textId="23E9A9C2" w:rsidR="00A47803" w:rsidRDefault="00A47803" w:rsidP="00A47803">
      <w:pPr>
        <w:pStyle w:val="BodyTextSMPC"/>
        <w:spacing w:before="240"/>
      </w:pPr>
      <w:r>
        <w:t>Concomitant use of Hormone Replacement Therapy</w:t>
      </w:r>
    </w:p>
    <w:p w14:paraId="3014FF94" w14:textId="562243FA" w:rsidR="00A47803" w:rsidRDefault="00A47803" w:rsidP="00A47803">
      <w:pPr>
        <w:pStyle w:val="BodyTextSMPC"/>
        <w:spacing w:before="240"/>
      </w:pPr>
      <w:r>
        <w:t>The IBIS-1 trial found that tamoxifen was effective in reducing the risk of breast cancer in women who were not taking hormone replacement therapy. For women who did use hormone replacement therapy, there was no significant reduction in the risk of developing invasive breast cancers: 110 vs 124 (HR 0.88, 95% CI 0.68-1.13, p=0.31). These findings were consistent over the 20-year study period. In the NSABP P1 trial, women who were taking hormone replacement therapy were excluded from the trial. The Royal Marsden trial was not powered to demonstrate an effect. Therefore, the concomitant use of tamoxifen and hormone replacement therapy is not recommended for primary prevention of breast cancer.</w:t>
      </w:r>
    </w:p>
    <w:p w14:paraId="28E0CDED" w14:textId="7B96B91D" w:rsidR="00A47803" w:rsidRDefault="00A47803" w:rsidP="00A47803">
      <w:pPr>
        <w:pStyle w:val="BodyTextSMPC"/>
        <w:spacing w:before="240"/>
      </w:pPr>
      <w:r>
        <w:t>Effects of age and menopausal status</w:t>
      </w:r>
    </w:p>
    <w:p w14:paraId="29AA468C" w14:textId="604891EF" w:rsidR="00A47803" w:rsidRDefault="00A47803" w:rsidP="00A47803">
      <w:pPr>
        <w:pStyle w:val="BodyTextSMPC"/>
        <w:spacing w:before="240"/>
      </w:pPr>
      <w:r>
        <w:t>No age-related effects of tamoxifen on breast cancer incidence were reported in the primary risk reduction trials. Analyses according to age were performed in the final analyses of the IBIS-1 and the NSABP P1 trials. In the IBIS-1 trial, breast cancer incidence was significantly decreased in the tamoxifen vs the placebo group in women aged ≤ 50 years and &gt;50 years, In the NSABP P1 trial, invasive breast cancer incidence was significantly decreased in the tamoxifen vs the placebo group in women aged ≤ 49 years, 50 to 59 years, and ≥ 60 years. Thus, no age-related effects of tamoxifen on breast cancer incidence were reported in the trials.</w:t>
      </w:r>
    </w:p>
    <w:p w14:paraId="1E4C2C9D" w14:textId="5B13562A" w:rsidR="00A47803" w:rsidRDefault="00A47803" w:rsidP="00A47803">
      <w:pPr>
        <w:pStyle w:val="BodyTextSMPC"/>
        <w:spacing w:before="240"/>
      </w:pPr>
      <w:r>
        <w:t>Analyses according to menopausal status were performed in the 96-month analysis of the IBIS-1 trial. In the IBIS-1 trial, tamoxifen significantly reduced the risk of breast cancer in premenopausal women compared with placebo. It should be noted that the IBIS-1 trial was not sufficiently powered to detect a difference specifically in postmenopausal women. In the NSABP P1 trial, the incidence of invasive breast cancer was significantly lower in the tamoxifen vs placebo group in women aged ≥ 60 years, who would have been postmenopausal (40 vs 80, RR 0.49, 95% CI0.33-0.73).</w:t>
      </w:r>
    </w:p>
    <w:p w14:paraId="32E5291E" w14:textId="0FDD6905" w:rsidR="00A47803" w:rsidRDefault="00A47803" w:rsidP="00A47803">
      <w:pPr>
        <w:pStyle w:val="BodyTextSMPC"/>
        <w:spacing w:before="240"/>
      </w:pPr>
      <w:r>
        <w:lastRenderedPageBreak/>
        <w:t>Lobular carcinoma in situ and atypical hyperplasia</w:t>
      </w:r>
    </w:p>
    <w:p w14:paraId="58495644" w14:textId="1C671FEB" w:rsidR="00A47803" w:rsidRDefault="00A47803" w:rsidP="00A47803">
      <w:pPr>
        <w:pStyle w:val="BodyTextSMPC"/>
        <w:spacing w:before="240"/>
      </w:pPr>
      <w:r>
        <w:t>In NSABP P1, there was a 75% breast cancer risk reduction in women with a history of atypical hyperplasia compared with a 37% risk reduction in women with no history of atypical hyperplasia (RR 0.63, 95% CI 0.50-0.78). The risk reductions for women with and without lobular carcinoma in situ were similar.</w:t>
      </w:r>
    </w:p>
    <w:p w14:paraId="66ADDEAE" w14:textId="415BE7C0" w:rsidR="00BB33DA" w:rsidRDefault="00000000" w:rsidP="002C5D65">
      <w:pPr>
        <w:pStyle w:val="SubHeafingSMPC"/>
      </w:pPr>
      <w:r w:rsidRPr="008F5678">
        <w:t xml:space="preserve">Pharmacokinetic properties </w:t>
      </w:r>
    </w:p>
    <w:p w14:paraId="6F34293A" w14:textId="191D9596" w:rsidR="008D2F24" w:rsidRDefault="008D2F24" w:rsidP="008D2F24">
      <w:pPr>
        <w:pStyle w:val="BodyTextSMPC"/>
      </w:pPr>
      <w:r>
        <w:t xml:space="preserve">After oral administration, tamoxifen is absorbed rapidly with maximum serum concentrations attained within 4– 7 hours. Steady state concentrations (about 300ng/ml) are achieved after four weeks treatment with 40mg daily. The drug is highly protein bound to serum albumin (&gt;99%). Metabolism is by hydroxylation, demethylation and conjugation, giving rise to several metabolites which have a similar pharmacological profile to the parent compound and thus contribute to the therapeutic effect. Excretion occurs primarily via the </w:t>
      </w:r>
      <w:proofErr w:type="spellStart"/>
      <w:r>
        <w:t>faeces</w:t>
      </w:r>
      <w:proofErr w:type="spellEnd"/>
      <w:r>
        <w:t xml:space="preserve"> and an elimination half-life of approximately seven days has been calculated for the drug itself, whereas that for N-</w:t>
      </w:r>
      <w:proofErr w:type="spellStart"/>
      <w:r>
        <w:t>desmethyltamoxifen</w:t>
      </w:r>
      <w:proofErr w:type="spellEnd"/>
      <w:r>
        <w:t>, the principal circulating metabolite, is 14 days.</w:t>
      </w:r>
    </w:p>
    <w:p w14:paraId="0F58DC91" w14:textId="1F006BE5" w:rsidR="008D2F24" w:rsidRDefault="008D2F24" w:rsidP="008D2F24">
      <w:pPr>
        <w:pStyle w:val="BodyTextSMPC"/>
      </w:pPr>
      <w:r>
        <w:t>In a clinical study where girls between 2 and 10 years with McCune Albright Syndrome (MAS) received 20mg tamoxifen once a day for up to 12 months duration, there was an age-dependent decrease in clearance and an increase in exposure (AUC), (with values up to 50% higher in the youngest patients) compared with adults.</w:t>
      </w:r>
    </w:p>
    <w:p w14:paraId="3AB37F20" w14:textId="70934F63" w:rsidR="002C5D65" w:rsidRPr="00D147A6" w:rsidRDefault="008D2F24" w:rsidP="008D2F24">
      <w:pPr>
        <w:pStyle w:val="BodyTextSMPC"/>
      </w:pPr>
      <w:r>
        <w:t xml:space="preserve">Tamoxifen is </w:t>
      </w:r>
      <w:proofErr w:type="spellStart"/>
      <w:r>
        <w:t>metabolised</w:t>
      </w:r>
      <w:proofErr w:type="spellEnd"/>
      <w:r>
        <w:t xml:space="preserve"> mainly via CYP3A4 to N-</w:t>
      </w:r>
      <w:proofErr w:type="spellStart"/>
      <w:r>
        <w:t>desmethyl</w:t>
      </w:r>
      <w:proofErr w:type="spellEnd"/>
      <w:r>
        <w:t xml:space="preserve">-tamoxifen, which is further </w:t>
      </w:r>
      <w:proofErr w:type="spellStart"/>
      <w:r>
        <w:t>metabolised</w:t>
      </w:r>
      <w:proofErr w:type="spellEnd"/>
      <w:r>
        <w:t xml:space="preserve"> by CYP2D6 to another active metabolite </w:t>
      </w:r>
      <w:proofErr w:type="spellStart"/>
      <w:r>
        <w:t>endoxifen</w:t>
      </w:r>
      <w:proofErr w:type="spellEnd"/>
      <w:r>
        <w:t xml:space="preserve">. In patients who lack the enzyme CYP2D6 </w:t>
      </w:r>
      <w:proofErr w:type="spellStart"/>
      <w:r>
        <w:t>endoxifen</w:t>
      </w:r>
      <w:proofErr w:type="spellEnd"/>
      <w:r>
        <w:t xml:space="preserve"> concentrations are approximately 75% lower than in patients with normal CYP2D6 activity. Administration of strong CYP2D6 inhibitors reduces </w:t>
      </w:r>
      <w:proofErr w:type="spellStart"/>
      <w:r>
        <w:t>endoxifen</w:t>
      </w:r>
      <w:proofErr w:type="spellEnd"/>
      <w:r>
        <w:t xml:space="preserve"> circulating levels to a similar extent.</w:t>
      </w:r>
    </w:p>
    <w:p w14:paraId="0BBA0F2C" w14:textId="58A139F5" w:rsidR="00227FD4" w:rsidRPr="008F5678" w:rsidRDefault="00000000" w:rsidP="00671E86">
      <w:pPr>
        <w:pStyle w:val="SubHeafingSMPC"/>
      </w:pPr>
      <w:r w:rsidRPr="008F5678">
        <w:t xml:space="preserve">Preclinical safety data </w:t>
      </w:r>
    </w:p>
    <w:p w14:paraId="5FCAC38C" w14:textId="0D340631" w:rsidR="008D2F24" w:rsidRDefault="008D2F24" w:rsidP="008D2F24">
      <w:pPr>
        <w:pStyle w:val="BodyTextSMPC"/>
      </w:pPr>
      <w:r>
        <w:t xml:space="preserve">Tamoxifen was not mutagenic in a range of in-vitro and in-vivo mutagenicity tests. Tamoxifen was genotoxic in some in-vitro and in-vivo genotoxicity tests in rodents. Gonadal </w:t>
      </w:r>
      <w:proofErr w:type="spellStart"/>
      <w:r>
        <w:t>tumours</w:t>
      </w:r>
      <w:proofErr w:type="spellEnd"/>
      <w:r>
        <w:t xml:space="preserve"> in mice and liver </w:t>
      </w:r>
      <w:proofErr w:type="spellStart"/>
      <w:r>
        <w:t>tumours</w:t>
      </w:r>
      <w:proofErr w:type="spellEnd"/>
      <w:r>
        <w:t xml:space="preserve"> in rats receiving tamoxifen have been reported in long-term studies. The clinical relevance of these findings has not been established. </w:t>
      </w:r>
    </w:p>
    <w:p w14:paraId="7BE4B9BC" w14:textId="2B36EB3E" w:rsidR="00227FD4" w:rsidRPr="005574FA" w:rsidRDefault="008D2F24" w:rsidP="008D2F24">
      <w:pPr>
        <w:pStyle w:val="BodyTextSMPC"/>
      </w:pPr>
      <w:r>
        <w:lastRenderedPageBreak/>
        <w:t>Tamoxifen is a drug on which extensive clinical experience has been obtained. Relevant information for the prescriber is provided elsewhere in the Summary of Product Characteristics</w:t>
      </w:r>
      <w:r w:rsidR="008D7B13">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7D78E1CD" w:rsidR="00E139AC" w:rsidRPr="006E7537" w:rsidRDefault="008D2F24" w:rsidP="008D7B13">
      <w:pPr>
        <w:pStyle w:val="BodyTextSMPC"/>
      </w:pPr>
      <w:r w:rsidRPr="008D2F24">
        <w:t>Not applicable</w:t>
      </w:r>
      <w:r w:rsidR="00E0203C" w:rsidRPr="00E0203C">
        <w:t>.</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1F13FAE4" w14:textId="17C79E74" w:rsidR="00062340" w:rsidRPr="00062340" w:rsidRDefault="00000000" w:rsidP="00141D44">
      <w:pPr>
        <w:pStyle w:val="SubHeafingSMPC"/>
      </w:pPr>
      <w:r w:rsidRPr="008F5678">
        <w:t xml:space="preserve">Special precautions for disposal </w:t>
      </w:r>
      <w:r w:rsidR="00353092" w:rsidRPr="00F62FFF">
        <w:t xml:space="preserve"> </w:t>
      </w:r>
    </w:p>
    <w:p w14:paraId="41ABB03E" w14:textId="6016922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2515" w14:textId="77777777" w:rsidR="00AB3113" w:rsidRDefault="00AB3113" w:rsidP="008F5678">
      <w:pPr>
        <w:spacing w:line="240" w:lineRule="auto"/>
      </w:pPr>
      <w:r>
        <w:separator/>
      </w:r>
    </w:p>
  </w:endnote>
  <w:endnote w:type="continuationSeparator" w:id="0">
    <w:p w14:paraId="36497E22" w14:textId="77777777" w:rsidR="00AB3113" w:rsidRDefault="00AB311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4523374"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8D2F24" w:rsidRPr="008D2F24">
      <w:rPr>
        <w:rFonts w:ascii="Times New Roman" w:hAnsi="Times New Roman" w:cs="Times New Roman"/>
        <w:sz w:val="24"/>
        <w:szCs w:val="24"/>
      </w:rPr>
      <w:t>Nolvadex</w:t>
    </w:r>
    <w:proofErr w:type="spellEnd"/>
    <w:r w:rsidRPr="008F5678">
      <w:rPr>
        <w:rFonts w:ascii="Times New Roman" w:hAnsi="Times New Roman" w:cs="Times New Roman"/>
        <w:sz w:val="24"/>
        <w:szCs w:val="24"/>
      </w:rPr>
      <w:t xml:space="preserve">, </w:t>
    </w:r>
    <w:r w:rsidR="0000423A">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8D2F24">
      <w:rPr>
        <w:rFonts w:ascii="Times New Roman" w:hAnsi="Times New Roman" w:cs="Times New Roman"/>
        <w:sz w:val="24"/>
        <w:szCs w:val="24"/>
      </w:rPr>
      <w:t>02/02/2023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218C" w14:textId="77777777" w:rsidR="00AB3113" w:rsidRDefault="00AB3113" w:rsidP="008F5678">
      <w:pPr>
        <w:spacing w:line="240" w:lineRule="auto"/>
      </w:pPr>
      <w:r>
        <w:separator/>
      </w:r>
    </w:p>
  </w:footnote>
  <w:footnote w:type="continuationSeparator" w:id="0">
    <w:p w14:paraId="75B7AED6" w14:textId="77777777" w:rsidR="00AB3113" w:rsidRDefault="00AB311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423A"/>
    <w:rsid w:val="00010EFF"/>
    <w:rsid w:val="00016076"/>
    <w:rsid w:val="000173AF"/>
    <w:rsid w:val="0003354B"/>
    <w:rsid w:val="000453B9"/>
    <w:rsid w:val="000523FE"/>
    <w:rsid w:val="00062340"/>
    <w:rsid w:val="00070173"/>
    <w:rsid w:val="00071342"/>
    <w:rsid w:val="00072659"/>
    <w:rsid w:val="00087D6D"/>
    <w:rsid w:val="00096B28"/>
    <w:rsid w:val="000970AF"/>
    <w:rsid w:val="000B5450"/>
    <w:rsid w:val="000C7ED9"/>
    <w:rsid w:val="000F022A"/>
    <w:rsid w:val="000F3E08"/>
    <w:rsid w:val="000F68A5"/>
    <w:rsid w:val="000F6998"/>
    <w:rsid w:val="000F74D6"/>
    <w:rsid w:val="0010740E"/>
    <w:rsid w:val="00111833"/>
    <w:rsid w:val="001162E6"/>
    <w:rsid w:val="00141D44"/>
    <w:rsid w:val="00151237"/>
    <w:rsid w:val="001678C4"/>
    <w:rsid w:val="00177864"/>
    <w:rsid w:val="00182860"/>
    <w:rsid w:val="001839CC"/>
    <w:rsid w:val="00183AE2"/>
    <w:rsid w:val="00194F10"/>
    <w:rsid w:val="001A39AF"/>
    <w:rsid w:val="001A4654"/>
    <w:rsid w:val="001B1CB6"/>
    <w:rsid w:val="001B34A8"/>
    <w:rsid w:val="001C0D1A"/>
    <w:rsid w:val="001D505C"/>
    <w:rsid w:val="001D74D3"/>
    <w:rsid w:val="001D7E5E"/>
    <w:rsid w:val="001E1455"/>
    <w:rsid w:val="001E4A8C"/>
    <w:rsid w:val="001F6991"/>
    <w:rsid w:val="00200B73"/>
    <w:rsid w:val="00203871"/>
    <w:rsid w:val="00217343"/>
    <w:rsid w:val="00227FD4"/>
    <w:rsid w:val="00232126"/>
    <w:rsid w:val="00233A79"/>
    <w:rsid w:val="00233EB4"/>
    <w:rsid w:val="002357B1"/>
    <w:rsid w:val="00254057"/>
    <w:rsid w:val="00285556"/>
    <w:rsid w:val="002933FE"/>
    <w:rsid w:val="002C5D65"/>
    <w:rsid w:val="002E589F"/>
    <w:rsid w:val="00302302"/>
    <w:rsid w:val="00303231"/>
    <w:rsid w:val="00307506"/>
    <w:rsid w:val="0031352E"/>
    <w:rsid w:val="00316A60"/>
    <w:rsid w:val="00323A34"/>
    <w:rsid w:val="00342687"/>
    <w:rsid w:val="003467EF"/>
    <w:rsid w:val="00351B91"/>
    <w:rsid w:val="00353092"/>
    <w:rsid w:val="00361A94"/>
    <w:rsid w:val="00362134"/>
    <w:rsid w:val="00381125"/>
    <w:rsid w:val="00385779"/>
    <w:rsid w:val="00391F2E"/>
    <w:rsid w:val="00397295"/>
    <w:rsid w:val="003A3F82"/>
    <w:rsid w:val="003B2242"/>
    <w:rsid w:val="003B51C2"/>
    <w:rsid w:val="003C3D7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93F6E"/>
    <w:rsid w:val="004A007B"/>
    <w:rsid w:val="004A5AB4"/>
    <w:rsid w:val="004B7208"/>
    <w:rsid w:val="004F658C"/>
    <w:rsid w:val="005122F4"/>
    <w:rsid w:val="00523E4C"/>
    <w:rsid w:val="005248D2"/>
    <w:rsid w:val="00527795"/>
    <w:rsid w:val="005574FA"/>
    <w:rsid w:val="00573351"/>
    <w:rsid w:val="005B78A4"/>
    <w:rsid w:val="00606B16"/>
    <w:rsid w:val="006101D5"/>
    <w:rsid w:val="006147EE"/>
    <w:rsid w:val="006224A3"/>
    <w:rsid w:val="0062302F"/>
    <w:rsid w:val="00641955"/>
    <w:rsid w:val="006448B7"/>
    <w:rsid w:val="00646ECA"/>
    <w:rsid w:val="00671E86"/>
    <w:rsid w:val="006752B9"/>
    <w:rsid w:val="0067598D"/>
    <w:rsid w:val="0069711D"/>
    <w:rsid w:val="006A3D94"/>
    <w:rsid w:val="006A7BA7"/>
    <w:rsid w:val="006B0EF4"/>
    <w:rsid w:val="006B41AF"/>
    <w:rsid w:val="006B462B"/>
    <w:rsid w:val="006C22F9"/>
    <w:rsid w:val="006D4823"/>
    <w:rsid w:val="006E4397"/>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39C4"/>
    <w:rsid w:val="007C6452"/>
    <w:rsid w:val="007C754A"/>
    <w:rsid w:val="007F2B3F"/>
    <w:rsid w:val="00816633"/>
    <w:rsid w:val="00817FAD"/>
    <w:rsid w:val="00834A79"/>
    <w:rsid w:val="00842E18"/>
    <w:rsid w:val="00843149"/>
    <w:rsid w:val="008561A2"/>
    <w:rsid w:val="00857F59"/>
    <w:rsid w:val="00860227"/>
    <w:rsid w:val="00894F3B"/>
    <w:rsid w:val="008A2A73"/>
    <w:rsid w:val="008B5BE5"/>
    <w:rsid w:val="008C17A5"/>
    <w:rsid w:val="008C66E8"/>
    <w:rsid w:val="008D2F24"/>
    <w:rsid w:val="008D7A61"/>
    <w:rsid w:val="008D7B13"/>
    <w:rsid w:val="008F0F6C"/>
    <w:rsid w:val="008F3900"/>
    <w:rsid w:val="008F5678"/>
    <w:rsid w:val="008F6157"/>
    <w:rsid w:val="00913543"/>
    <w:rsid w:val="009242EA"/>
    <w:rsid w:val="00935388"/>
    <w:rsid w:val="00955F90"/>
    <w:rsid w:val="00962771"/>
    <w:rsid w:val="00962985"/>
    <w:rsid w:val="009636CF"/>
    <w:rsid w:val="009719D6"/>
    <w:rsid w:val="00972AD6"/>
    <w:rsid w:val="00977EEA"/>
    <w:rsid w:val="00982CEB"/>
    <w:rsid w:val="00982EC5"/>
    <w:rsid w:val="00991F34"/>
    <w:rsid w:val="00997D0B"/>
    <w:rsid w:val="009C4E09"/>
    <w:rsid w:val="009D6FFD"/>
    <w:rsid w:val="00A04703"/>
    <w:rsid w:val="00A068D5"/>
    <w:rsid w:val="00A10233"/>
    <w:rsid w:val="00A144D2"/>
    <w:rsid w:val="00A161FD"/>
    <w:rsid w:val="00A16F7E"/>
    <w:rsid w:val="00A22C1C"/>
    <w:rsid w:val="00A47803"/>
    <w:rsid w:val="00A5158E"/>
    <w:rsid w:val="00A560E6"/>
    <w:rsid w:val="00A56A7C"/>
    <w:rsid w:val="00A71BA5"/>
    <w:rsid w:val="00A856F1"/>
    <w:rsid w:val="00A85894"/>
    <w:rsid w:val="00AA7403"/>
    <w:rsid w:val="00AB0D31"/>
    <w:rsid w:val="00AB3113"/>
    <w:rsid w:val="00AB6AD4"/>
    <w:rsid w:val="00AB6FF1"/>
    <w:rsid w:val="00AC277A"/>
    <w:rsid w:val="00AC49D5"/>
    <w:rsid w:val="00AC5267"/>
    <w:rsid w:val="00AD5242"/>
    <w:rsid w:val="00AD6FB8"/>
    <w:rsid w:val="00AF00DD"/>
    <w:rsid w:val="00AF212D"/>
    <w:rsid w:val="00AF5BF6"/>
    <w:rsid w:val="00AF79C1"/>
    <w:rsid w:val="00B14DD9"/>
    <w:rsid w:val="00B15B39"/>
    <w:rsid w:val="00B24321"/>
    <w:rsid w:val="00B2537D"/>
    <w:rsid w:val="00B36B0E"/>
    <w:rsid w:val="00B43C2F"/>
    <w:rsid w:val="00B52056"/>
    <w:rsid w:val="00B542CE"/>
    <w:rsid w:val="00B61320"/>
    <w:rsid w:val="00B63770"/>
    <w:rsid w:val="00B65CC5"/>
    <w:rsid w:val="00B6762C"/>
    <w:rsid w:val="00B771AD"/>
    <w:rsid w:val="00B86B7C"/>
    <w:rsid w:val="00B927D6"/>
    <w:rsid w:val="00BA0700"/>
    <w:rsid w:val="00BB0627"/>
    <w:rsid w:val="00BB33DA"/>
    <w:rsid w:val="00BC1BE1"/>
    <w:rsid w:val="00BD279B"/>
    <w:rsid w:val="00BE0013"/>
    <w:rsid w:val="00BE0983"/>
    <w:rsid w:val="00BE10A8"/>
    <w:rsid w:val="00C03E69"/>
    <w:rsid w:val="00C04DF2"/>
    <w:rsid w:val="00C069FE"/>
    <w:rsid w:val="00C07D84"/>
    <w:rsid w:val="00C15438"/>
    <w:rsid w:val="00C21A1C"/>
    <w:rsid w:val="00C34CD3"/>
    <w:rsid w:val="00C36E7B"/>
    <w:rsid w:val="00C5591F"/>
    <w:rsid w:val="00C56204"/>
    <w:rsid w:val="00C64664"/>
    <w:rsid w:val="00C77195"/>
    <w:rsid w:val="00C93C10"/>
    <w:rsid w:val="00CA053A"/>
    <w:rsid w:val="00CA207F"/>
    <w:rsid w:val="00CA4A4A"/>
    <w:rsid w:val="00CC4741"/>
    <w:rsid w:val="00CD5ED5"/>
    <w:rsid w:val="00CE7887"/>
    <w:rsid w:val="00CF44B2"/>
    <w:rsid w:val="00D147A6"/>
    <w:rsid w:val="00D1697D"/>
    <w:rsid w:val="00D32C40"/>
    <w:rsid w:val="00D3643A"/>
    <w:rsid w:val="00D47475"/>
    <w:rsid w:val="00D5236F"/>
    <w:rsid w:val="00D80544"/>
    <w:rsid w:val="00D90A3C"/>
    <w:rsid w:val="00DA34C0"/>
    <w:rsid w:val="00DA7EEB"/>
    <w:rsid w:val="00DB6202"/>
    <w:rsid w:val="00DC23BB"/>
    <w:rsid w:val="00DF0DD2"/>
    <w:rsid w:val="00DF79C1"/>
    <w:rsid w:val="00E01FDA"/>
    <w:rsid w:val="00E0203C"/>
    <w:rsid w:val="00E139AC"/>
    <w:rsid w:val="00E21167"/>
    <w:rsid w:val="00E222B8"/>
    <w:rsid w:val="00E32C2B"/>
    <w:rsid w:val="00E47326"/>
    <w:rsid w:val="00E641A1"/>
    <w:rsid w:val="00E647E4"/>
    <w:rsid w:val="00E712A3"/>
    <w:rsid w:val="00E72F63"/>
    <w:rsid w:val="00E7604E"/>
    <w:rsid w:val="00E867D8"/>
    <w:rsid w:val="00E86F32"/>
    <w:rsid w:val="00EC77CC"/>
    <w:rsid w:val="00EE5855"/>
    <w:rsid w:val="00EE66E7"/>
    <w:rsid w:val="00EF48E4"/>
    <w:rsid w:val="00F04BB0"/>
    <w:rsid w:val="00F17745"/>
    <w:rsid w:val="00F21746"/>
    <w:rsid w:val="00F373F9"/>
    <w:rsid w:val="00F42790"/>
    <w:rsid w:val="00F512AD"/>
    <w:rsid w:val="00F62E5E"/>
    <w:rsid w:val="00F62FFF"/>
    <w:rsid w:val="00F7564F"/>
    <w:rsid w:val="00F83417"/>
    <w:rsid w:val="00F91CC3"/>
    <w:rsid w:val="00F96C0C"/>
    <w:rsid w:val="00FC40E9"/>
    <w:rsid w:val="00FD2603"/>
    <w:rsid w:val="00FD347E"/>
    <w:rsid w:val="00FE7B35"/>
    <w:rsid w:val="00FF2105"/>
    <w:rsid w:val="00FF69A1"/>
    <w:rsid w:val="00FF74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0033351">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87312561">
      <w:bodyDiv w:val="1"/>
      <w:marLeft w:val="0"/>
      <w:marRight w:val="0"/>
      <w:marTop w:val="0"/>
      <w:marBottom w:val="0"/>
      <w:divBdr>
        <w:top w:val="none" w:sz="0" w:space="0" w:color="auto"/>
        <w:left w:val="none" w:sz="0" w:space="0" w:color="auto"/>
        <w:bottom w:val="none" w:sz="0" w:space="0" w:color="auto"/>
        <w:right w:val="none" w:sz="0" w:space="0" w:color="auto"/>
      </w:divBdr>
    </w:div>
    <w:div w:id="90393679">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6437401">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62791562">
      <w:bodyDiv w:val="1"/>
      <w:marLeft w:val="0"/>
      <w:marRight w:val="0"/>
      <w:marTop w:val="0"/>
      <w:marBottom w:val="0"/>
      <w:divBdr>
        <w:top w:val="none" w:sz="0" w:space="0" w:color="auto"/>
        <w:left w:val="none" w:sz="0" w:space="0" w:color="auto"/>
        <w:bottom w:val="none" w:sz="0" w:space="0" w:color="auto"/>
        <w:right w:val="none" w:sz="0" w:space="0" w:color="auto"/>
      </w:divBdr>
    </w:div>
    <w:div w:id="177351670">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29967041">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42181024">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3147918">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79287166">
      <w:bodyDiv w:val="1"/>
      <w:marLeft w:val="0"/>
      <w:marRight w:val="0"/>
      <w:marTop w:val="0"/>
      <w:marBottom w:val="0"/>
      <w:divBdr>
        <w:top w:val="none" w:sz="0" w:space="0" w:color="auto"/>
        <w:left w:val="none" w:sz="0" w:space="0" w:color="auto"/>
        <w:bottom w:val="none" w:sz="0" w:space="0" w:color="auto"/>
        <w:right w:val="none" w:sz="0" w:space="0" w:color="auto"/>
      </w:divBdr>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6370095">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55759493">
      <w:bodyDiv w:val="1"/>
      <w:marLeft w:val="0"/>
      <w:marRight w:val="0"/>
      <w:marTop w:val="0"/>
      <w:marBottom w:val="0"/>
      <w:divBdr>
        <w:top w:val="none" w:sz="0" w:space="0" w:color="auto"/>
        <w:left w:val="none" w:sz="0" w:space="0" w:color="auto"/>
        <w:bottom w:val="none" w:sz="0" w:space="0" w:color="auto"/>
        <w:right w:val="none" w:sz="0" w:space="0" w:color="auto"/>
      </w:divBdr>
    </w:div>
    <w:div w:id="463237864">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8642422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2732436">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44892113">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24323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182109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0534225">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897978478">
      <w:bodyDiv w:val="1"/>
      <w:marLeft w:val="0"/>
      <w:marRight w:val="0"/>
      <w:marTop w:val="0"/>
      <w:marBottom w:val="0"/>
      <w:divBdr>
        <w:top w:val="none" w:sz="0" w:space="0" w:color="auto"/>
        <w:left w:val="none" w:sz="0" w:space="0" w:color="auto"/>
        <w:bottom w:val="none" w:sz="0" w:space="0" w:color="auto"/>
        <w:right w:val="none" w:sz="0" w:space="0" w:color="auto"/>
      </w:divBdr>
    </w:div>
    <w:div w:id="898857009">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5405694">
      <w:bodyDiv w:val="1"/>
      <w:marLeft w:val="0"/>
      <w:marRight w:val="0"/>
      <w:marTop w:val="0"/>
      <w:marBottom w:val="0"/>
      <w:divBdr>
        <w:top w:val="none" w:sz="0" w:space="0" w:color="auto"/>
        <w:left w:val="none" w:sz="0" w:space="0" w:color="auto"/>
        <w:bottom w:val="none" w:sz="0" w:space="0" w:color="auto"/>
        <w:right w:val="none" w:sz="0" w:space="0" w:color="auto"/>
      </w:divBdr>
    </w:div>
    <w:div w:id="94168963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486642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71905808">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101000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58479633">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85293459">
      <w:bodyDiv w:val="1"/>
      <w:marLeft w:val="0"/>
      <w:marRight w:val="0"/>
      <w:marTop w:val="0"/>
      <w:marBottom w:val="0"/>
      <w:divBdr>
        <w:top w:val="none" w:sz="0" w:space="0" w:color="auto"/>
        <w:left w:val="none" w:sz="0" w:space="0" w:color="auto"/>
        <w:bottom w:val="none" w:sz="0" w:space="0" w:color="auto"/>
        <w:right w:val="none" w:sz="0" w:space="0" w:color="auto"/>
      </w:divBdr>
    </w:div>
    <w:div w:id="1186745646">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03133081">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41721367">
      <w:bodyDiv w:val="1"/>
      <w:marLeft w:val="0"/>
      <w:marRight w:val="0"/>
      <w:marTop w:val="0"/>
      <w:marBottom w:val="0"/>
      <w:divBdr>
        <w:top w:val="none" w:sz="0" w:space="0" w:color="auto"/>
        <w:left w:val="none" w:sz="0" w:space="0" w:color="auto"/>
        <w:bottom w:val="none" w:sz="0" w:space="0" w:color="auto"/>
        <w:right w:val="none" w:sz="0" w:space="0" w:color="auto"/>
      </w:divBdr>
    </w:div>
    <w:div w:id="1262451904">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9355330">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4404198">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667956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50556766">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8479704">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20001845">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2720354">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2014187">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0849521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8710635">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199610514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1695699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68651728">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83867641">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6776</Words>
  <Characters>38627</Characters>
  <Application>Microsoft Office Word</Application>
  <DocSecurity>0</DocSecurity>
  <Lines>321</Lines>
  <Paragraphs>90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2024-08-02T09:30:00Z</dcterms:created>
  <dcterms:modified xsi:type="dcterms:W3CDTF">2024-08-02T10:01:00Z</dcterms:modified>
</cp:coreProperties>
</file>