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5EBA45C4" w:rsidR="00227FD4" w:rsidRPr="008F5678" w:rsidRDefault="00000000" w:rsidP="00AF212D">
      <w:pPr>
        <w:pStyle w:val="BodyTextSMPC"/>
      </w:pPr>
      <w:r w:rsidRPr="008F5678">
        <w:t xml:space="preserve">&lt;TRADE NAME&gt; &lt;STRENGTH&gt; </w:t>
      </w:r>
      <w:r w:rsidR="00B855BD">
        <w:t>T</w:t>
      </w:r>
      <w:r w:rsidR="00A756AE">
        <w:t>ablets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2B136505" w:rsidR="00AF212D" w:rsidRDefault="00A756AE" w:rsidP="00AF212D">
      <w:pPr>
        <w:pStyle w:val="BodyTextSMPC"/>
      </w:pPr>
      <w:r>
        <w:t>Each tablet contains</w:t>
      </w:r>
      <w:r w:rsidRPr="008F5678">
        <w:t xml:space="preserve"> &lt;STRENGTH&gt; </w:t>
      </w:r>
      <w:r>
        <w:t>of asborbic acid</w:t>
      </w:r>
      <w:r w:rsidR="00B855BD">
        <w:t>.</w:t>
      </w:r>
    </w:p>
    <w:p w14:paraId="08C3D6FA" w14:textId="6F362E38" w:rsidR="00A756AE" w:rsidRDefault="00A756AE" w:rsidP="00AF212D">
      <w:pPr>
        <w:pStyle w:val="BodyTextSMPC"/>
      </w:pPr>
      <w:r>
        <w:t>Excipient with known effect:</w:t>
      </w:r>
    </w:p>
    <w:p w14:paraId="42677CCC" w14:textId="4D0BD8AC" w:rsidR="00A756AE" w:rsidRPr="00A756AE" w:rsidRDefault="00A756AE" w:rsidP="00A756AE">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1E7462F5" w14:textId="167EA813" w:rsidR="00DD2BDE" w:rsidRPr="00DD2BDE" w:rsidRDefault="00DD2BDE" w:rsidP="00AF212D">
      <w:pPr>
        <w:pStyle w:val="BodyTextSMPC"/>
        <w:rPr>
          <w:color w:val="000000" w:themeColor="text1"/>
        </w:rPr>
      </w:pPr>
      <w:r w:rsidRPr="00DD2BDE">
        <w:rPr>
          <w:color w:val="000000" w:themeColor="text1"/>
        </w:rPr>
        <w:t>Tablet</w:t>
      </w:r>
    </w:p>
    <w:p w14:paraId="74CE521D" w14:textId="1EBEF2C6"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030992CC" w:rsidR="00177864" w:rsidRPr="008F5678" w:rsidRDefault="00DD2BDE" w:rsidP="00DD2BDE">
      <w:pPr>
        <w:pStyle w:val="BodyTextSMPC"/>
      </w:pPr>
      <w:r>
        <w:t>For the treatment of Vitamin C deficiency including the treatment and prevention of scurvy</w:t>
      </w:r>
      <w:r w:rsidRPr="008F5678">
        <w:t>.</w:t>
      </w:r>
    </w:p>
    <w:p w14:paraId="786FDC30" w14:textId="7FF61ED1" w:rsidR="002058A9" w:rsidRDefault="00000000" w:rsidP="002058A9">
      <w:pPr>
        <w:pStyle w:val="SubHeafingSMPC"/>
      </w:pPr>
      <w:r w:rsidRPr="008F5678">
        <w:t>Posology and method of administration</w:t>
      </w:r>
    </w:p>
    <w:p w14:paraId="765F249B" w14:textId="77777777" w:rsidR="002058A9" w:rsidRPr="002058A9" w:rsidRDefault="002058A9" w:rsidP="002058A9">
      <w:pPr>
        <w:pStyle w:val="BodyTextSMPC"/>
        <w:rPr>
          <w:u w:val="single"/>
        </w:rPr>
      </w:pPr>
      <w:r w:rsidRPr="002058A9">
        <w:rPr>
          <w:u w:val="single"/>
        </w:rPr>
        <w:t>Posology</w:t>
      </w:r>
    </w:p>
    <w:p w14:paraId="3B0C4239" w14:textId="77777777" w:rsidR="002058A9" w:rsidRPr="002058A9" w:rsidRDefault="002058A9" w:rsidP="002058A9">
      <w:pPr>
        <w:pStyle w:val="BodyTextSMPC"/>
        <w:rPr>
          <w:u w:val="single"/>
        </w:rPr>
      </w:pPr>
      <w:r w:rsidRPr="002058A9">
        <w:rPr>
          <w:u w:val="single"/>
        </w:rPr>
        <w:t>Adults and children over 4 years:</w:t>
      </w:r>
    </w:p>
    <w:p w14:paraId="60555E8B" w14:textId="77777777" w:rsidR="002058A9" w:rsidRDefault="002058A9" w:rsidP="002058A9">
      <w:pPr>
        <w:pStyle w:val="BodyTextSMPC"/>
      </w:pPr>
      <w:r>
        <w:t>Prevention: 25 to 75 mg daily.</w:t>
      </w:r>
    </w:p>
    <w:p w14:paraId="4618F288" w14:textId="77777777" w:rsidR="002058A9" w:rsidRDefault="002058A9" w:rsidP="002058A9">
      <w:pPr>
        <w:pStyle w:val="BodyTextSMPC"/>
      </w:pPr>
      <w:r>
        <w:t>Treatment: Not less than 250 mg daily in divided doses.</w:t>
      </w:r>
    </w:p>
    <w:p w14:paraId="461D24CC" w14:textId="77777777" w:rsidR="002058A9" w:rsidRDefault="002058A9" w:rsidP="002058A9">
      <w:pPr>
        <w:pStyle w:val="BodyTextSMPC"/>
      </w:pPr>
      <w:r>
        <w:t xml:space="preserve">   </w:t>
      </w:r>
    </w:p>
    <w:p w14:paraId="67197455" w14:textId="77777777" w:rsidR="002058A9" w:rsidRPr="002058A9" w:rsidRDefault="002058A9" w:rsidP="002058A9">
      <w:pPr>
        <w:pStyle w:val="BodyTextSMPC"/>
      </w:pPr>
      <w:r w:rsidRPr="002058A9">
        <w:lastRenderedPageBreak/>
        <w:t>Maximum daily doses:</w:t>
      </w:r>
    </w:p>
    <w:p w14:paraId="5C58F383" w14:textId="77777777" w:rsidR="002058A9" w:rsidRDefault="002058A9" w:rsidP="002058A9">
      <w:pPr>
        <w:pStyle w:val="BodyTextSMPC"/>
      </w:pPr>
      <w:r>
        <w:t xml:space="preserve">Adults and children over 12 years, 1000 mg. </w:t>
      </w:r>
    </w:p>
    <w:p w14:paraId="5690D2FE" w14:textId="67AFBFAB" w:rsidR="002058A9" w:rsidRDefault="002058A9" w:rsidP="002058A9">
      <w:pPr>
        <w:pStyle w:val="BodyTextSMPC"/>
      </w:pPr>
      <w:r>
        <w:t>Children 4 – 11 years, 500 mg.</w:t>
      </w:r>
    </w:p>
    <w:p w14:paraId="0CFB4C9E" w14:textId="77777777" w:rsidR="002058A9" w:rsidRPr="002058A9" w:rsidRDefault="002058A9" w:rsidP="002058A9">
      <w:pPr>
        <w:pStyle w:val="BodyTextSMPC"/>
        <w:rPr>
          <w:u w:val="single"/>
        </w:rPr>
      </w:pPr>
      <w:r w:rsidRPr="002058A9">
        <w:rPr>
          <w:u w:val="single"/>
        </w:rPr>
        <w:t>The elderly:</w:t>
      </w:r>
    </w:p>
    <w:p w14:paraId="1FB703EB" w14:textId="77777777" w:rsidR="002058A9" w:rsidRDefault="002058A9" w:rsidP="002058A9">
      <w:pPr>
        <w:pStyle w:val="BodyTextSMPC"/>
      </w:pPr>
      <w:r>
        <w:t>As for adults. As the dietary intake of vitamin C may be less in the elderly, they are at greater risk of being deficient in this vitamin.</w:t>
      </w:r>
    </w:p>
    <w:p w14:paraId="4B1E22E4" w14:textId="77777777" w:rsidR="002058A9" w:rsidRPr="002058A9" w:rsidRDefault="002058A9" w:rsidP="002058A9">
      <w:pPr>
        <w:pStyle w:val="BodyTextSMPC"/>
        <w:rPr>
          <w:u w:val="single"/>
        </w:rPr>
      </w:pPr>
      <w:r w:rsidRPr="002058A9">
        <w:rPr>
          <w:u w:val="single"/>
        </w:rPr>
        <w:t>Method of administration</w:t>
      </w:r>
    </w:p>
    <w:p w14:paraId="62F7DF5F" w14:textId="3949C1D5" w:rsidR="00227FD4" w:rsidRPr="008F5678" w:rsidRDefault="002058A9" w:rsidP="002058A9">
      <w:pPr>
        <w:pStyle w:val="BodyTextSMPC"/>
      </w:pPr>
      <w:r>
        <w:t>For oral administration. The tablets are to be chewed before being swallowed</w:t>
      </w:r>
      <w:r w:rsidRPr="008F5678">
        <w:t xml:space="preserve">. </w:t>
      </w:r>
    </w:p>
    <w:p w14:paraId="5B05A77F" w14:textId="77777777" w:rsidR="00671E86" w:rsidRPr="008F5678" w:rsidRDefault="00000000" w:rsidP="00233A79">
      <w:pPr>
        <w:pStyle w:val="SubHeafingSMPC"/>
      </w:pPr>
      <w:r w:rsidRPr="008F5678">
        <w:t>Contraindications</w:t>
      </w:r>
    </w:p>
    <w:p w14:paraId="7A4513F8" w14:textId="0C4ABC33" w:rsidR="002058A9" w:rsidRDefault="002058A9" w:rsidP="002058A9">
      <w:pPr>
        <w:pStyle w:val="BodyTextSMPC"/>
        <w:jc w:val="thaiDistribute"/>
      </w:pPr>
      <w:r>
        <w:t>Hypersensitivity to ascorbic acid or to any of the excipients listed in section 6.1.</w:t>
      </w:r>
    </w:p>
    <w:p w14:paraId="66CD8858" w14:textId="28EC4CCA" w:rsidR="00A144D2" w:rsidRPr="008F5678" w:rsidRDefault="002058A9" w:rsidP="002058A9">
      <w:pPr>
        <w:pStyle w:val="BodyTextSMPC"/>
        <w:jc w:val="thaiDistribute"/>
        <w:rPr>
          <w:cs/>
        </w:rPr>
      </w:pPr>
      <w:r>
        <w:t>Ascorbic acid should not be given to patients with hyperoxaluria</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0CA35A56" w14:textId="77777777" w:rsidR="005A4DDD" w:rsidRDefault="005A4DDD" w:rsidP="005A4DDD">
      <w:pPr>
        <w:pStyle w:val="BodyTextSMPC"/>
        <w:jc w:val="thaiDistribute"/>
      </w:pPr>
      <w:r>
        <w:t>Increased intake of ascorbic acid over a prolonged period may result in an increased renal clearance of ascorbic acid, and deficiency may result if the intake is reduced or withdrawn rapidly (see section 4.8).</w:t>
      </w:r>
    </w:p>
    <w:p w14:paraId="71CD5F32" w14:textId="77777777" w:rsidR="005A4DDD" w:rsidRDefault="005A4DDD" w:rsidP="005A4DDD">
      <w:pPr>
        <w:pStyle w:val="BodyTextSMPC"/>
        <w:jc w:val="thaiDistribute"/>
      </w:pPr>
      <w:r>
        <w:t>Ascorbic acid may interfere with tests and assays for urinary glucose, giving false negative results with methods utilising glucose oxidase with indicator (e.g. Labstix, Tes-tape) and false positive results with neocuproin methods. Estimation of uric acid by phosphotungstate or by uricase with copper reduction and measurement of creatinine in non-deproteinised serum may also be affected.</w:t>
      </w:r>
    </w:p>
    <w:p w14:paraId="6EC9E5B7" w14:textId="77777777" w:rsidR="005A4DDD" w:rsidRDefault="005A4DDD" w:rsidP="005A4DDD">
      <w:pPr>
        <w:pStyle w:val="BodyTextSMPC"/>
        <w:jc w:val="thaiDistribute"/>
      </w:pPr>
      <w:r>
        <w:t>High doses of ascorbic acid may give false negative readings in faecal occult blood tests.</w:t>
      </w:r>
    </w:p>
    <w:p w14:paraId="14F2DC79" w14:textId="4518754C" w:rsidR="00A144D2" w:rsidRPr="008F5678" w:rsidRDefault="005A4DDD" w:rsidP="005A4DDD">
      <w:pPr>
        <w:pStyle w:val="BodyTextSMPC"/>
        <w:jc w:val="thaiDistribute"/>
      </w:pPr>
      <w:r>
        <w:t>Patients with rare hereditary problems of fructose or galactose intolerance, total lactase deficiency, glucose-galactose malabsorption or sucrase-isomaltase insufficiency should not take this medicine as it contains lactose and sucrose</w:t>
      </w:r>
      <w:r w:rsidRPr="008F5678">
        <w:t xml:space="preserve">. </w:t>
      </w:r>
    </w:p>
    <w:p w14:paraId="30317F66" w14:textId="26794257" w:rsidR="00227FD4" w:rsidRPr="008F5678" w:rsidRDefault="00000000" w:rsidP="00671E86">
      <w:pPr>
        <w:pStyle w:val="SubHeafingSMPC"/>
      </w:pPr>
      <w:r w:rsidRPr="008F5678">
        <w:lastRenderedPageBreak/>
        <w:t xml:space="preserve">Interaction with other medicinal products and other forms of interaction </w:t>
      </w:r>
    </w:p>
    <w:p w14:paraId="5627EAD8" w14:textId="6BD60706" w:rsidR="005A4DDD" w:rsidRDefault="005A4DDD" w:rsidP="005A4DDD">
      <w:pPr>
        <w:pStyle w:val="BodyTextSMPC"/>
      </w:pPr>
      <w:r>
        <w:t>Ascorbic acid may reduce the absorption of amphetamines. Ascorbic acid may increase the oral absorption of iron.</w:t>
      </w:r>
    </w:p>
    <w:p w14:paraId="64C9308A" w14:textId="694F3D2B" w:rsidR="005A4DDD" w:rsidRDefault="005A4DDD" w:rsidP="005A4DDD">
      <w:pPr>
        <w:pStyle w:val="BodyTextSMPC"/>
      </w:pPr>
      <w:r>
        <w:t>Concurrent administration of ascorbic acid with desferrioxamine enhances urinary iron excretion. Ascorbic Acid may increase the risk of cardiovascular adverse effects when given with desferrioxamine. Ascorbic acid should be used with caution in patients receiving desferrioxamine and cardiac function should be monitored.</w:t>
      </w:r>
    </w:p>
    <w:p w14:paraId="15581798" w14:textId="77777777" w:rsidR="005A4DDD" w:rsidRDefault="005A4DDD" w:rsidP="005A4DDD">
      <w:pPr>
        <w:pStyle w:val="BodyTextSMPC"/>
      </w:pPr>
      <w:r>
        <w:t>Concomitant administration of aspirin and ascorbic acid may interfere with absorption of ascorbic acid. Renal excretion of salicylate is not affected and does not lead to reduced anti-inflammatory effects of aspirin.</w:t>
      </w:r>
    </w:p>
    <w:p w14:paraId="6F8DE68D" w14:textId="77777777" w:rsidR="005A4DDD" w:rsidRDefault="005A4DDD" w:rsidP="005A4DDD">
      <w:pPr>
        <w:pStyle w:val="BodyTextSMPC"/>
      </w:pPr>
      <w:r>
        <w:t>Concomitant administration of aluminium-containing antacids may increase urinary aluminium elimination. Concurrent administration of antacids and ascorbic acid is not recommended, especially in patients with renal insufficiency.</w:t>
      </w:r>
    </w:p>
    <w:p w14:paraId="31D2A23D" w14:textId="77777777" w:rsidR="005A4DDD" w:rsidRDefault="005A4DDD" w:rsidP="005A4DDD">
      <w:pPr>
        <w:pStyle w:val="BodyTextSMPC"/>
      </w:pPr>
      <w:r>
        <w:t>Co-administration with amygdalin (a complementary medicine) can cause cyanide toxicity.</w:t>
      </w:r>
    </w:p>
    <w:p w14:paraId="75F12885" w14:textId="42A5C07B" w:rsidR="00227FD4" w:rsidRPr="008F5678" w:rsidRDefault="005A4DDD" w:rsidP="005A4DDD">
      <w:pPr>
        <w:pStyle w:val="BodyTextSMPC"/>
      </w:pPr>
      <w:r>
        <w:t>Ascorbic acid may interfere with biochemical determinations of creatinine, uric acid and glucose in samples of blood and urine</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7346DE3E" w14:textId="77777777" w:rsidR="005A4DDD" w:rsidRPr="005A4DDD" w:rsidRDefault="005A4DDD" w:rsidP="005A4DDD">
      <w:pPr>
        <w:pStyle w:val="BodyTextSMPC"/>
        <w:rPr>
          <w:u w:val="single"/>
        </w:rPr>
      </w:pPr>
      <w:r w:rsidRPr="005A4DDD">
        <w:rPr>
          <w:u w:val="single"/>
        </w:rPr>
        <w:t>Pregnancy</w:t>
      </w:r>
    </w:p>
    <w:p w14:paraId="00C8E51E" w14:textId="77777777" w:rsidR="005A4DDD" w:rsidRDefault="005A4DDD" w:rsidP="005A4DDD">
      <w:pPr>
        <w:pStyle w:val="BodyTextSMPC"/>
      </w:pPr>
      <w:r>
        <w:t>For ascorbic acid no clinical data on exposed pregnancies are available. Animal studies do not indicate direct or harmful effects with respect to pregnancy, embryonal/foetal development, parturition or postnatal development. Pregnant women should exercise caution.</w:t>
      </w:r>
    </w:p>
    <w:p w14:paraId="360A554A" w14:textId="77777777" w:rsidR="005A4DDD" w:rsidRPr="005A4DDD" w:rsidRDefault="005A4DDD" w:rsidP="005A4DDD">
      <w:pPr>
        <w:pStyle w:val="BodyTextSMPC"/>
        <w:rPr>
          <w:u w:val="single"/>
        </w:rPr>
      </w:pPr>
      <w:r w:rsidRPr="005A4DDD">
        <w:rPr>
          <w:u w:val="single"/>
        </w:rPr>
        <w:t>Breast-feeding</w:t>
      </w:r>
    </w:p>
    <w:p w14:paraId="4576C3DC" w14:textId="77777777" w:rsidR="005A4DDD" w:rsidRDefault="005A4DDD" w:rsidP="005A4DDD">
      <w:pPr>
        <w:pStyle w:val="BodyTextSMPC"/>
      </w:pPr>
      <w:r>
        <w:t>Ascorbic acid is excreted in breast milk. Though again caution should be exercised, no evidence exists suggesting such excretion is hazardous to the infant.</w:t>
      </w:r>
    </w:p>
    <w:p w14:paraId="7844BB44" w14:textId="77777777" w:rsidR="005A4DDD" w:rsidRPr="005A4DDD" w:rsidRDefault="005A4DDD" w:rsidP="005A4DDD">
      <w:pPr>
        <w:pStyle w:val="BodyTextSMPC"/>
        <w:rPr>
          <w:u w:val="single"/>
        </w:rPr>
      </w:pPr>
      <w:r w:rsidRPr="005A4DDD">
        <w:rPr>
          <w:u w:val="single"/>
        </w:rPr>
        <w:lastRenderedPageBreak/>
        <w:t>Fertility</w:t>
      </w:r>
    </w:p>
    <w:p w14:paraId="53E75989" w14:textId="7FD11291" w:rsidR="00227FD4" w:rsidRPr="008F5678" w:rsidRDefault="005A4DDD" w:rsidP="005A4DDD">
      <w:pPr>
        <w:pStyle w:val="BodyTextSMPC"/>
      </w:pPr>
      <w:r>
        <w:t>No data available.</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7893B8E9" w:rsidR="00227FD4" w:rsidRPr="008F5678" w:rsidRDefault="005A4DDD" w:rsidP="00671E86">
      <w:pPr>
        <w:pStyle w:val="BodyTextSMPC"/>
      </w:pPr>
      <w:r w:rsidRPr="005A4DDD">
        <w:t>Ascorbic acid has no known effect on the ability to drive and use machines</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14382FB1" w14:textId="3528C480" w:rsidR="002338E2" w:rsidRDefault="002338E2" w:rsidP="002338E2">
      <w:pPr>
        <w:pStyle w:val="BodyTextSMPC"/>
      </w:pPr>
      <w:r>
        <w:t>Large doses of ascorbic acid may cause diarrhoea.</w:t>
      </w:r>
    </w:p>
    <w:p w14:paraId="4A8A6175" w14:textId="77777777" w:rsidR="002338E2" w:rsidRDefault="002338E2" w:rsidP="002338E2">
      <w:pPr>
        <w:pStyle w:val="BodyTextSMPC"/>
      </w:pPr>
      <w:r>
        <w:t>Renal and urinary disorders:</w:t>
      </w:r>
    </w:p>
    <w:p w14:paraId="39C99C46" w14:textId="77777777" w:rsidR="002338E2" w:rsidRDefault="002338E2" w:rsidP="002338E2">
      <w:pPr>
        <w:pStyle w:val="BodyTextSMPC"/>
      </w:pPr>
      <w:r>
        <w:t>Patients known to be at risk of hyperoxaluria should not ingest ascorbic acid in doses exceeding 1 gram daily, as there may be increased urinary oxalate excretion. However such a risk has not been demonstrated in normal, non-hyperoxaluric individuals. Ascorbic acid has been implicated in precipitating haemolytic anaemia in certain individuals with a deficiency of glucose-6-phosphate dehydrogenase.</w:t>
      </w:r>
    </w:p>
    <w:p w14:paraId="39CF9E7F" w14:textId="03A03BF4" w:rsidR="00227FD4" w:rsidRPr="008F5678" w:rsidRDefault="002338E2" w:rsidP="002338E2">
      <w:pPr>
        <w:pStyle w:val="BodyTextSMPC"/>
      </w:pPr>
      <w:r>
        <w:t>Increased intake of ascorbic acid over a prolonged period may result in an increase in renal clearance of ascorbic acid, and deficiency may result if the intake is reduced or withdrawn rapidly. Doses of more than 600mg have a diuretic effect</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44333C64" w14:textId="739D5505" w:rsidR="002338E2" w:rsidRPr="002338E2" w:rsidRDefault="002338E2" w:rsidP="002338E2">
      <w:pPr>
        <w:pStyle w:val="BodyTextSMPC"/>
        <w:rPr>
          <w:u w:val="single"/>
        </w:rPr>
      </w:pPr>
      <w:r w:rsidRPr="002338E2">
        <w:rPr>
          <w:u w:val="single"/>
        </w:rPr>
        <w:t>Symptoms</w:t>
      </w:r>
    </w:p>
    <w:p w14:paraId="7CA094FA" w14:textId="77777777" w:rsidR="002338E2" w:rsidRDefault="002338E2" w:rsidP="002338E2">
      <w:pPr>
        <w:pStyle w:val="BodyTextSMPC"/>
      </w:pPr>
      <w:r>
        <w:t>At doses of over 3 grams per day unabsorbed ascorbic acid is chiefly excreted unmetabolised in the faeces. Absorbed ascorbic acid additional to the body’s needs is rapidly eliminated. Large doses of ascorbic acid may cause diarrhoea and the formation of renal oxalate calculi. Symptomatic treatment may be required.</w:t>
      </w:r>
    </w:p>
    <w:p w14:paraId="3780340E" w14:textId="77777777" w:rsidR="002338E2" w:rsidRDefault="002338E2" w:rsidP="002338E2">
      <w:pPr>
        <w:pStyle w:val="BodyTextSMPC"/>
      </w:pPr>
      <w:r>
        <w:lastRenderedPageBreak/>
        <w:t>Ascorbic acid may cause acidosis or haemolytic anaemia in certain individuals with a deficiency of glucose 6-phosphate dehydrogenase. Renal failure can occur with massive ascorbic acid overdosage.</w:t>
      </w:r>
    </w:p>
    <w:p w14:paraId="4C59D2E1" w14:textId="77777777" w:rsidR="002338E2" w:rsidRPr="002338E2" w:rsidRDefault="002338E2" w:rsidP="002338E2">
      <w:pPr>
        <w:pStyle w:val="BodyTextSMPC"/>
        <w:rPr>
          <w:u w:val="single"/>
        </w:rPr>
      </w:pPr>
      <w:r w:rsidRPr="002338E2">
        <w:rPr>
          <w:u w:val="single"/>
        </w:rPr>
        <w:t>Management</w:t>
      </w:r>
    </w:p>
    <w:p w14:paraId="779748E9" w14:textId="07AF8566" w:rsidR="00227FD4" w:rsidRPr="008F5678" w:rsidRDefault="002338E2" w:rsidP="002338E2">
      <w:pPr>
        <w:pStyle w:val="BodyTextSMPC"/>
      </w:pPr>
      <w:r>
        <w:t>General supportive measures should be employed as required</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26B9615D" w14:textId="77777777" w:rsidR="002338E2" w:rsidRDefault="00000000" w:rsidP="002338E2">
      <w:pPr>
        <w:pStyle w:val="BodyTextSMPC"/>
      </w:pPr>
      <w:r w:rsidRPr="008F5678">
        <w:t xml:space="preserve">Pharmacotherapeutic </w:t>
      </w:r>
      <w:r w:rsidR="002338E2">
        <w:t>group: Vitamins</w:t>
      </w:r>
    </w:p>
    <w:p w14:paraId="30D8F731" w14:textId="77777777" w:rsidR="002338E2" w:rsidRDefault="002338E2" w:rsidP="002338E2">
      <w:pPr>
        <w:pStyle w:val="BodyTextSMPC"/>
      </w:pPr>
      <w:r>
        <w:t>ATC Code: A11G A01 – Ascorbic Acid (Vit C), Plain</w:t>
      </w:r>
    </w:p>
    <w:p w14:paraId="0E8FD471" w14:textId="77777777" w:rsidR="002338E2" w:rsidRDefault="002338E2" w:rsidP="002338E2">
      <w:pPr>
        <w:pStyle w:val="BodyTextSMPC"/>
      </w:pPr>
      <w:r>
        <w:t>Ascorbic acid is essential for the synthesis of collagen and intercellular material involved in conversion of folic acid to folinic acid.</w:t>
      </w:r>
    </w:p>
    <w:p w14:paraId="3ED5AB06" w14:textId="77777777" w:rsidR="002338E2" w:rsidRDefault="002338E2" w:rsidP="002338E2">
      <w:pPr>
        <w:pStyle w:val="BodyTextSMPC"/>
      </w:pPr>
      <w:r>
        <w:t>Ascorbic acid coupled with dehydroascorbic acid to which it is reversibly oxidised, has a variety of functions in cellular oxidation processes. Vitamin C is required in several important hydroxylations, including the conversion of proline to hydroxyproline (and thus in collagen formation e.g. for intercellular substances during wound healing); the formation of the neurotransmitters 5- hydroxytryptamine from tryptophan and noradrenaline from dopamine; and the biosynthesis of carnitine from lysine and methionine. Vitamin C appears to have an important role in metal ion metabolism, including the gastrointestinal absorption of iron and its transport between plasma and storage organs. There is also evidence that vitamin C is required for normal leukocyte function and that it participates in the detoxification of numerous foreign substances by the hepatic microsomal system.</w:t>
      </w:r>
    </w:p>
    <w:p w14:paraId="2F059951" w14:textId="2A9F4333" w:rsidR="00227FD4" w:rsidRDefault="002338E2" w:rsidP="002338E2">
      <w:pPr>
        <w:pStyle w:val="BodyTextSMPC"/>
      </w:pPr>
      <w:r>
        <w:t>Deficiency in vitamin C leads to scurvy, which may be manifested by weakness, fatigue, dyspnoea, aching bones, perifollicular hyperkeratoses, petechiae and ecchymoses, swelling and bleeding of gums, hypochromic anaemia and other haemopoietic disorders, together with reduced resistance to infection and impaired wound healing</w:t>
      </w:r>
      <w:r w:rsidRPr="008F5678">
        <w:t xml:space="preserve">. </w:t>
      </w:r>
    </w:p>
    <w:p w14:paraId="0AD4F723" w14:textId="77777777" w:rsidR="002338E2" w:rsidRDefault="002338E2" w:rsidP="002338E2">
      <w:pPr>
        <w:pStyle w:val="BodyTextSMPC"/>
      </w:pPr>
    </w:p>
    <w:p w14:paraId="1D331834" w14:textId="77777777" w:rsidR="002338E2" w:rsidRPr="008F5678" w:rsidRDefault="002338E2" w:rsidP="002338E2">
      <w:pPr>
        <w:pStyle w:val="BodyTextSMPC"/>
      </w:pPr>
    </w:p>
    <w:p w14:paraId="04D77DAA" w14:textId="7BED606D" w:rsidR="00227FD4" w:rsidRPr="008F5678" w:rsidRDefault="00000000" w:rsidP="00671E86">
      <w:pPr>
        <w:pStyle w:val="SubHeafingSMPC"/>
      </w:pPr>
      <w:r w:rsidRPr="008F5678">
        <w:lastRenderedPageBreak/>
        <w:t xml:space="preserve">Pharmacokinetic properties </w:t>
      </w:r>
    </w:p>
    <w:p w14:paraId="47AE9380" w14:textId="175AB465" w:rsidR="002338E2" w:rsidRPr="002338E2" w:rsidRDefault="002338E2" w:rsidP="002338E2">
      <w:pPr>
        <w:pStyle w:val="BodyTextSMPC"/>
        <w:rPr>
          <w:u w:val="single"/>
        </w:rPr>
      </w:pPr>
      <w:r w:rsidRPr="002338E2">
        <w:rPr>
          <w:u w:val="single"/>
        </w:rPr>
        <w:t>Absorption</w:t>
      </w:r>
    </w:p>
    <w:p w14:paraId="0F5D799C" w14:textId="77777777" w:rsidR="002338E2" w:rsidRDefault="002338E2" w:rsidP="002338E2">
      <w:pPr>
        <w:pStyle w:val="BodyTextSMPC"/>
      </w:pPr>
      <w:r>
        <w:t>Ascorbic acid is well absorbed from the gastro-intestinal tract.</w:t>
      </w:r>
    </w:p>
    <w:p w14:paraId="100EFC90" w14:textId="77777777" w:rsidR="002338E2" w:rsidRPr="002338E2" w:rsidRDefault="002338E2" w:rsidP="002338E2">
      <w:pPr>
        <w:pStyle w:val="BodyTextSMPC"/>
        <w:rPr>
          <w:u w:val="single"/>
        </w:rPr>
      </w:pPr>
      <w:r w:rsidRPr="002338E2">
        <w:rPr>
          <w:u w:val="single"/>
        </w:rPr>
        <w:t>Distribution</w:t>
      </w:r>
    </w:p>
    <w:p w14:paraId="29FBDE34" w14:textId="77777777" w:rsidR="002338E2" w:rsidRDefault="002338E2" w:rsidP="002338E2">
      <w:pPr>
        <w:pStyle w:val="BodyTextSMPC"/>
      </w:pPr>
      <w:r>
        <w:t>Ascorbic acid is widely distributed to all tissues. Body stores of ascorbic acid normally are about 1.5 grams. The concentration is higher in leukocytes and platelets than in erythrocytes and plasma.</w:t>
      </w:r>
    </w:p>
    <w:p w14:paraId="3E884C14" w14:textId="77777777" w:rsidR="002338E2" w:rsidRPr="002338E2" w:rsidRDefault="002338E2" w:rsidP="002338E2">
      <w:pPr>
        <w:pStyle w:val="BodyTextSMPC"/>
        <w:rPr>
          <w:u w:val="single"/>
        </w:rPr>
      </w:pPr>
      <w:r w:rsidRPr="002338E2">
        <w:rPr>
          <w:u w:val="single"/>
        </w:rPr>
        <w:t>Elimination</w:t>
      </w:r>
    </w:p>
    <w:p w14:paraId="492AD855" w14:textId="0DC7518C" w:rsidR="00227FD4" w:rsidRPr="008F5678" w:rsidRDefault="002338E2" w:rsidP="002338E2">
      <w:pPr>
        <w:pStyle w:val="BodyTextSMPC"/>
      </w:pPr>
      <w:r>
        <w:t>Ascorbic acid additional to the body’s needs (generally amounts above 200mg daily) is rapidly eliminated; unmetabolised vitamin C and its inactive metabolic products are chiefly excreted in the urine. The amount of ascorbic acid excreted unchanged in the urine is dose dependent and may be accompanied by mild diuresis</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300481BE" w:rsidR="00227FD4" w:rsidRPr="008F5678" w:rsidRDefault="002338E2" w:rsidP="002338E2">
      <w:pPr>
        <w:pStyle w:val="BodyTextSMPC"/>
      </w:pPr>
      <w:r>
        <w:t>There are no preclinical data of relevance to the prescriber which are additional to those already included in other sections of the SmPC</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0239076A" w:rsidR="00227FD4" w:rsidRPr="008F5678" w:rsidRDefault="00000000" w:rsidP="00671E86">
      <w:pPr>
        <w:pStyle w:val="BodyTextSMPC"/>
      </w:pPr>
      <w:r w:rsidRPr="008F5678">
        <w:t>No</w:t>
      </w:r>
      <w:r w:rsidR="00342E22">
        <w:t>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lastRenderedPageBreak/>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headerReference w:type="even" r:id="rId7"/>
      <w:headerReference w:type="default" r:id="rId8"/>
      <w:footerReference w:type="even" r:id="rId9"/>
      <w:footerReference w:type="default" r:id="rId10"/>
      <w:headerReference w:type="first" r:id="rId11"/>
      <w:footerReference w:type="first" r:id="rId12"/>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6FFFB" w14:textId="77777777" w:rsidR="00F012F8" w:rsidRDefault="00F012F8" w:rsidP="008F5678">
      <w:pPr>
        <w:spacing w:line="240" w:lineRule="auto"/>
      </w:pPr>
      <w:r>
        <w:separator/>
      </w:r>
    </w:p>
  </w:endnote>
  <w:endnote w:type="continuationSeparator" w:id="0">
    <w:p w14:paraId="2F6164FF" w14:textId="77777777" w:rsidR="00F012F8" w:rsidRDefault="00F012F8"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58C4C372" w:rsidR="008F5678" w:rsidRDefault="008F5678" w:rsidP="008F5678">
    <w:pPr>
      <w:rPr>
        <w:rFonts w:ascii="Times New Roman" w:eastAsia="Times New Roman" w:hAnsi="Times New Roman" w:cs="Times New Roman"/>
        <w:sz w:val="16"/>
        <w:szCs w:val="16"/>
      </w:rPr>
    </w:pPr>
    <w:r w:rsidRPr="007F29C0">
      <w:rPr>
        <w:rFonts w:ascii="Times New Roman" w:eastAsia="Times New Roman" w:hAnsi="Times New Roman" w:cs="Times New Roman"/>
        <w:sz w:val="16"/>
        <w:szCs w:val="16"/>
        <w:vertAlign w:val="superscript"/>
      </w:rPr>
      <w:t xml:space="preserve">1 </w:t>
    </w:r>
    <w:r w:rsidRPr="007F29C0">
      <w:rPr>
        <w:rFonts w:ascii="Times New Roman" w:hAnsi="Times New Roman" w:cs="Times New Roman"/>
        <w:sz w:val="16"/>
        <w:szCs w:val="16"/>
      </w:rPr>
      <w:t>Ref:</w:t>
    </w:r>
    <w:r w:rsidR="007F29C0" w:rsidRPr="007F29C0">
      <w:rPr>
        <w:rFonts w:ascii="Times New Roman" w:hAnsi="Times New Roman" w:cs="Times New Roman"/>
        <w:sz w:val="16"/>
        <w:szCs w:val="16"/>
      </w:rPr>
      <w:t>Ascorbic Acid 200 mg Tablets</w:t>
    </w:r>
    <w:r w:rsidRPr="007F29C0">
      <w:rPr>
        <w:rFonts w:ascii="Times New Roman" w:hAnsi="Times New Roman" w:cs="Times New Roman"/>
        <w:sz w:val="16"/>
        <w:szCs w:val="16"/>
      </w:rPr>
      <w:t xml:space="preserve">, MHRA, </w:t>
    </w:r>
    <w:r w:rsidR="007F29C0" w:rsidRPr="007F29C0">
      <w:rPr>
        <w:rFonts w:ascii="Times New Roman" w:eastAsia="Times New Roman" w:hAnsi="Times New Roman" w:cs="Times New Roman"/>
        <w:sz w:val="16"/>
        <w:szCs w:val="16"/>
      </w:rPr>
      <w:t>23</w:t>
    </w:r>
    <w:r w:rsidRPr="007F29C0">
      <w:rPr>
        <w:rFonts w:ascii="Times New Roman" w:eastAsia="Times New Roman" w:hAnsi="Times New Roman" w:cs="Times New Roman"/>
        <w:sz w:val="16"/>
        <w:szCs w:val="16"/>
      </w:rPr>
      <w:t>/</w:t>
    </w:r>
    <w:r w:rsidR="007F29C0" w:rsidRPr="007F29C0">
      <w:rPr>
        <w:rFonts w:ascii="Times New Roman" w:eastAsia="Times New Roman" w:hAnsi="Times New Roman" w:cs="Times New Roman"/>
        <w:sz w:val="16"/>
        <w:szCs w:val="16"/>
      </w:rPr>
      <w:t>08</w:t>
    </w:r>
    <w:r w:rsidRPr="007F29C0">
      <w:rPr>
        <w:rFonts w:ascii="Times New Roman" w:eastAsia="Times New Roman" w:hAnsi="Times New Roman" w:cs="Times New Roman"/>
        <w:sz w:val="16"/>
        <w:szCs w:val="16"/>
      </w:rPr>
      <w:t>/202</w:t>
    </w:r>
    <w:r w:rsidR="007F29C0" w:rsidRPr="007F29C0">
      <w:rPr>
        <w:rFonts w:ascii="Times New Roman" w:eastAsia="Times New Roman" w:hAnsi="Times New Roman" w:cs="Times New Roman"/>
        <w:sz w:val="16"/>
        <w:szCs w:val="16"/>
      </w:rPr>
      <w:t>3</w:t>
    </w:r>
  </w:p>
  <w:p w14:paraId="4BBAE70F" w14:textId="5A481A76" w:rsidR="007F29C0" w:rsidRDefault="007F29C0" w:rsidP="008F5678">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Ascorbic Acid Tablets BP 500mg, MHRA, 06/02/2018</w:t>
    </w:r>
  </w:p>
  <w:p w14:paraId="138653D2" w14:textId="3AC33A74" w:rsidR="007F29C0" w:rsidRPr="007F29C0" w:rsidRDefault="007F29C0" w:rsidP="008F5678">
    <w:pPr>
      <w:rPr>
        <w:rFonts w:ascii="Times New Roman" w:eastAsia="Times New Roman" w:hAnsi="Times New Roman" w:cs="Times New Roman"/>
        <w:sz w:val="16"/>
        <w:szCs w:val="16"/>
        <w:cs/>
      </w:rPr>
    </w:pPr>
    <w:r>
      <w:rPr>
        <w:rFonts w:ascii="Times New Roman" w:eastAsia="Times New Roman" w:hAnsi="Times New Roman" w:cs="Times New Roman"/>
        <w:sz w:val="16"/>
        <w:szCs w:val="16"/>
      </w:rPr>
      <w:t xml:space="preserve">         Ascorbic Acid Tablets BP 100mg, NHRA, 02/02/2018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82FC4" w14:textId="77777777" w:rsidR="007F29C0" w:rsidRDefault="007F2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C24F" w14:textId="77777777" w:rsidR="00F012F8" w:rsidRDefault="00F012F8" w:rsidP="008F5678">
      <w:pPr>
        <w:spacing w:line="240" w:lineRule="auto"/>
      </w:pPr>
      <w:r>
        <w:separator/>
      </w:r>
    </w:p>
  </w:footnote>
  <w:footnote w:type="continuationSeparator" w:id="0">
    <w:p w14:paraId="702E6EFA" w14:textId="77777777" w:rsidR="00F012F8" w:rsidRDefault="00F012F8" w:rsidP="008F56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19241" w14:textId="77777777" w:rsidR="007F29C0" w:rsidRDefault="007F2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01D90" w14:textId="77777777" w:rsidR="007F29C0" w:rsidRDefault="007F2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E9CB6" w14:textId="77777777" w:rsidR="007F29C0" w:rsidRDefault="007F2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
  </w:num>
  <w:num w:numId="2" w16cid:durableId="6587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177864"/>
    <w:rsid w:val="002058A9"/>
    <w:rsid w:val="00227FD4"/>
    <w:rsid w:val="002338E2"/>
    <w:rsid w:val="00233A79"/>
    <w:rsid w:val="00342E22"/>
    <w:rsid w:val="003D560C"/>
    <w:rsid w:val="005A4DDD"/>
    <w:rsid w:val="00671E86"/>
    <w:rsid w:val="007258BA"/>
    <w:rsid w:val="007F29C0"/>
    <w:rsid w:val="00834A79"/>
    <w:rsid w:val="008F5678"/>
    <w:rsid w:val="00944976"/>
    <w:rsid w:val="00A144D2"/>
    <w:rsid w:val="00A560E6"/>
    <w:rsid w:val="00A756AE"/>
    <w:rsid w:val="00A85894"/>
    <w:rsid w:val="00AF212D"/>
    <w:rsid w:val="00B24321"/>
    <w:rsid w:val="00B36B0E"/>
    <w:rsid w:val="00B855BD"/>
    <w:rsid w:val="00BB6977"/>
    <w:rsid w:val="00BE7516"/>
    <w:rsid w:val="00C21A1C"/>
    <w:rsid w:val="00C5591F"/>
    <w:rsid w:val="00DD2BDE"/>
    <w:rsid w:val="00F012F8"/>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35544">
      <w:bodyDiv w:val="1"/>
      <w:marLeft w:val="0"/>
      <w:marRight w:val="0"/>
      <w:marTop w:val="0"/>
      <w:marBottom w:val="0"/>
      <w:divBdr>
        <w:top w:val="none" w:sz="0" w:space="0" w:color="auto"/>
        <w:left w:val="none" w:sz="0" w:space="0" w:color="auto"/>
        <w:bottom w:val="none" w:sz="0" w:space="0" w:color="auto"/>
        <w:right w:val="none" w:sz="0" w:space="0" w:color="auto"/>
      </w:divBdr>
      <w:divsChild>
        <w:div w:id="974914263">
          <w:marLeft w:val="0"/>
          <w:marRight w:val="0"/>
          <w:marTop w:val="0"/>
          <w:marBottom w:val="0"/>
          <w:divBdr>
            <w:top w:val="none" w:sz="0" w:space="0" w:color="auto"/>
            <w:left w:val="none" w:sz="0" w:space="0" w:color="auto"/>
            <w:bottom w:val="none" w:sz="0" w:space="0" w:color="auto"/>
            <w:right w:val="none" w:sz="0" w:space="0" w:color="auto"/>
          </w:divBdr>
          <w:divsChild>
            <w:div w:id="581333438">
              <w:marLeft w:val="0"/>
              <w:marRight w:val="0"/>
              <w:marTop w:val="0"/>
              <w:marBottom w:val="0"/>
              <w:divBdr>
                <w:top w:val="none" w:sz="0" w:space="0" w:color="auto"/>
                <w:left w:val="none" w:sz="0" w:space="0" w:color="auto"/>
                <w:bottom w:val="none" w:sz="0" w:space="0" w:color="auto"/>
                <w:right w:val="none" w:sz="0" w:space="0" w:color="auto"/>
              </w:divBdr>
              <w:divsChild>
                <w:div w:id="1649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45496">
      <w:bodyDiv w:val="1"/>
      <w:marLeft w:val="0"/>
      <w:marRight w:val="0"/>
      <w:marTop w:val="0"/>
      <w:marBottom w:val="0"/>
      <w:divBdr>
        <w:top w:val="none" w:sz="0" w:space="0" w:color="auto"/>
        <w:left w:val="none" w:sz="0" w:space="0" w:color="auto"/>
        <w:bottom w:val="none" w:sz="0" w:space="0" w:color="auto"/>
        <w:right w:val="none" w:sz="0" w:space="0" w:color="auto"/>
      </w:divBdr>
      <w:divsChild>
        <w:div w:id="813451590">
          <w:marLeft w:val="0"/>
          <w:marRight w:val="0"/>
          <w:marTop w:val="0"/>
          <w:marBottom w:val="0"/>
          <w:divBdr>
            <w:top w:val="none" w:sz="0" w:space="0" w:color="auto"/>
            <w:left w:val="none" w:sz="0" w:space="0" w:color="auto"/>
            <w:bottom w:val="none" w:sz="0" w:space="0" w:color="auto"/>
            <w:right w:val="none" w:sz="0" w:space="0" w:color="auto"/>
          </w:divBdr>
          <w:divsChild>
            <w:div w:id="366570585">
              <w:marLeft w:val="0"/>
              <w:marRight w:val="0"/>
              <w:marTop w:val="0"/>
              <w:marBottom w:val="0"/>
              <w:divBdr>
                <w:top w:val="none" w:sz="0" w:space="0" w:color="auto"/>
                <w:left w:val="none" w:sz="0" w:space="0" w:color="auto"/>
                <w:bottom w:val="none" w:sz="0" w:space="0" w:color="auto"/>
                <w:right w:val="none" w:sz="0" w:space="0" w:color="auto"/>
              </w:divBdr>
              <w:divsChild>
                <w:div w:id="5612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1726">
      <w:bodyDiv w:val="1"/>
      <w:marLeft w:val="0"/>
      <w:marRight w:val="0"/>
      <w:marTop w:val="0"/>
      <w:marBottom w:val="0"/>
      <w:divBdr>
        <w:top w:val="none" w:sz="0" w:space="0" w:color="auto"/>
        <w:left w:val="none" w:sz="0" w:space="0" w:color="auto"/>
        <w:bottom w:val="none" w:sz="0" w:space="0" w:color="auto"/>
        <w:right w:val="none" w:sz="0" w:space="0" w:color="auto"/>
      </w:divBdr>
      <w:divsChild>
        <w:div w:id="1775587478">
          <w:marLeft w:val="0"/>
          <w:marRight w:val="0"/>
          <w:marTop w:val="0"/>
          <w:marBottom w:val="0"/>
          <w:divBdr>
            <w:top w:val="none" w:sz="0" w:space="0" w:color="auto"/>
            <w:left w:val="none" w:sz="0" w:space="0" w:color="auto"/>
            <w:bottom w:val="none" w:sz="0" w:space="0" w:color="auto"/>
            <w:right w:val="none" w:sz="0" w:space="0" w:color="auto"/>
          </w:divBdr>
          <w:divsChild>
            <w:div w:id="509567276">
              <w:marLeft w:val="0"/>
              <w:marRight w:val="0"/>
              <w:marTop w:val="0"/>
              <w:marBottom w:val="0"/>
              <w:divBdr>
                <w:top w:val="none" w:sz="0" w:space="0" w:color="auto"/>
                <w:left w:val="none" w:sz="0" w:space="0" w:color="auto"/>
                <w:bottom w:val="none" w:sz="0" w:space="0" w:color="auto"/>
                <w:right w:val="none" w:sz="0" w:space="0" w:color="auto"/>
              </w:divBdr>
              <w:divsChild>
                <w:div w:id="9891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3984">
      <w:bodyDiv w:val="1"/>
      <w:marLeft w:val="0"/>
      <w:marRight w:val="0"/>
      <w:marTop w:val="0"/>
      <w:marBottom w:val="0"/>
      <w:divBdr>
        <w:top w:val="none" w:sz="0" w:space="0" w:color="auto"/>
        <w:left w:val="none" w:sz="0" w:space="0" w:color="auto"/>
        <w:bottom w:val="none" w:sz="0" w:space="0" w:color="auto"/>
        <w:right w:val="none" w:sz="0" w:space="0" w:color="auto"/>
      </w:divBdr>
      <w:divsChild>
        <w:div w:id="865557304">
          <w:marLeft w:val="0"/>
          <w:marRight w:val="0"/>
          <w:marTop w:val="0"/>
          <w:marBottom w:val="0"/>
          <w:divBdr>
            <w:top w:val="none" w:sz="0" w:space="0" w:color="auto"/>
            <w:left w:val="none" w:sz="0" w:space="0" w:color="auto"/>
            <w:bottom w:val="none" w:sz="0" w:space="0" w:color="auto"/>
            <w:right w:val="none" w:sz="0" w:space="0" w:color="auto"/>
          </w:divBdr>
          <w:divsChild>
            <w:div w:id="466818087">
              <w:marLeft w:val="0"/>
              <w:marRight w:val="0"/>
              <w:marTop w:val="0"/>
              <w:marBottom w:val="0"/>
              <w:divBdr>
                <w:top w:val="none" w:sz="0" w:space="0" w:color="auto"/>
                <w:left w:val="none" w:sz="0" w:space="0" w:color="auto"/>
                <w:bottom w:val="none" w:sz="0" w:space="0" w:color="auto"/>
                <w:right w:val="none" w:sz="0" w:space="0" w:color="auto"/>
              </w:divBdr>
              <w:divsChild>
                <w:div w:id="14122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96262">
      <w:bodyDiv w:val="1"/>
      <w:marLeft w:val="0"/>
      <w:marRight w:val="0"/>
      <w:marTop w:val="0"/>
      <w:marBottom w:val="0"/>
      <w:divBdr>
        <w:top w:val="none" w:sz="0" w:space="0" w:color="auto"/>
        <w:left w:val="none" w:sz="0" w:space="0" w:color="auto"/>
        <w:bottom w:val="none" w:sz="0" w:space="0" w:color="auto"/>
        <w:right w:val="none" w:sz="0" w:space="0" w:color="auto"/>
      </w:divBdr>
      <w:divsChild>
        <w:div w:id="2130467487">
          <w:marLeft w:val="0"/>
          <w:marRight w:val="0"/>
          <w:marTop w:val="0"/>
          <w:marBottom w:val="0"/>
          <w:divBdr>
            <w:top w:val="none" w:sz="0" w:space="0" w:color="auto"/>
            <w:left w:val="none" w:sz="0" w:space="0" w:color="auto"/>
            <w:bottom w:val="none" w:sz="0" w:space="0" w:color="auto"/>
            <w:right w:val="none" w:sz="0" w:space="0" w:color="auto"/>
          </w:divBdr>
          <w:divsChild>
            <w:div w:id="1652903354">
              <w:marLeft w:val="0"/>
              <w:marRight w:val="0"/>
              <w:marTop w:val="0"/>
              <w:marBottom w:val="0"/>
              <w:divBdr>
                <w:top w:val="none" w:sz="0" w:space="0" w:color="auto"/>
                <w:left w:val="none" w:sz="0" w:space="0" w:color="auto"/>
                <w:bottom w:val="none" w:sz="0" w:space="0" w:color="auto"/>
                <w:right w:val="none" w:sz="0" w:space="0" w:color="auto"/>
              </w:divBdr>
              <w:divsChild>
                <w:div w:id="4075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4726">
      <w:bodyDiv w:val="1"/>
      <w:marLeft w:val="0"/>
      <w:marRight w:val="0"/>
      <w:marTop w:val="0"/>
      <w:marBottom w:val="0"/>
      <w:divBdr>
        <w:top w:val="none" w:sz="0" w:space="0" w:color="auto"/>
        <w:left w:val="none" w:sz="0" w:space="0" w:color="auto"/>
        <w:bottom w:val="none" w:sz="0" w:space="0" w:color="auto"/>
        <w:right w:val="none" w:sz="0" w:space="0" w:color="auto"/>
      </w:divBdr>
      <w:divsChild>
        <w:div w:id="262802670">
          <w:marLeft w:val="0"/>
          <w:marRight w:val="0"/>
          <w:marTop w:val="0"/>
          <w:marBottom w:val="0"/>
          <w:divBdr>
            <w:top w:val="none" w:sz="0" w:space="0" w:color="auto"/>
            <w:left w:val="none" w:sz="0" w:space="0" w:color="auto"/>
            <w:bottom w:val="none" w:sz="0" w:space="0" w:color="auto"/>
            <w:right w:val="none" w:sz="0" w:space="0" w:color="auto"/>
          </w:divBdr>
          <w:divsChild>
            <w:div w:id="1684480570">
              <w:marLeft w:val="0"/>
              <w:marRight w:val="0"/>
              <w:marTop w:val="0"/>
              <w:marBottom w:val="0"/>
              <w:divBdr>
                <w:top w:val="none" w:sz="0" w:space="0" w:color="auto"/>
                <w:left w:val="none" w:sz="0" w:space="0" w:color="auto"/>
                <w:bottom w:val="none" w:sz="0" w:space="0" w:color="auto"/>
                <w:right w:val="none" w:sz="0" w:space="0" w:color="auto"/>
              </w:divBdr>
              <w:divsChild>
                <w:div w:id="20722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27446">
      <w:bodyDiv w:val="1"/>
      <w:marLeft w:val="0"/>
      <w:marRight w:val="0"/>
      <w:marTop w:val="0"/>
      <w:marBottom w:val="0"/>
      <w:divBdr>
        <w:top w:val="none" w:sz="0" w:space="0" w:color="auto"/>
        <w:left w:val="none" w:sz="0" w:space="0" w:color="auto"/>
        <w:bottom w:val="none" w:sz="0" w:space="0" w:color="auto"/>
        <w:right w:val="none" w:sz="0" w:space="0" w:color="auto"/>
      </w:divBdr>
      <w:divsChild>
        <w:div w:id="516962722">
          <w:marLeft w:val="0"/>
          <w:marRight w:val="0"/>
          <w:marTop w:val="0"/>
          <w:marBottom w:val="0"/>
          <w:divBdr>
            <w:top w:val="none" w:sz="0" w:space="0" w:color="auto"/>
            <w:left w:val="none" w:sz="0" w:space="0" w:color="auto"/>
            <w:bottom w:val="none" w:sz="0" w:space="0" w:color="auto"/>
            <w:right w:val="none" w:sz="0" w:space="0" w:color="auto"/>
          </w:divBdr>
          <w:divsChild>
            <w:div w:id="189072518">
              <w:marLeft w:val="0"/>
              <w:marRight w:val="0"/>
              <w:marTop w:val="0"/>
              <w:marBottom w:val="0"/>
              <w:divBdr>
                <w:top w:val="none" w:sz="0" w:space="0" w:color="auto"/>
                <w:left w:val="none" w:sz="0" w:space="0" w:color="auto"/>
                <w:bottom w:val="none" w:sz="0" w:space="0" w:color="auto"/>
                <w:right w:val="none" w:sz="0" w:space="0" w:color="auto"/>
              </w:divBdr>
              <w:divsChild>
                <w:div w:id="2774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5087">
          <w:marLeft w:val="0"/>
          <w:marRight w:val="0"/>
          <w:marTop w:val="0"/>
          <w:marBottom w:val="0"/>
          <w:divBdr>
            <w:top w:val="none" w:sz="0" w:space="0" w:color="auto"/>
            <w:left w:val="none" w:sz="0" w:space="0" w:color="auto"/>
            <w:bottom w:val="none" w:sz="0" w:space="0" w:color="auto"/>
            <w:right w:val="none" w:sz="0" w:space="0" w:color="auto"/>
          </w:divBdr>
          <w:divsChild>
            <w:div w:id="689796298">
              <w:marLeft w:val="0"/>
              <w:marRight w:val="0"/>
              <w:marTop w:val="0"/>
              <w:marBottom w:val="0"/>
              <w:divBdr>
                <w:top w:val="none" w:sz="0" w:space="0" w:color="auto"/>
                <w:left w:val="none" w:sz="0" w:space="0" w:color="auto"/>
                <w:bottom w:val="none" w:sz="0" w:space="0" w:color="auto"/>
                <w:right w:val="none" w:sz="0" w:space="0" w:color="auto"/>
              </w:divBdr>
              <w:divsChild>
                <w:div w:id="3392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9600">
      <w:bodyDiv w:val="1"/>
      <w:marLeft w:val="0"/>
      <w:marRight w:val="0"/>
      <w:marTop w:val="0"/>
      <w:marBottom w:val="0"/>
      <w:divBdr>
        <w:top w:val="none" w:sz="0" w:space="0" w:color="auto"/>
        <w:left w:val="none" w:sz="0" w:space="0" w:color="auto"/>
        <w:bottom w:val="none" w:sz="0" w:space="0" w:color="auto"/>
        <w:right w:val="none" w:sz="0" w:space="0" w:color="auto"/>
      </w:divBdr>
      <w:divsChild>
        <w:div w:id="1094085117">
          <w:marLeft w:val="0"/>
          <w:marRight w:val="0"/>
          <w:marTop w:val="0"/>
          <w:marBottom w:val="0"/>
          <w:divBdr>
            <w:top w:val="none" w:sz="0" w:space="0" w:color="auto"/>
            <w:left w:val="none" w:sz="0" w:space="0" w:color="auto"/>
            <w:bottom w:val="none" w:sz="0" w:space="0" w:color="auto"/>
            <w:right w:val="none" w:sz="0" w:space="0" w:color="auto"/>
          </w:divBdr>
          <w:divsChild>
            <w:div w:id="94181593">
              <w:marLeft w:val="0"/>
              <w:marRight w:val="0"/>
              <w:marTop w:val="0"/>
              <w:marBottom w:val="0"/>
              <w:divBdr>
                <w:top w:val="none" w:sz="0" w:space="0" w:color="auto"/>
                <w:left w:val="none" w:sz="0" w:space="0" w:color="auto"/>
                <w:bottom w:val="none" w:sz="0" w:space="0" w:color="auto"/>
                <w:right w:val="none" w:sz="0" w:space="0" w:color="auto"/>
              </w:divBdr>
              <w:divsChild>
                <w:div w:id="12777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5062">
      <w:bodyDiv w:val="1"/>
      <w:marLeft w:val="0"/>
      <w:marRight w:val="0"/>
      <w:marTop w:val="0"/>
      <w:marBottom w:val="0"/>
      <w:divBdr>
        <w:top w:val="none" w:sz="0" w:space="0" w:color="auto"/>
        <w:left w:val="none" w:sz="0" w:space="0" w:color="auto"/>
        <w:bottom w:val="none" w:sz="0" w:space="0" w:color="auto"/>
        <w:right w:val="none" w:sz="0" w:space="0" w:color="auto"/>
      </w:divBdr>
      <w:divsChild>
        <w:div w:id="1627003139">
          <w:marLeft w:val="0"/>
          <w:marRight w:val="0"/>
          <w:marTop w:val="0"/>
          <w:marBottom w:val="0"/>
          <w:divBdr>
            <w:top w:val="none" w:sz="0" w:space="0" w:color="auto"/>
            <w:left w:val="none" w:sz="0" w:space="0" w:color="auto"/>
            <w:bottom w:val="none" w:sz="0" w:space="0" w:color="auto"/>
            <w:right w:val="none" w:sz="0" w:space="0" w:color="auto"/>
          </w:divBdr>
          <w:divsChild>
            <w:div w:id="467626621">
              <w:marLeft w:val="0"/>
              <w:marRight w:val="0"/>
              <w:marTop w:val="0"/>
              <w:marBottom w:val="0"/>
              <w:divBdr>
                <w:top w:val="none" w:sz="0" w:space="0" w:color="auto"/>
                <w:left w:val="none" w:sz="0" w:space="0" w:color="auto"/>
                <w:bottom w:val="none" w:sz="0" w:space="0" w:color="auto"/>
                <w:right w:val="none" w:sz="0" w:space="0" w:color="auto"/>
              </w:divBdr>
              <w:divsChild>
                <w:div w:id="19570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08684">
      <w:bodyDiv w:val="1"/>
      <w:marLeft w:val="0"/>
      <w:marRight w:val="0"/>
      <w:marTop w:val="0"/>
      <w:marBottom w:val="0"/>
      <w:divBdr>
        <w:top w:val="none" w:sz="0" w:space="0" w:color="auto"/>
        <w:left w:val="none" w:sz="0" w:space="0" w:color="auto"/>
        <w:bottom w:val="none" w:sz="0" w:space="0" w:color="auto"/>
        <w:right w:val="none" w:sz="0" w:space="0" w:color="auto"/>
      </w:divBdr>
      <w:divsChild>
        <w:div w:id="697508465">
          <w:marLeft w:val="0"/>
          <w:marRight w:val="0"/>
          <w:marTop w:val="0"/>
          <w:marBottom w:val="0"/>
          <w:divBdr>
            <w:top w:val="none" w:sz="0" w:space="0" w:color="auto"/>
            <w:left w:val="none" w:sz="0" w:space="0" w:color="auto"/>
            <w:bottom w:val="none" w:sz="0" w:space="0" w:color="auto"/>
            <w:right w:val="none" w:sz="0" w:space="0" w:color="auto"/>
          </w:divBdr>
          <w:divsChild>
            <w:div w:id="2128039889">
              <w:marLeft w:val="0"/>
              <w:marRight w:val="0"/>
              <w:marTop w:val="0"/>
              <w:marBottom w:val="0"/>
              <w:divBdr>
                <w:top w:val="none" w:sz="0" w:space="0" w:color="auto"/>
                <w:left w:val="none" w:sz="0" w:space="0" w:color="auto"/>
                <w:bottom w:val="none" w:sz="0" w:space="0" w:color="auto"/>
                <w:right w:val="none" w:sz="0" w:space="0" w:color="auto"/>
              </w:divBdr>
              <w:divsChild>
                <w:div w:id="14717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605">
          <w:marLeft w:val="0"/>
          <w:marRight w:val="0"/>
          <w:marTop w:val="0"/>
          <w:marBottom w:val="0"/>
          <w:divBdr>
            <w:top w:val="none" w:sz="0" w:space="0" w:color="auto"/>
            <w:left w:val="none" w:sz="0" w:space="0" w:color="auto"/>
            <w:bottom w:val="none" w:sz="0" w:space="0" w:color="auto"/>
            <w:right w:val="none" w:sz="0" w:space="0" w:color="auto"/>
          </w:divBdr>
          <w:divsChild>
            <w:div w:id="2051493577">
              <w:marLeft w:val="0"/>
              <w:marRight w:val="0"/>
              <w:marTop w:val="0"/>
              <w:marBottom w:val="0"/>
              <w:divBdr>
                <w:top w:val="none" w:sz="0" w:space="0" w:color="auto"/>
                <w:left w:val="none" w:sz="0" w:space="0" w:color="auto"/>
                <w:bottom w:val="none" w:sz="0" w:space="0" w:color="auto"/>
                <w:right w:val="none" w:sz="0" w:space="0" w:color="auto"/>
              </w:divBdr>
              <w:divsChild>
                <w:div w:id="17618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32768">
      <w:bodyDiv w:val="1"/>
      <w:marLeft w:val="0"/>
      <w:marRight w:val="0"/>
      <w:marTop w:val="0"/>
      <w:marBottom w:val="0"/>
      <w:divBdr>
        <w:top w:val="none" w:sz="0" w:space="0" w:color="auto"/>
        <w:left w:val="none" w:sz="0" w:space="0" w:color="auto"/>
        <w:bottom w:val="none" w:sz="0" w:space="0" w:color="auto"/>
        <w:right w:val="none" w:sz="0" w:space="0" w:color="auto"/>
      </w:divBdr>
      <w:divsChild>
        <w:div w:id="1118530539">
          <w:marLeft w:val="0"/>
          <w:marRight w:val="0"/>
          <w:marTop w:val="0"/>
          <w:marBottom w:val="0"/>
          <w:divBdr>
            <w:top w:val="none" w:sz="0" w:space="0" w:color="auto"/>
            <w:left w:val="none" w:sz="0" w:space="0" w:color="auto"/>
            <w:bottom w:val="none" w:sz="0" w:space="0" w:color="auto"/>
            <w:right w:val="none" w:sz="0" w:space="0" w:color="auto"/>
          </w:divBdr>
          <w:divsChild>
            <w:div w:id="525796748">
              <w:marLeft w:val="0"/>
              <w:marRight w:val="0"/>
              <w:marTop w:val="0"/>
              <w:marBottom w:val="0"/>
              <w:divBdr>
                <w:top w:val="none" w:sz="0" w:space="0" w:color="auto"/>
                <w:left w:val="none" w:sz="0" w:space="0" w:color="auto"/>
                <w:bottom w:val="none" w:sz="0" w:space="0" w:color="auto"/>
                <w:right w:val="none" w:sz="0" w:space="0" w:color="auto"/>
              </w:divBdr>
              <w:divsChild>
                <w:div w:id="13601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07558">
      <w:bodyDiv w:val="1"/>
      <w:marLeft w:val="0"/>
      <w:marRight w:val="0"/>
      <w:marTop w:val="0"/>
      <w:marBottom w:val="0"/>
      <w:divBdr>
        <w:top w:val="none" w:sz="0" w:space="0" w:color="auto"/>
        <w:left w:val="none" w:sz="0" w:space="0" w:color="auto"/>
        <w:bottom w:val="none" w:sz="0" w:space="0" w:color="auto"/>
        <w:right w:val="none" w:sz="0" w:space="0" w:color="auto"/>
      </w:divBdr>
      <w:divsChild>
        <w:div w:id="983966700">
          <w:marLeft w:val="0"/>
          <w:marRight w:val="0"/>
          <w:marTop w:val="0"/>
          <w:marBottom w:val="0"/>
          <w:divBdr>
            <w:top w:val="none" w:sz="0" w:space="0" w:color="auto"/>
            <w:left w:val="none" w:sz="0" w:space="0" w:color="auto"/>
            <w:bottom w:val="none" w:sz="0" w:space="0" w:color="auto"/>
            <w:right w:val="none" w:sz="0" w:space="0" w:color="auto"/>
          </w:divBdr>
          <w:divsChild>
            <w:div w:id="192502852">
              <w:marLeft w:val="0"/>
              <w:marRight w:val="0"/>
              <w:marTop w:val="0"/>
              <w:marBottom w:val="0"/>
              <w:divBdr>
                <w:top w:val="none" w:sz="0" w:space="0" w:color="auto"/>
                <w:left w:val="none" w:sz="0" w:space="0" w:color="auto"/>
                <w:bottom w:val="none" w:sz="0" w:space="0" w:color="auto"/>
                <w:right w:val="none" w:sz="0" w:space="0" w:color="auto"/>
              </w:divBdr>
              <w:divsChild>
                <w:div w:id="5979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6916">
      <w:bodyDiv w:val="1"/>
      <w:marLeft w:val="0"/>
      <w:marRight w:val="0"/>
      <w:marTop w:val="0"/>
      <w:marBottom w:val="0"/>
      <w:divBdr>
        <w:top w:val="none" w:sz="0" w:space="0" w:color="auto"/>
        <w:left w:val="none" w:sz="0" w:space="0" w:color="auto"/>
        <w:bottom w:val="none" w:sz="0" w:space="0" w:color="auto"/>
        <w:right w:val="none" w:sz="0" w:space="0" w:color="auto"/>
      </w:divBdr>
      <w:divsChild>
        <w:div w:id="757095832">
          <w:marLeft w:val="0"/>
          <w:marRight w:val="0"/>
          <w:marTop w:val="0"/>
          <w:marBottom w:val="0"/>
          <w:divBdr>
            <w:top w:val="none" w:sz="0" w:space="0" w:color="auto"/>
            <w:left w:val="none" w:sz="0" w:space="0" w:color="auto"/>
            <w:bottom w:val="none" w:sz="0" w:space="0" w:color="auto"/>
            <w:right w:val="none" w:sz="0" w:space="0" w:color="auto"/>
          </w:divBdr>
          <w:divsChild>
            <w:div w:id="604312298">
              <w:marLeft w:val="0"/>
              <w:marRight w:val="0"/>
              <w:marTop w:val="0"/>
              <w:marBottom w:val="0"/>
              <w:divBdr>
                <w:top w:val="none" w:sz="0" w:space="0" w:color="auto"/>
                <w:left w:val="none" w:sz="0" w:space="0" w:color="auto"/>
                <w:bottom w:val="none" w:sz="0" w:space="0" w:color="auto"/>
                <w:right w:val="none" w:sz="0" w:space="0" w:color="auto"/>
              </w:divBdr>
              <w:divsChild>
                <w:div w:id="14648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00416">
      <w:bodyDiv w:val="1"/>
      <w:marLeft w:val="0"/>
      <w:marRight w:val="0"/>
      <w:marTop w:val="0"/>
      <w:marBottom w:val="0"/>
      <w:divBdr>
        <w:top w:val="none" w:sz="0" w:space="0" w:color="auto"/>
        <w:left w:val="none" w:sz="0" w:space="0" w:color="auto"/>
        <w:bottom w:val="none" w:sz="0" w:space="0" w:color="auto"/>
        <w:right w:val="none" w:sz="0" w:space="0" w:color="auto"/>
      </w:divBdr>
      <w:divsChild>
        <w:div w:id="496001126">
          <w:marLeft w:val="0"/>
          <w:marRight w:val="0"/>
          <w:marTop w:val="0"/>
          <w:marBottom w:val="0"/>
          <w:divBdr>
            <w:top w:val="none" w:sz="0" w:space="0" w:color="auto"/>
            <w:left w:val="none" w:sz="0" w:space="0" w:color="auto"/>
            <w:bottom w:val="none" w:sz="0" w:space="0" w:color="auto"/>
            <w:right w:val="none" w:sz="0" w:space="0" w:color="auto"/>
          </w:divBdr>
          <w:divsChild>
            <w:div w:id="2099519191">
              <w:marLeft w:val="0"/>
              <w:marRight w:val="0"/>
              <w:marTop w:val="0"/>
              <w:marBottom w:val="0"/>
              <w:divBdr>
                <w:top w:val="none" w:sz="0" w:space="0" w:color="auto"/>
                <w:left w:val="none" w:sz="0" w:space="0" w:color="auto"/>
                <w:bottom w:val="none" w:sz="0" w:space="0" w:color="auto"/>
                <w:right w:val="none" w:sz="0" w:space="0" w:color="auto"/>
              </w:divBdr>
              <w:divsChild>
                <w:div w:id="16610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64030">
      <w:bodyDiv w:val="1"/>
      <w:marLeft w:val="0"/>
      <w:marRight w:val="0"/>
      <w:marTop w:val="0"/>
      <w:marBottom w:val="0"/>
      <w:divBdr>
        <w:top w:val="none" w:sz="0" w:space="0" w:color="auto"/>
        <w:left w:val="none" w:sz="0" w:space="0" w:color="auto"/>
        <w:bottom w:val="none" w:sz="0" w:space="0" w:color="auto"/>
        <w:right w:val="none" w:sz="0" w:space="0" w:color="auto"/>
      </w:divBdr>
      <w:divsChild>
        <w:div w:id="1166284380">
          <w:marLeft w:val="0"/>
          <w:marRight w:val="0"/>
          <w:marTop w:val="0"/>
          <w:marBottom w:val="0"/>
          <w:divBdr>
            <w:top w:val="none" w:sz="0" w:space="0" w:color="auto"/>
            <w:left w:val="none" w:sz="0" w:space="0" w:color="auto"/>
            <w:bottom w:val="none" w:sz="0" w:space="0" w:color="auto"/>
            <w:right w:val="none" w:sz="0" w:space="0" w:color="auto"/>
          </w:divBdr>
          <w:divsChild>
            <w:div w:id="1536427070">
              <w:marLeft w:val="0"/>
              <w:marRight w:val="0"/>
              <w:marTop w:val="0"/>
              <w:marBottom w:val="0"/>
              <w:divBdr>
                <w:top w:val="none" w:sz="0" w:space="0" w:color="auto"/>
                <w:left w:val="none" w:sz="0" w:space="0" w:color="auto"/>
                <w:bottom w:val="none" w:sz="0" w:space="0" w:color="auto"/>
                <w:right w:val="none" w:sz="0" w:space="0" w:color="auto"/>
              </w:divBdr>
              <w:divsChild>
                <w:div w:id="2302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59978">
      <w:bodyDiv w:val="1"/>
      <w:marLeft w:val="0"/>
      <w:marRight w:val="0"/>
      <w:marTop w:val="0"/>
      <w:marBottom w:val="0"/>
      <w:divBdr>
        <w:top w:val="none" w:sz="0" w:space="0" w:color="auto"/>
        <w:left w:val="none" w:sz="0" w:space="0" w:color="auto"/>
        <w:bottom w:val="none" w:sz="0" w:space="0" w:color="auto"/>
        <w:right w:val="none" w:sz="0" w:space="0" w:color="auto"/>
      </w:divBdr>
      <w:divsChild>
        <w:div w:id="1409963490">
          <w:marLeft w:val="0"/>
          <w:marRight w:val="0"/>
          <w:marTop w:val="0"/>
          <w:marBottom w:val="0"/>
          <w:divBdr>
            <w:top w:val="none" w:sz="0" w:space="0" w:color="auto"/>
            <w:left w:val="none" w:sz="0" w:space="0" w:color="auto"/>
            <w:bottom w:val="none" w:sz="0" w:space="0" w:color="auto"/>
            <w:right w:val="none" w:sz="0" w:space="0" w:color="auto"/>
          </w:divBdr>
          <w:divsChild>
            <w:div w:id="738946131">
              <w:marLeft w:val="0"/>
              <w:marRight w:val="0"/>
              <w:marTop w:val="0"/>
              <w:marBottom w:val="0"/>
              <w:divBdr>
                <w:top w:val="none" w:sz="0" w:space="0" w:color="auto"/>
                <w:left w:val="none" w:sz="0" w:space="0" w:color="auto"/>
                <w:bottom w:val="none" w:sz="0" w:space="0" w:color="auto"/>
                <w:right w:val="none" w:sz="0" w:space="0" w:color="auto"/>
              </w:divBdr>
              <w:divsChild>
                <w:div w:id="7922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4260">
      <w:bodyDiv w:val="1"/>
      <w:marLeft w:val="0"/>
      <w:marRight w:val="0"/>
      <w:marTop w:val="0"/>
      <w:marBottom w:val="0"/>
      <w:divBdr>
        <w:top w:val="none" w:sz="0" w:space="0" w:color="auto"/>
        <w:left w:val="none" w:sz="0" w:space="0" w:color="auto"/>
        <w:bottom w:val="none" w:sz="0" w:space="0" w:color="auto"/>
        <w:right w:val="none" w:sz="0" w:space="0" w:color="auto"/>
      </w:divBdr>
      <w:divsChild>
        <w:div w:id="1827896224">
          <w:marLeft w:val="0"/>
          <w:marRight w:val="0"/>
          <w:marTop w:val="0"/>
          <w:marBottom w:val="0"/>
          <w:divBdr>
            <w:top w:val="none" w:sz="0" w:space="0" w:color="auto"/>
            <w:left w:val="none" w:sz="0" w:space="0" w:color="auto"/>
            <w:bottom w:val="none" w:sz="0" w:space="0" w:color="auto"/>
            <w:right w:val="none" w:sz="0" w:space="0" w:color="auto"/>
          </w:divBdr>
          <w:divsChild>
            <w:div w:id="1579746944">
              <w:marLeft w:val="0"/>
              <w:marRight w:val="0"/>
              <w:marTop w:val="0"/>
              <w:marBottom w:val="0"/>
              <w:divBdr>
                <w:top w:val="none" w:sz="0" w:space="0" w:color="auto"/>
                <w:left w:val="none" w:sz="0" w:space="0" w:color="auto"/>
                <w:bottom w:val="none" w:sz="0" w:space="0" w:color="auto"/>
                <w:right w:val="none" w:sz="0" w:space="0" w:color="auto"/>
              </w:divBdr>
              <w:divsChild>
                <w:div w:id="9067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51732">
      <w:bodyDiv w:val="1"/>
      <w:marLeft w:val="0"/>
      <w:marRight w:val="0"/>
      <w:marTop w:val="0"/>
      <w:marBottom w:val="0"/>
      <w:divBdr>
        <w:top w:val="none" w:sz="0" w:space="0" w:color="auto"/>
        <w:left w:val="none" w:sz="0" w:space="0" w:color="auto"/>
        <w:bottom w:val="none" w:sz="0" w:space="0" w:color="auto"/>
        <w:right w:val="none" w:sz="0" w:space="0" w:color="auto"/>
      </w:divBdr>
      <w:divsChild>
        <w:div w:id="1480537891">
          <w:marLeft w:val="0"/>
          <w:marRight w:val="0"/>
          <w:marTop w:val="0"/>
          <w:marBottom w:val="0"/>
          <w:divBdr>
            <w:top w:val="none" w:sz="0" w:space="0" w:color="auto"/>
            <w:left w:val="none" w:sz="0" w:space="0" w:color="auto"/>
            <w:bottom w:val="none" w:sz="0" w:space="0" w:color="auto"/>
            <w:right w:val="none" w:sz="0" w:space="0" w:color="auto"/>
          </w:divBdr>
          <w:divsChild>
            <w:div w:id="158430499">
              <w:marLeft w:val="0"/>
              <w:marRight w:val="0"/>
              <w:marTop w:val="0"/>
              <w:marBottom w:val="0"/>
              <w:divBdr>
                <w:top w:val="none" w:sz="0" w:space="0" w:color="auto"/>
                <w:left w:val="none" w:sz="0" w:space="0" w:color="auto"/>
                <w:bottom w:val="none" w:sz="0" w:space="0" w:color="auto"/>
                <w:right w:val="none" w:sz="0" w:space="0" w:color="auto"/>
              </w:divBdr>
              <w:divsChild>
                <w:div w:id="16517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9235">
      <w:bodyDiv w:val="1"/>
      <w:marLeft w:val="0"/>
      <w:marRight w:val="0"/>
      <w:marTop w:val="0"/>
      <w:marBottom w:val="0"/>
      <w:divBdr>
        <w:top w:val="none" w:sz="0" w:space="0" w:color="auto"/>
        <w:left w:val="none" w:sz="0" w:space="0" w:color="auto"/>
        <w:bottom w:val="none" w:sz="0" w:space="0" w:color="auto"/>
        <w:right w:val="none" w:sz="0" w:space="0" w:color="auto"/>
      </w:divBdr>
      <w:divsChild>
        <w:div w:id="1466120986">
          <w:marLeft w:val="0"/>
          <w:marRight w:val="0"/>
          <w:marTop w:val="0"/>
          <w:marBottom w:val="0"/>
          <w:divBdr>
            <w:top w:val="none" w:sz="0" w:space="0" w:color="auto"/>
            <w:left w:val="none" w:sz="0" w:space="0" w:color="auto"/>
            <w:bottom w:val="none" w:sz="0" w:space="0" w:color="auto"/>
            <w:right w:val="none" w:sz="0" w:space="0" w:color="auto"/>
          </w:divBdr>
          <w:divsChild>
            <w:div w:id="451095220">
              <w:marLeft w:val="0"/>
              <w:marRight w:val="0"/>
              <w:marTop w:val="0"/>
              <w:marBottom w:val="0"/>
              <w:divBdr>
                <w:top w:val="none" w:sz="0" w:space="0" w:color="auto"/>
                <w:left w:val="none" w:sz="0" w:space="0" w:color="auto"/>
                <w:bottom w:val="none" w:sz="0" w:space="0" w:color="auto"/>
                <w:right w:val="none" w:sz="0" w:space="0" w:color="auto"/>
              </w:divBdr>
              <w:divsChild>
                <w:div w:id="15777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09768">
      <w:bodyDiv w:val="1"/>
      <w:marLeft w:val="0"/>
      <w:marRight w:val="0"/>
      <w:marTop w:val="0"/>
      <w:marBottom w:val="0"/>
      <w:divBdr>
        <w:top w:val="none" w:sz="0" w:space="0" w:color="auto"/>
        <w:left w:val="none" w:sz="0" w:space="0" w:color="auto"/>
        <w:bottom w:val="none" w:sz="0" w:space="0" w:color="auto"/>
        <w:right w:val="none" w:sz="0" w:space="0" w:color="auto"/>
      </w:divBdr>
      <w:divsChild>
        <w:div w:id="908152026">
          <w:marLeft w:val="0"/>
          <w:marRight w:val="0"/>
          <w:marTop w:val="0"/>
          <w:marBottom w:val="0"/>
          <w:divBdr>
            <w:top w:val="none" w:sz="0" w:space="0" w:color="auto"/>
            <w:left w:val="none" w:sz="0" w:space="0" w:color="auto"/>
            <w:bottom w:val="none" w:sz="0" w:space="0" w:color="auto"/>
            <w:right w:val="none" w:sz="0" w:space="0" w:color="auto"/>
          </w:divBdr>
          <w:divsChild>
            <w:div w:id="1429502072">
              <w:marLeft w:val="0"/>
              <w:marRight w:val="0"/>
              <w:marTop w:val="0"/>
              <w:marBottom w:val="0"/>
              <w:divBdr>
                <w:top w:val="none" w:sz="0" w:space="0" w:color="auto"/>
                <w:left w:val="none" w:sz="0" w:space="0" w:color="auto"/>
                <w:bottom w:val="none" w:sz="0" w:space="0" w:color="auto"/>
                <w:right w:val="none" w:sz="0" w:space="0" w:color="auto"/>
              </w:divBdr>
              <w:divsChild>
                <w:div w:id="15741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4048">
      <w:bodyDiv w:val="1"/>
      <w:marLeft w:val="0"/>
      <w:marRight w:val="0"/>
      <w:marTop w:val="0"/>
      <w:marBottom w:val="0"/>
      <w:divBdr>
        <w:top w:val="none" w:sz="0" w:space="0" w:color="auto"/>
        <w:left w:val="none" w:sz="0" w:space="0" w:color="auto"/>
        <w:bottom w:val="none" w:sz="0" w:space="0" w:color="auto"/>
        <w:right w:val="none" w:sz="0" w:space="0" w:color="auto"/>
      </w:divBdr>
      <w:divsChild>
        <w:div w:id="1698921498">
          <w:marLeft w:val="0"/>
          <w:marRight w:val="0"/>
          <w:marTop w:val="0"/>
          <w:marBottom w:val="0"/>
          <w:divBdr>
            <w:top w:val="none" w:sz="0" w:space="0" w:color="auto"/>
            <w:left w:val="none" w:sz="0" w:space="0" w:color="auto"/>
            <w:bottom w:val="none" w:sz="0" w:space="0" w:color="auto"/>
            <w:right w:val="none" w:sz="0" w:space="0" w:color="auto"/>
          </w:divBdr>
          <w:divsChild>
            <w:div w:id="1818524373">
              <w:marLeft w:val="0"/>
              <w:marRight w:val="0"/>
              <w:marTop w:val="0"/>
              <w:marBottom w:val="0"/>
              <w:divBdr>
                <w:top w:val="none" w:sz="0" w:space="0" w:color="auto"/>
                <w:left w:val="none" w:sz="0" w:space="0" w:color="auto"/>
                <w:bottom w:val="none" w:sz="0" w:space="0" w:color="auto"/>
                <w:right w:val="none" w:sz="0" w:space="0" w:color="auto"/>
              </w:divBdr>
              <w:divsChild>
                <w:div w:id="2454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6127">
          <w:marLeft w:val="0"/>
          <w:marRight w:val="0"/>
          <w:marTop w:val="0"/>
          <w:marBottom w:val="0"/>
          <w:divBdr>
            <w:top w:val="none" w:sz="0" w:space="0" w:color="auto"/>
            <w:left w:val="none" w:sz="0" w:space="0" w:color="auto"/>
            <w:bottom w:val="none" w:sz="0" w:space="0" w:color="auto"/>
            <w:right w:val="none" w:sz="0" w:space="0" w:color="auto"/>
          </w:divBdr>
          <w:divsChild>
            <w:div w:id="1268343849">
              <w:marLeft w:val="0"/>
              <w:marRight w:val="0"/>
              <w:marTop w:val="0"/>
              <w:marBottom w:val="0"/>
              <w:divBdr>
                <w:top w:val="none" w:sz="0" w:space="0" w:color="auto"/>
                <w:left w:val="none" w:sz="0" w:space="0" w:color="auto"/>
                <w:bottom w:val="none" w:sz="0" w:space="0" w:color="auto"/>
                <w:right w:val="none" w:sz="0" w:space="0" w:color="auto"/>
              </w:divBdr>
              <w:divsChild>
                <w:div w:id="2237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4084">
      <w:bodyDiv w:val="1"/>
      <w:marLeft w:val="0"/>
      <w:marRight w:val="0"/>
      <w:marTop w:val="0"/>
      <w:marBottom w:val="0"/>
      <w:divBdr>
        <w:top w:val="none" w:sz="0" w:space="0" w:color="auto"/>
        <w:left w:val="none" w:sz="0" w:space="0" w:color="auto"/>
        <w:bottom w:val="none" w:sz="0" w:space="0" w:color="auto"/>
        <w:right w:val="none" w:sz="0" w:space="0" w:color="auto"/>
      </w:divBdr>
      <w:divsChild>
        <w:div w:id="772898455">
          <w:marLeft w:val="0"/>
          <w:marRight w:val="0"/>
          <w:marTop w:val="0"/>
          <w:marBottom w:val="0"/>
          <w:divBdr>
            <w:top w:val="none" w:sz="0" w:space="0" w:color="auto"/>
            <w:left w:val="none" w:sz="0" w:space="0" w:color="auto"/>
            <w:bottom w:val="none" w:sz="0" w:space="0" w:color="auto"/>
            <w:right w:val="none" w:sz="0" w:space="0" w:color="auto"/>
          </w:divBdr>
          <w:divsChild>
            <w:div w:id="257717791">
              <w:marLeft w:val="0"/>
              <w:marRight w:val="0"/>
              <w:marTop w:val="0"/>
              <w:marBottom w:val="0"/>
              <w:divBdr>
                <w:top w:val="none" w:sz="0" w:space="0" w:color="auto"/>
                <w:left w:val="none" w:sz="0" w:space="0" w:color="auto"/>
                <w:bottom w:val="none" w:sz="0" w:space="0" w:color="auto"/>
                <w:right w:val="none" w:sz="0" w:space="0" w:color="auto"/>
              </w:divBdr>
              <w:divsChild>
                <w:div w:id="16837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4212">
          <w:marLeft w:val="0"/>
          <w:marRight w:val="0"/>
          <w:marTop w:val="0"/>
          <w:marBottom w:val="0"/>
          <w:divBdr>
            <w:top w:val="none" w:sz="0" w:space="0" w:color="auto"/>
            <w:left w:val="none" w:sz="0" w:space="0" w:color="auto"/>
            <w:bottom w:val="none" w:sz="0" w:space="0" w:color="auto"/>
            <w:right w:val="none" w:sz="0" w:space="0" w:color="auto"/>
          </w:divBdr>
          <w:divsChild>
            <w:div w:id="587735681">
              <w:marLeft w:val="0"/>
              <w:marRight w:val="0"/>
              <w:marTop w:val="0"/>
              <w:marBottom w:val="0"/>
              <w:divBdr>
                <w:top w:val="none" w:sz="0" w:space="0" w:color="auto"/>
                <w:left w:val="none" w:sz="0" w:space="0" w:color="auto"/>
                <w:bottom w:val="none" w:sz="0" w:space="0" w:color="auto"/>
                <w:right w:val="none" w:sz="0" w:space="0" w:color="auto"/>
              </w:divBdr>
              <w:divsChild>
                <w:div w:id="3041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3033">
      <w:bodyDiv w:val="1"/>
      <w:marLeft w:val="0"/>
      <w:marRight w:val="0"/>
      <w:marTop w:val="0"/>
      <w:marBottom w:val="0"/>
      <w:divBdr>
        <w:top w:val="none" w:sz="0" w:space="0" w:color="auto"/>
        <w:left w:val="none" w:sz="0" w:space="0" w:color="auto"/>
        <w:bottom w:val="none" w:sz="0" w:space="0" w:color="auto"/>
        <w:right w:val="none" w:sz="0" w:space="0" w:color="auto"/>
      </w:divBdr>
      <w:divsChild>
        <w:div w:id="794982345">
          <w:marLeft w:val="0"/>
          <w:marRight w:val="0"/>
          <w:marTop w:val="0"/>
          <w:marBottom w:val="0"/>
          <w:divBdr>
            <w:top w:val="none" w:sz="0" w:space="0" w:color="auto"/>
            <w:left w:val="none" w:sz="0" w:space="0" w:color="auto"/>
            <w:bottom w:val="none" w:sz="0" w:space="0" w:color="auto"/>
            <w:right w:val="none" w:sz="0" w:space="0" w:color="auto"/>
          </w:divBdr>
          <w:divsChild>
            <w:div w:id="1592423173">
              <w:marLeft w:val="0"/>
              <w:marRight w:val="0"/>
              <w:marTop w:val="0"/>
              <w:marBottom w:val="0"/>
              <w:divBdr>
                <w:top w:val="none" w:sz="0" w:space="0" w:color="auto"/>
                <w:left w:val="none" w:sz="0" w:space="0" w:color="auto"/>
                <w:bottom w:val="none" w:sz="0" w:space="0" w:color="auto"/>
                <w:right w:val="none" w:sz="0" w:space="0" w:color="auto"/>
              </w:divBdr>
              <w:divsChild>
                <w:div w:id="85211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8800">
      <w:bodyDiv w:val="1"/>
      <w:marLeft w:val="0"/>
      <w:marRight w:val="0"/>
      <w:marTop w:val="0"/>
      <w:marBottom w:val="0"/>
      <w:divBdr>
        <w:top w:val="none" w:sz="0" w:space="0" w:color="auto"/>
        <w:left w:val="none" w:sz="0" w:space="0" w:color="auto"/>
        <w:bottom w:val="none" w:sz="0" w:space="0" w:color="auto"/>
        <w:right w:val="none" w:sz="0" w:space="0" w:color="auto"/>
      </w:divBdr>
      <w:divsChild>
        <w:div w:id="2063940378">
          <w:marLeft w:val="0"/>
          <w:marRight w:val="0"/>
          <w:marTop w:val="0"/>
          <w:marBottom w:val="0"/>
          <w:divBdr>
            <w:top w:val="none" w:sz="0" w:space="0" w:color="auto"/>
            <w:left w:val="none" w:sz="0" w:space="0" w:color="auto"/>
            <w:bottom w:val="none" w:sz="0" w:space="0" w:color="auto"/>
            <w:right w:val="none" w:sz="0" w:space="0" w:color="auto"/>
          </w:divBdr>
          <w:divsChild>
            <w:div w:id="218443372">
              <w:marLeft w:val="0"/>
              <w:marRight w:val="0"/>
              <w:marTop w:val="0"/>
              <w:marBottom w:val="0"/>
              <w:divBdr>
                <w:top w:val="none" w:sz="0" w:space="0" w:color="auto"/>
                <w:left w:val="none" w:sz="0" w:space="0" w:color="auto"/>
                <w:bottom w:val="none" w:sz="0" w:space="0" w:color="auto"/>
                <w:right w:val="none" w:sz="0" w:space="0" w:color="auto"/>
              </w:divBdr>
              <w:divsChild>
                <w:div w:id="6780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8</TotalTime>
  <Pages>7</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11</cp:revision>
  <dcterms:created xsi:type="dcterms:W3CDTF">2024-07-22T05:56:00Z</dcterms:created>
  <dcterms:modified xsi:type="dcterms:W3CDTF">2024-08-28T05:12:00Z</dcterms:modified>
</cp:coreProperties>
</file>