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904A" w14:textId="77777777" w:rsidR="003A54BD" w:rsidRPr="000A1286" w:rsidRDefault="003A54BD" w:rsidP="003A54BD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7CB9091F" w14:textId="77777777" w:rsidR="003A54BD" w:rsidRDefault="003A54BD" w:rsidP="003A54BD">
      <w:pPr>
        <w:pStyle w:val="HEADING1SMPC"/>
      </w:pPr>
      <w:r w:rsidRPr="008F5678">
        <w:t>NAME OF THE MEDICINAL PRODUCT</w:t>
      </w:r>
    </w:p>
    <w:p w14:paraId="619FEAD7" w14:textId="03A15899" w:rsidR="003A54BD" w:rsidRPr="00A4294B" w:rsidRDefault="003A54BD" w:rsidP="003A54BD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3A54BD">
        <w:rPr>
          <w:rFonts w:ascii="Times New Roman" w:hAnsi="Times New Roman" w:cs="Times New Roman"/>
          <w:color w:val="FF0000"/>
          <w:sz w:val="28"/>
        </w:rPr>
        <w:t>&lt;Trade Name&gt;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3A54BD">
        <w:rPr>
          <w:rFonts w:ascii="Times New Roman" w:hAnsi="Times New Roman" w:cs="Times New Roman"/>
          <w:color w:val="FF0000"/>
          <w:sz w:val="28"/>
        </w:rPr>
        <w:t xml:space="preserve">&lt;Strength&gt; </w:t>
      </w:r>
      <w:r w:rsidRPr="003A54BD">
        <w:rPr>
          <w:rFonts w:ascii="Times New Roman" w:hAnsi="Times New Roman" w:cs="Times New Roman"/>
          <w:sz w:val="28"/>
        </w:rPr>
        <w:t>solution for infusion</w:t>
      </w:r>
    </w:p>
    <w:p w14:paraId="4F0113CB" w14:textId="77777777" w:rsidR="003A54BD" w:rsidRDefault="003A54BD" w:rsidP="003A54BD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8680C19" w14:textId="58705551" w:rsidR="003A54BD" w:rsidRPr="00F33506" w:rsidRDefault="003A54BD" w:rsidP="003A54BD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  <w:u w:val="single"/>
        </w:rPr>
      </w:pPr>
      <w:r w:rsidRPr="003A54BD">
        <w:rPr>
          <w:rFonts w:ascii="Times New Roman" w:hAnsi="Times New Roman" w:cs="Times New Roman"/>
          <w:sz w:val="28"/>
        </w:rPr>
        <w:t>1000 ml contains</w:t>
      </w:r>
      <w:r>
        <w:rPr>
          <w:rFonts w:ascii="Times New Roman" w:hAnsi="Times New Roman" w:cs="Times New Roman"/>
          <w:sz w:val="28"/>
        </w:rPr>
        <w:t xml:space="preserve"> </w:t>
      </w:r>
      <w:r w:rsidR="00F33506">
        <w:rPr>
          <w:rFonts w:ascii="Times New Roman" w:hAnsi="Times New Roman" w:cs="Times New Roman"/>
          <w:sz w:val="28"/>
        </w:rPr>
        <w:t>d</w:t>
      </w:r>
      <w:r w:rsidRPr="003A54BD">
        <w:rPr>
          <w:rFonts w:ascii="Times New Roman" w:hAnsi="Times New Roman" w:cs="Times New Roman"/>
          <w:sz w:val="28"/>
        </w:rPr>
        <w:t xml:space="preserve">extran 70 for injection 60 g </w:t>
      </w:r>
      <w:r>
        <w:rPr>
          <w:rFonts w:ascii="Times New Roman" w:hAnsi="Times New Roman" w:cs="Times New Roman"/>
          <w:sz w:val="28"/>
        </w:rPr>
        <w:t xml:space="preserve">and </w:t>
      </w:r>
      <w:r w:rsidR="00F33506">
        <w:rPr>
          <w:rFonts w:ascii="Times New Roman" w:hAnsi="Times New Roman" w:cs="Times New Roman"/>
          <w:sz w:val="28"/>
        </w:rPr>
        <w:t>s</w:t>
      </w:r>
      <w:r w:rsidRPr="003A54BD">
        <w:rPr>
          <w:rFonts w:ascii="Times New Roman" w:hAnsi="Times New Roman" w:cs="Times New Roman"/>
          <w:sz w:val="28"/>
        </w:rPr>
        <w:t xml:space="preserve">odium chloride 75 g </w:t>
      </w:r>
      <w:r w:rsidRPr="00F33506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7AA50EFE" w14:textId="77777777" w:rsidR="003A54BD" w:rsidRPr="0085460F" w:rsidRDefault="003A54BD" w:rsidP="003A54BD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93D2667" w14:textId="77777777" w:rsidR="003A54BD" w:rsidRPr="000A1286" w:rsidRDefault="003A54BD" w:rsidP="003A54BD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29F70846" w14:textId="77777777" w:rsidR="003A54BD" w:rsidRDefault="003A54BD" w:rsidP="003A54BD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05052A84" w14:textId="4117700A" w:rsidR="003A54BD" w:rsidRDefault="003A54BD" w:rsidP="003A54BD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3A54BD">
        <w:rPr>
          <w:rFonts w:ascii="Times New Roman" w:hAnsi="Times New Roman" w:cs="Times New Roman"/>
          <w:sz w:val="28"/>
        </w:rPr>
        <w:t>Solution for infusion</w:t>
      </w:r>
    </w:p>
    <w:p w14:paraId="323CCF90" w14:textId="77777777" w:rsidR="003A54BD" w:rsidRPr="0085460F" w:rsidRDefault="003A54BD" w:rsidP="003A54BD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1F39756" w14:textId="77777777" w:rsidR="003A54BD" w:rsidRPr="008F5678" w:rsidRDefault="003A54BD" w:rsidP="003A54BD">
      <w:pPr>
        <w:pStyle w:val="HEADING1SMPC"/>
        <w:rPr>
          <w:szCs w:val="28"/>
        </w:rPr>
      </w:pPr>
      <w:r w:rsidRPr="008F5678">
        <w:t>CLINICAL PARTICULARS</w:t>
      </w:r>
    </w:p>
    <w:p w14:paraId="590197C8" w14:textId="77777777" w:rsidR="003A54BD" w:rsidRDefault="003A54BD" w:rsidP="003A54BD">
      <w:pPr>
        <w:pStyle w:val="SubHeafingSMPC"/>
        <w:spacing w:before="0"/>
        <w:ind w:left="0" w:firstLine="0"/>
      </w:pPr>
      <w:r w:rsidRPr="007F158B">
        <w:t>Therapeutic indications</w:t>
      </w:r>
    </w:p>
    <w:p w14:paraId="2D28AFD2" w14:textId="6D855CC1" w:rsidR="003A54BD" w:rsidRPr="00A27C5D" w:rsidRDefault="003A54BD" w:rsidP="003A54BD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3A54BD">
        <w:rPr>
          <w:rFonts w:cstheme="minorBidi"/>
          <w:b w:val="0"/>
          <w:bCs w:val="0"/>
        </w:rPr>
        <w:t>Initial treatment of hypovolaemia with hypotension induced by</w:t>
      </w:r>
      <w:r>
        <w:rPr>
          <w:rFonts w:cstheme="minorBidi"/>
          <w:b w:val="0"/>
          <w:bCs w:val="0"/>
        </w:rPr>
        <w:t xml:space="preserve"> </w:t>
      </w:r>
      <w:r w:rsidRPr="003A54BD">
        <w:rPr>
          <w:rFonts w:cstheme="minorBidi"/>
          <w:b w:val="0"/>
          <w:bCs w:val="0"/>
        </w:rPr>
        <w:t>traumatic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>injury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0CEDCECE" w14:textId="77777777" w:rsidR="003A54BD" w:rsidRPr="00E26561" w:rsidRDefault="003A54BD" w:rsidP="003A54BD">
      <w:pPr>
        <w:pStyle w:val="SubHeafingSMPC"/>
        <w:spacing w:before="0"/>
        <w:ind w:left="57"/>
      </w:pPr>
      <w:r w:rsidRPr="008F5678">
        <w:t>Posology and method of administration</w:t>
      </w:r>
    </w:p>
    <w:p w14:paraId="30203B5A" w14:textId="006267B9" w:rsidR="003A54BD" w:rsidRDefault="003A54BD" w:rsidP="003A54B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cs/>
        </w:rPr>
        <w:tab/>
      </w:r>
      <w:r w:rsidR="00F33506" w:rsidRPr="00F33506">
        <w:rPr>
          <w:b w:val="0"/>
          <w:bCs w:val="0"/>
        </w:rPr>
        <w:t xml:space="preserve">Dextran 70 </w:t>
      </w:r>
      <w:r w:rsidRPr="003A54BD">
        <w:rPr>
          <w:b w:val="0"/>
          <w:bCs w:val="0"/>
        </w:rPr>
        <w:t>is administered as a single 250 ml dose intravenously, as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>initial treatment after primary stabilisation of respiration and bleeding.</w:t>
      </w:r>
    </w:p>
    <w:p w14:paraId="1DEBF6A9" w14:textId="77777777" w:rsidR="00F33506" w:rsidRPr="00F33506" w:rsidRDefault="00F33506" w:rsidP="003A54B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493695FB" w14:textId="38DCEC4D" w:rsidR="003A54BD" w:rsidRDefault="003A54BD" w:rsidP="003A54B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33506" w:rsidRPr="00F33506">
        <w:rPr>
          <w:b w:val="0"/>
          <w:bCs w:val="0"/>
        </w:rPr>
        <w:t>Dextran 70</w:t>
      </w:r>
      <w:r w:rsidRPr="003A54BD">
        <w:rPr>
          <w:b w:val="0"/>
          <w:bCs w:val="0"/>
        </w:rPr>
        <w:t xml:space="preserve"> should be given by rapid </w:t>
      </w:r>
      <w:r w:rsidR="00F33506">
        <w:rPr>
          <w:b w:val="0"/>
          <w:bCs w:val="0"/>
        </w:rPr>
        <w:t xml:space="preserve">IV </w:t>
      </w:r>
      <w:r w:rsidRPr="003A54BD">
        <w:rPr>
          <w:b w:val="0"/>
          <w:bCs w:val="0"/>
        </w:rPr>
        <w:t>infusion (a full dose in two to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>five minutes).</w:t>
      </w:r>
      <w:r w:rsidR="00F33506">
        <w:rPr>
          <w:b w:val="0"/>
          <w:bCs w:val="0"/>
        </w:rPr>
        <w:t xml:space="preserve"> </w:t>
      </w:r>
      <w:r w:rsidRPr="003A54BD">
        <w:rPr>
          <w:b w:val="0"/>
          <w:bCs w:val="0"/>
        </w:rPr>
        <w:t xml:space="preserve">Treatment with </w:t>
      </w:r>
      <w:r w:rsidR="00F33506">
        <w:rPr>
          <w:b w:val="0"/>
          <w:bCs w:val="0"/>
        </w:rPr>
        <w:t>d</w:t>
      </w:r>
      <w:r w:rsidR="00F33506" w:rsidRPr="00F33506">
        <w:rPr>
          <w:b w:val="0"/>
          <w:bCs w:val="0"/>
        </w:rPr>
        <w:t>extran</w:t>
      </w:r>
      <w:r w:rsidR="00F33506">
        <w:rPr>
          <w:b w:val="0"/>
          <w:bCs w:val="0"/>
        </w:rPr>
        <w:t xml:space="preserve"> </w:t>
      </w:r>
      <w:r w:rsidR="00F33506" w:rsidRPr="00F33506">
        <w:rPr>
          <w:b w:val="0"/>
          <w:bCs w:val="0"/>
        </w:rPr>
        <w:t>70</w:t>
      </w:r>
      <w:r w:rsidR="00F33506">
        <w:rPr>
          <w:b w:val="0"/>
          <w:bCs w:val="0"/>
        </w:rPr>
        <w:t xml:space="preserve"> </w:t>
      </w:r>
      <w:r w:rsidRPr="003A54BD">
        <w:rPr>
          <w:b w:val="0"/>
          <w:bCs w:val="0"/>
        </w:rPr>
        <w:t>should be followed by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immediate administration of isotonic fluids, dosed according to the needs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>of the patient.</w:t>
      </w:r>
    </w:p>
    <w:p w14:paraId="657F5F54" w14:textId="77777777" w:rsidR="00F33506" w:rsidRDefault="00F33506" w:rsidP="003A54B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</w:p>
    <w:p w14:paraId="56788C15" w14:textId="77777777" w:rsidR="00F33506" w:rsidRPr="003A54BD" w:rsidRDefault="00F33506" w:rsidP="003A54B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</w:p>
    <w:p w14:paraId="4E24891D" w14:textId="77777777" w:rsidR="003A54BD" w:rsidRDefault="003A54BD" w:rsidP="003A54BD">
      <w:pPr>
        <w:pStyle w:val="SubHeafingSMPC"/>
        <w:ind w:left="57"/>
      </w:pPr>
      <w:r w:rsidRPr="008F5678">
        <w:lastRenderedPageBreak/>
        <w:t>Contraindications</w:t>
      </w:r>
    </w:p>
    <w:p w14:paraId="10871821" w14:textId="2DFA8DF7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3A54BD">
        <w:rPr>
          <w:b w:val="0"/>
          <w:bCs w:val="0"/>
          <w:lang w:eastAsia="zh-CN"/>
        </w:rPr>
        <w:t xml:space="preserve">Known hypersensitivity to the active substances or to any of the </w:t>
      </w:r>
      <w:r>
        <w:rPr>
          <w:b w:val="0"/>
          <w:bCs w:val="0"/>
          <w:lang w:eastAsia="zh-CN"/>
        </w:rPr>
        <w:tab/>
      </w:r>
      <w:r w:rsidRPr="003A54BD">
        <w:rPr>
          <w:b w:val="0"/>
          <w:bCs w:val="0"/>
          <w:lang w:eastAsia="zh-CN"/>
        </w:rPr>
        <w:t>excipients.</w:t>
      </w:r>
    </w:p>
    <w:p w14:paraId="068A0759" w14:textId="29B55E97" w:rsidR="003A54BD" w:rsidRPr="004E6B0A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3A54BD">
        <w:rPr>
          <w:b w:val="0"/>
          <w:bCs w:val="0"/>
          <w:lang w:eastAsia="zh-CN"/>
        </w:rPr>
        <w:t>Pregnancy at term (see section 4.6)</w:t>
      </w:r>
      <w:r w:rsidRPr="004E6B0A">
        <w:rPr>
          <w:b w:val="0"/>
          <w:bCs w:val="0"/>
          <w:lang w:eastAsia="zh-CN"/>
        </w:rPr>
        <w:t>.</w:t>
      </w:r>
    </w:p>
    <w:p w14:paraId="78488B5D" w14:textId="77777777" w:rsidR="003A54BD" w:rsidRDefault="003A54BD" w:rsidP="003A54BD">
      <w:pPr>
        <w:pStyle w:val="SubHeafingSMPC"/>
        <w:ind w:left="57"/>
      </w:pPr>
      <w:r w:rsidRPr="008F5678">
        <w:t>Special warnings and precautions for use</w:t>
      </w:r>
    </w:p>
    <w:p w14:paraId="69827752" w14:textId="75B41210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Attention should be paid to haemostatic competence in patients on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concomitant treatment with drugs known to affect coagulation. The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amount of dextran 70 contained in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3A54BD">
        <w:rPr>
          <w:rFonts w:cstheme="minorBidi"/>
          <w:b w:val="0"/>
          <w:bCs w:val="0"/>
        </w:rPr>
        <w:t xml:space="preserve">(15 g) will not per se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affect haemostasis, since changes in haemostatic variables only occur at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doses above 1.5 g dextran /kg bodyweight. Aggressive fluid resuscitation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can, however, dilute blood clotting factors to such an extent that a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>bleeding diathesis occurs.</w:t>
      </w:r>
    </w:p>
    <w:p w14:paraId="13C3B9B4" w14:textId="77777777" w:rsidR="00F33506" w:rsidRPr="00F33506" w:rsidRDefault="00F33506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A23A2B4" w14:textId="6869476C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As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3A54BD">
        <w:rPr>
          <w:rFonts w:cstheme="minorBidi"/>
          <w:b w:val="0"/>
          <w:bCs w:val="0"/>
        </w:rPr>
        <w:t xml:space="preserve">is a potent volume expander, caution should be exercised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>in patients with compromised cardiac function.</w:t>
      </w:r>
    </w:p>
    <w:p w14:paraId="71A0E796" w14:textId="77777777" w:rsidR="00F33506" w:rsidRPr="00F33506" w:rsidRDefault="00F33506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285EDB5" w14:textId="77777777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In patients with diabetes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mellitus having severe hyperglycaemia with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hyperosmolality, hypertonic solutions should be used with caution. If this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condition is known or suspected other forms of fluid treatment should be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>considered.</w:t>
      </w:r>
    </w:p>
    <w:p w14:paraId="171B2300" w14:textId="77777777" w:rsidR="00F33506" w:rsidRPr="00F33506" w:rsidRDefault="00F33506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95F1F54" w14:textId="77777777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Infusion of hypertonic sodium chloride without colloid in patients with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chronic renal failure has been observed to cause clinically relevant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>hyperkalemia.</w:t>
      </w:r>
    </w:p>
    <w:p w14:paraId="1AA1C56F" w14:textId="77777777" w:rsidR="00F33506" w:rsidRPr="00F33506" w:rsidRDefault="00F33506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732CE6F" w14:textId="757E4006" w:rsidR="003A54BD" w:rsidRP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Pretreatment with hapten dextran (Promit, Promiten) has been shown to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reduce the risk of hypersensitivity reactions during dextran usage. In the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>clinical trials performed to document</w:t>
      </w:r>
      <w:r w:rsidR="00F33506">
        <w:rPr>
          <w:rFonts w:cstheme="minorBidi"/>
          <w:b w:val="0"/>
          <w:bCs w:val="0"/>
        </w:rPr>
        <w:t xml:space="preserve">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3A54BD">
        <w:rPr>
          <w:rFonts w:cstheme="minorBidi"/>
          <w:b w:val="0"/>
          <w:bCs w:val="0"/>
        </w:rPr>
        <w:t xml:space="preserve">for the initial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treatment of trauma induced hypotension, no such pretreatment was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given. Depending on the acuteness of the shock state preinjection of </w:t>
      </w:r>
      <w:r>
        <w:rPr>
          <w:rFonts w:cstheme="minorBidi"/>
          <w:b w:val="0"/>
          <w:bCs w:val="0"/>
        </w:rPr>
        <w:lastRenderedPageBreak/>
        <w:tab/>
      </w:r>
      <w:r w:rsidRPr="003A54BD">
        <w:rPr>
          <w:rFonts w:cstheme="minorBidi"/>
          <w:b w:val="0"/>
          <w:bCs w:val="0"/>
        </w:rPr>
        <w:t xml:space="preserve">hapten dextran, when available, should be considered and the potentially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 xml:space="preserve">higher risk for anaphylactic reactions in case hapten dextran is not used </w:t>
      </w:r>
      <w:r>
        <w:rPr>
          <w:rFonts w:cstheme="minorBidi"/>
          <w:b w:val="0"/>
          <w:bCs w:val="0"/>
        </w:rPr>
        <w:tab/>
      </w:r>
      <w:r w:rsidRPr="003A54BD">
        <w:rPr>
          <w:rFonts w:cstheme="minorBidi"/>
          <w:b w:val="0"/>
          <w:bCs w:val="0"/>
        </w:rPr>
        <w:t>should be weighed against the benefit to the patient.</w:t>
      </w:r>
    </w:p>
    <w:p w14:paraId="13262D00" w14:textId="77777777" w:rsidR="003A54BD" w:rsidRPr="002C2ECF" w:rsidRDefault="003A54BD" w:rsidP="003A54BD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3A992713" w14:textId="37110C75" w:rsidR="003A54BD" w:rsidRPr="006722FC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A54BD">
        <w:rPr>
          <w:b w:val="0"/>
          <w:bCs w:val="0"/>
        </w:rPr>
        <w:t>None known. However, see 4.4</w:t>
      </w:r>
      <w:r w:rsidRPr="00D31F5A">
        <w:rPr>
          <w:b w:val="0"/>
          <w:bCs w:val="0"/>
        </w:rPr>
        <w:t>.</w:t>
      </w:r>
    </w:p>
    <w:p w14:paraId="207CE815" w14:textId="77777777" w:rsidR="003A54BD" w:rsidRDefault="003A54BD" w:rsidP="003A54BD">
      <w:pPr>
        <w:pStyle w:val="SubHeafingSMPC"/>
        <w:ind w:left="57"/>
      </w:pPr>
      <w:r w:rsidRPr="008F5678">
        <w:t>Fertility, pregnancy and lactation</w:t>
      </w:r>
    </w:p>
    <w:p w14:paraId="68E012A7" w14:textId="344D73B1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There is no clinical experience with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3A54BD">
        <w:rPr>
          <w:b w:val="0"/>
          <w:bCs w:val="0"/>
        </w:rPr>
        <w:t xml:space="preserve">during pregnancy. In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animal studies, effects on the foetus have been observed with dextran 70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>(see 5.3). The relevance of these data for humans is unknown.</w:t>
      </w:r>
    </w:p>
    <w:p w14:paraId="5BBE089A" w14:textId="77777777" w:rsidR="00F33506" w:rsidRPr="00F33506" w:rsidRDefault="00F33506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3B91A8C" w14:textId="77777777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Anaphylactic reactions in the mother in connection with parturition have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been observed to cause anoxia in the foetus. Foetal death and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neurological sequelae has occurred in connection with the use of infusion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fluids containing dextran 40 without pre-injection of hapten dextran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>(Promit, Promiten).</w:t>
      </w:r>
    </w:p>
    <w:p w14:paraId="1C6D848F" w14:textId="77777777" w:rsidR="00F33506" w:rsidRPr="00F33506" w:rsidRDefault="00F33506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466B50F" w14:textId="3F54B26F" w:rsid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3A54BD">
        <w:rPr>
          <w:b w:val="0"/>
          <w:bCs w:val="0"/>
        </w:rPr>
        <w:t xml:space="preserve">should therefore not be administered to pregnant women at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>term or in association with delivery.</w:t>
      </w:r>
    </w:p>
    <w:p w14:paraId="65657C0E" w14:textId="77777777" w:rsidR="00F33506" w:rsidRPr="003A54BD" w:rsidRDefault="00F33506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0937243" w14:textId="35FF2FA9" w:rsidR="003A54BD" w:rsidRPr="00F33506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F33506">
        <w:rPr>
          <w:b w:val="0"/>
          <w:bCs w:val="0"/>
          <w:u w:val="single"/>
        </w:rPr>
        <w:t>Breast-feeding</w:t>
      </w:r>
    </w:p>
    <w:p w14:paraId="2F3C12F3" w14:textId="3B0CFD99" w:rsidR="003A54BD" w:rsidRPr="003A54BD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It is not known to what extent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3A54BD">
        <w:rPr>
          <w:b w:val="0"/>
          <w:bCs w:val="0"/>
        </w:rPr>
        <w:t xml:space="preserve">passes into breast milk. In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 xml:space="preserve">view of the active substances, its use in lactating mothers is not </w:t>
      </w:r>
      <w:r>
        <w:rPr>
          <w:b w:val="0"/>
          <w:bCs w:val="0"/>
        </w:rPr>
        <w:tab/>
      </w:r>
      <w:r w:rsidRPr="003A54BD">
        <w:rPr>
          <w:b w:val="0"/>
          <w:bCs w:val="0"/>
        </w:rPr>
        <w:t>considered to pose any risk to the child.</w:t>
      </w:r>
    </w:p>
    <w:p w14:paraId="2EAFC55A" w14:textId="77777777" w:rsidR="003A54BD" w:rsidRPr="009126B5" w:rsidRDefault="003A54BD" w:rsidP="003A54BD">
      <w:pPr>
        <w:pStyle w:val="SubHeafingSMPC"/>
        <w:ind w:left="57"/>
      </w:pPr>
      <w:r w:rsidRPr="008F5678">
        <w:t>Effects on ability to drive and use machines</w:t>
      </w:r>
    </w:p>
    <w:p w14:paraId="2832D5B4" w14:textId="261F7134" w:rsidR="003A54BD" w:rsidRPr="002D59FE" w:rsidRDefault="003A54BD" w:rsidP="003A54BD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3A54BD">
        <w:rPr>
          <w:b w:val="0"/>
          <w:bCs w:val="0"/>
          <w:lang w:eastAsia="zh-CN"/>
        </w:rPr>
        <w:t>Not applicable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413D2339" w14:textId="77777777" w:rsidR="003A54BD" w:rsidRDefault="003A54BD" w:rsidP="003A54BD">
      <w:pPr>
        <w:pStyle w:val="SubHeafingSMPC"/>
        <w:ind w:left="57"/>
      </w:pPr>
      <w:r w:rsidRPr="008F5678">
        <w:t>Undesirable effects</w:t>
      </w:r>
    </w:p>
    <w:p w14:paraId="4F90B71A" w14:textId="79D65C9D" w:rsidR="003A54BD" w:rsidRPr="00CE651D" w:rsidRDefault="003A54BD" w:rsidP="00FA7C1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tab/>
      </w:r>
      <w:r w:rsidR="00FA7C19" w:rsidRPr="00FA7C19">
        <w:rPr>
          <w:b w:val="0"/>
          <w:bCs w:val="0"/>
        </w:rPr>
        <w:t xml:space="preserve">No undesirable effects have been attributed to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="00FA7C19" w:rsidRPr="00FA7C19">
        <w:rPr>
          <w:b w:val="0"/>
          <w:bCs w:val="0"/>
        </w:rPr>
        <w:t xml:space="preserve">in the clinical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trauma trials. Local pain close to the site of infusion has been observed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in healthy volunteers. It was attenuated by gentle massage distal to the </w:t>
      </w:r>
      <w:r w:rsidR="00FA7C19">
        <w:rPr>
          <w:b w:val="0"/>
          <w:bCs w:val="0"/>
        </w:rPr>
        <w:lastRenderedPageBreak/>
        <w:tab/>
      </w:r>
      <w:r w:rsidR="00FA7C19" w:rsidRPr="00FA7C19">
        <w:rPr>
          <w:b w:val="0"/>
          <w:bCs w:val="0"/>
        </w:rPr>
        <w:t xml:space="preserve">infusion site. See Section 4.4 regarding the risk for anaphylactic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>reactions to dextrans and the use of hapten dextran</w:t>
      </w:r>
    </w:p>
    <w:p w14:paraId="7DCD4FDC" w14:textId="77777777" w:rsidR="003A54BD" w:rsidRDefault="003A54BD" w:rsidP="003A54BD">
      <w:pPr>
        <w:pStyle w:val="SubHeafingSMPC"/>
        <w:ind w:left="0" w:firstLine="0"/>
      </w:pPr>
      <w:r w:rsidRPr="008F5678">
        <w:t>Overdose</w:t>
      </w:r>
    </w:p>
    <w:p w14:paraId="4CC3612A" w14:textId="5042EF8F" w:rsidR="003A54BD" w:rsidRPr="00FA7C19" w:rsidRDefault="003A54BD" w:rsidP="00FA7C1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FA7C19" w:rsidRPr="00FA7C19">
        <w:rPr>
          <w:rFonts w:cstheme="minorBidi"/>
          <w:b w:val="0"/>
          <w:bCs w:val="0"/>
        </w:rPr>
        <w:t xml:space="preserve">Not applicable.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="00FA7C19" w:rsidRPr="00FA7C19">
        <w:rPr>
          <w:rFonts w:cstheme="minorBidi"/>
          <w:b w:val="0"/>
          <w:bCs w:val="0"/>
        </w:rPr>
        <w:t>250 ml is administered as a single dose</w:t>
      </w:r>
      <w:r w:rsidRPr="00FA7C19">
        <w:rPr>
          <w:rFonts w:cstheme="minorBidi"/>
          <w:b w:val="0"/>
          <w:bCs w:val="0"/>
        </w:rPr>
        <w:t>.</w:t>
      </w:r>
    </w:p>
    <w:p w14:paraId="7E736158" w14:textId="77777777" w:rsidR="003A54BD" w:rsidRPr="008F5678" w:rsidRDefault="003A54BD" w:rsidP="003A54BD">
      <w:pPr>
        <w:pStyle w:val="HEADING1SMPC"/>
      </w:pPr>
      <w:r w:rsidRPr="008F5678">
        <w:t xml:space="preserve">PHARMACOLOGICAL PROPERTIES </w:t>
      </w:r>
    </w:p>
    <w:p w14:paraId="2B6A6C0C" w14:textId="77777777" w:rsidR="003A54BD" w:rsidRDefault="003A54BD" w:rsidP="003A54BD">
      <w:pPr>
        <w:pStyle w:val="SubHeafingSMPC"/>
        <w:ind w:left="57"/>
      </w:pPr>
      <w:r w:rsidRPr="008F5678">
        <w:t>Pharmacodynamic properties</w:t>
      </w:r>
    </w:p>
    <w:p w14:paraId="555A787D" w14:textId="77777777" w:rsidR="00FA7C19" w:rsidRDefault="003A54BD" w:rsidP="00FA7C1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FA7C19" w:rsidRPr="00FA7C19">
        <w:rPr>
          <w:b w:val="0"/>
          <w:bCs w:val="0"/>
        </w:rPr>
        <w:t>ATC: B05A A05</w:t>
      </w:r>
    </w:p>
    <w:p w14:paraId="020E0031" w14:textId="2D2ED969" w:rsidR="00FA7C19" w:rsidRDefault="00FA7C19" w:rsidP="00FA7C1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Both dextran 70 and sodium chloride contribute to the effect of </w:t>
      </w:r>
      <w:r>
        <w:rPr>
          <w:b w:val="0"/>
          <w:bCs w:val="0"/>
        </w:rPr>
        <w:tab/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 xml:space="preserve">extran </w:t>
      </w:r>
      <w:r w:rsidR="00F33506">
        <w:rPr>
          <w:rFonts w:cstheme="minorBidi"/>
          <w:b w:val="0"/>
          <w:bCs w:val="0"/>
        </w:rPr>
        <w:tab/>
      </w:r>
      <w:r w:rsidR="00F33506" w:rsidRPr="00F33506">
        <w:rPr>
          <w:rFonts w:cstheme="minorBidi"/>
          <w:b w:val="0"/>
          <w:bCs w:val="0"/>
        </w:rPr>
        <w:t>70</w:t>
      </w:r>
      <w:r w:rsidR="00F33506">
        <w:rPr>
          <w:rFonts w:cstheme="minorBidi"/>
          <w:b w:val="0"/>
          <w:bCs w:val="0"/>
        </w:rPr>
        <w:t xml:space="preserve"> </w:t>
      </w:r>
      <w:r w:rsidRPr="00FA7C19">
        <w:rPr>
          <w:b w:val="0"/>
          <w:bCs w:val="0"/>
        </w:rPr>
        <w:t xml:space="preserve">on intravascular volume. Water, primarily from the intracellular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 xml:space="preserve">compartment, is rapidly shifted into the vascular compartment by the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>hypertonic component, 7.5% NaCl. The effect of the</w:t>
      </w:r>
      <w:r w:rsidR="00F33506">
        <w:rPr>
          <w:b w:val="0"/>
          <w:bCs w:val="0"/>
        </w:rPr>
        <w:t xml:space="preserve"> </w:t>
      </w:r>
      <w:r w:rsidRPr="00FA7C19">
        <w:rPr>
          <w:b w:val="0"/>
          <w:bCs w:val="0"/>
        </w:rPr>
        <w:t xml:space="preserve">hypertonic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 xml:space="preserve">component subsides rapidly due to extravasation of sodium and chloride.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 xml:space="preserve">The dextran component remains in the circulation for much longer and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 xml:space="preserve">contributes to a prolonged duration of the volume effect. The increase of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 xml:space="preserve">intravascular volume provided by 250 ml of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Pr="00FA7C19">
        <w:rPr>
          <w:b w:val="0"/>
          <w:bCs w:val="0"/>
        </w:rPr>
        <w:t xml:space="preserve"> has been found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 xml:space="preserve">to be two to three times the infused volume, similar to the increase in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>volume resulting from intravenous administration of three</w:t>
      </w:r>
      <w:r w:rsidR="00F33506">
        <w:rPr>
          <w:b w:val="0"/>
          <w:bCs w:val="0"/>
        </w:rPr>
        <w:t xml:space="preserve"> </w:t>
      </w:r>
      <w:r w:rsidRPr="00FA7C19">
        <w:rPr>
          <w:b w:val="0"/>
          <w:bCs w:val="0"/>
        </w:rPr>
        <w:t xml:space="preserve">litres of </w:t>
      </w:r>
      <w:r w:rsidR="00F33506">
        <w:rPr>
          <w:b w:val="0"/>
          <w:bCs w:val="0"/>
        </w:rPr>
        <w:tab/>
      </w:r>
      <w:r w:rsidRPr="00FA7C19">
        <w:rPr>
          <w:b w:val="0"/>
          <w:bCs w:val="0"/>
        </w:rPr>
        <w:t>crystalloid solution.</w:t>
      </w:r>
    </w:p>
    <w:p w14:paraId="25DEC331" w14:textId="77777777" w:rsidR="00F33506" w:rsidRPr="00F33506" w:rsidRDefault="00F33506" w:rsidP="00FA7C1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3902F39" w14:textId="1CD66D53" w:rsidR="003A54BD" w:rsidRPr="00FA7C19" w:rsidRDefault="00FA7C19" w:rsidP="00FA7C1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Statistically significant overall survival benefit of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FA7C19">
        <w:rPr>
          <w:b w:val="0"/>
          <w:bCs w:val="0"/>
        </w:rPr>
        <w:t xml:space="preserve">compared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to standard of care was not demonstrated in the clinical trials. In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subgroup analyses treatment benefits were observed for patients with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severe injuries such as penetrating injury requiring surgery and for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>patients requiring intensive care</w:t>
      </w:r>
      <w:r w:rsidR="003A54BD" w:rsidRPr="00FA7C19">
        <w:rPr>
          <w:b w:val="0"/>
          <w:bCs w:val="0"/>
        </w:rPr>
        <w:t>.</w:t>
      </w:r>
    </w:p>
    <w:p w14:paraId="7D70942A" w14:textId="77777777" w:rsidR="003A54BD" w:rsidRDefault="003A54BD" w:rsidP="003A54BD">
      <w:pPr>
        <w:pStyle w:val="SubHeafingSMPC"/>
        <w:ind w:left="57"/>
      </w:pPr>
      <w:r w:rsidRPr="008F5678">
        <w:t>Pharmacokinetic properties</w:t>
      </w:r>
    </w:p>
    <w:p w14:paraId="70AA4A58" w14:textId="77F09441" w:rsidR="003A54BD" w:rsidRPr="00FA7C19" w:rsidRDefault="003A54BD" w:rsidP="00FA7C1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 w:rsidRPr="00FA7C19">
        <w:tab/>
      </w:r>
      <w:r w:rsidR="00FA7C19" w:rsidRPr="00FA7C19">
        <w:rPr>
          <w:b w:val="0"/>
          <w:bCs w:val="0"/>
        </w:rPr>
        <w:t xml:space="preserve">The pharmacokinetic properties of sodium chloride and dextran 70,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respectively, are not affected by simultaneous infusion. After infusion of </w:t>
      </w:r>
      <w:r w:rsidR="00FA7C19">
        <w:rPr>
          <w:b w:val="0"/>
          <w:bCs w:val="0"/>
        </w:rPr>
        <w:lastRenderedPageBreak/>
        <w:tab/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A7C19" w:rsidRPr="00FA7C19">
        <w:rPr>
          <w:b w:val="0"/>
          <w:bCs w:val="0"/>
        </w:rPr>
        <w:t xml:space="preserve">, plasma sodium increases by 9 to 12 mmols returning to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normal in less than four hours. Dextran 70 has a plasma half-life of 6 to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8 hours. Dextran molecules below the threshold for glomerular filtration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>(molecular size less than 50 000 D) are excreted in the urine unaltered</w:t>
      </w:r>
      <w:r w:rsidR="00FA7C19">
        <w:rPr>
          <w:b w:val="0"/>
          <w:bCs w:val="0"/>
        </w:rPr>
        <w:t xml:space="preserve">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while larger molecules are taken up by the RES where they are degraded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>to glucose by endogenous dextranases</w:t>
      </w:r>
      <w:r w:rsidRPr="00FA7C19">
        <w:rPr>
          <w:b w:val="0"/>
          <w:bCs w:val="0"/>
        </w:rPr>
        <w:t>.</w:t>
      </w:r>
    </w:p>
    <w:p w14:paraId="4FF2FB64" w14:textId="77777777" w:rsidR="003A54BD" w:rsidRPr="00F82D07" w:rsidRDefault="003A54BD" w:rsidP="003A54BD">
      <w:pPr>
        <w:pStyle w:val="SubHeafingSMPC"/>
        <w:ind w:left="57"/>
      </w:pPr>
      <w:r w:rsidRPr="008F5678">
        <w:t xml:space="preserve">Preclinical safety data </w:t>
      </w:r>
    </w:p>
    <w:p w14:paraId="15760878" w14:textId="3C6DE9A2" w:rsidR="00FA7C19" w:rsidRDefault="003A54BD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In acute and subacute toxicology studies of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="00FA7C19" w:rsidRPr="00FA7C19">
        <w:rPr>
          <w:b w:val="0"/>
          <w:bCs w:val="0"/>
        </w:rPr>
        <w:t xml:space="preserve">and its active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components, doses 4 to 5 times the clinical dose, on a body weight basis,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have resulted in toxic effects such as disorientation, inactivity, vomiting,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 xml:space="preserve">increased salivation and a few cases of lethality, mainly due to the </w:t>
      </w:r>
      <w:r w:rsidR="00FA7C19">
        <w:rPr>
          <w:b w:val="0"/>
          <w:bCs w:val="0"/>
        </w:rPr>
        <w:tab/>
      </w:r>
      <w:r w:rsidR="00FA7C19" w:rsidRPr="00FA7C19">
        <w:rPr>
          <w:b w:val="0"/>
          <w:bCs w:val="0"/>
        </w:rPr>
        <w:t>hypertonic sodium chloride component</w:t>
      </w:r>
      <w:r w:rsidRPr="00D84F3B">
        <w:rPr>
          <w:b w:val="0"/>
          <w:bCs w:val="0"/>
        </w:rPr>
        <w:t>.</w:t>
      </w:r>
    </w:p>
    <w:p w14:paraId="5A8E8594" w14:textId="68C90811" w:rsidR="00FA7C19" w:rsidRDefault="00FA7C19" w:rsidP="003A54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In studies in pregnant rabbits and mice in which 6% dextran 70 was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administered during the period of organogenesis, delayed ossification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was observed in the foetuses of both species after daily doses two and six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times higher than that contained in one unit of </w:t>
      </w:r>
      <w:r w:rsidR="00F33506">
        <w:rPr>
          <w:rFonts w:cstheme="minorBidi"/>
          <w:b w:val="0"/>
          <w:bCs w:val="0"/>
        </w:rPr>
        <w:t>d</w:t>
      </w:r>
      <w:r w:rsidR="00F33506" w:rsidRPr="00F33506">
        <w:rPr>
          <w:rFonts w:cstheme="minorBidi"/>
          <w:b w:val="0"/>
          <w:bCs w:val="0"/>
        </w:rPr>
        <w:t>extran 70</w:t>
      </w:r>
      <w:r w:rsidR="00F33506">
        <w:rPr>
          <w:rFonts w:cstheme="minorBidi"/>
          <w:b w:val="0"/>
          <w:bCs w:val="0"/>
        </w:rPr>
        <w:t xml:space="preserve"> </w:t>
      </w:r>
      <w:r w:rsidRPr="00FA7C19">
        <w:rPr>
          <w:b w:val="0"/>
          <w:bCs w:val="0"/>
        </w:rPr>
        <w:t xml:space="preserve">to man. In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mice there was also an increase in the incidence of exencephaly. It is not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 xml:space="preserve">known whether the hypertonic component could enhance this effect. </w:t>
      </w:r>
      <w:r>
        <w:rPr>
          <w:b w:val="0"/>
          <w:bCs w:val="0"/>
        </w:rPr>
        <w:tab/>
      </w:r>
      <w:r w:rsidRPr="00FA7C19">
        <w:rPr>
          <w:b w:val="0"/>
          <w:bCs w:val="0"/>
        </w:rPr>
        <w:t>There are no studies covering the last trimester of gestation.</w:t>
      </w:r>
    </w:p>
    <w:p w14:paraId="07516E89" w14:textId="77777777" w:rsidR="003A54BD" w:rsidRPr="008F5678" w:rsidRDefault="003A54BD" w:rsidP="003A54BD">
      <w:pPr>
        <w:pStyle w:val="HEADING1SMPC"/>
      </w:pPr>
      <w:r w:rsidRPr="008F5678">
        <w:t xml:space="preserve">PHARMACEUTICAL PARTICULARS </w:t>
      </w:r>
    </w:p>
    <w:p w14:paraId="5A0A22B5" w14:textId="77777777" w:rsidR="003A54BD" w:rsidRPr="008F5678" w:rsidRDefault="003A54BD" w:rsidP="003A54BD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51E268A6" w14:textId="77777777" w:rsidR="003A54BD" w:rsidRPr="000A71B4" w:rsidRDefault="003A54BD" w:rsidP="003A54B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5D57B8C" w14:textId="77777777" w:rsidR="003A54BD" w:rsidRPr="00F527B4" w:rsidRDefault="003A54BD" w:rsidP="003A54BD">
      <w:pPr>
        <w:pStyle w:val="SubHeafingSMPC"/>
        <w:ind w:left="57"/>
      </w:pPr>
      <w:r w:rsidRPr="008F5678">
        <w:t xml:space="preserve">Incompatibilities </w:t>
      </w:r>
    </w:p>
    <w:p w14:paraId="19F1A27F" w14:textId="77777777" w:rsidR="003A54BD" w:rsidRPr="000A71B4" w:rsidRDefault="003A54BD" w:rsidP="003A54BD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65F3A6B2" w14:textId="77777777" w:rsidR="003A54BD" w:rsidRPr="000A71B4" w:rsidRDefault="003A54BD" w:rsidP="003A54BD">
      <w:pPr>
        <w:pStyle w:val="SubHeafingSMPC"/>
        <w:ind w:left="57"/>
      </w:pPr>
      <w:r w:rsidRPr="008F5678">
        <w:t xml:space="preserve">Shelf life </w:t>
      </w:r>
    </w:p>
    <w:p w14:paraId="4F4EDC38" w14:textId="77777777" w:rsidR="003A54BD" w:rsidRPr="000A71B4" w:rsidRDefault="003A54BD" w:rsidP="003A54BD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F633D38" w14:textId="77777777" w:rsidR="003A54BD" w:rsidRPr="008F5678" w:rsidRDefault="003A54BD" w:rsidP="003A54BD">
      <w:pPr>
        <w:pStyle w:val="SubHeafingSMPC"/>
        <w:ind w:left="57"/>
      </w:pPr>
      <w:r w:rsidRPr="008F5678">
        <w:t xml:space="preserve">Special precautions for storage </w:t>
      </w:r>
    </w:p>
    <w:p w14:paraId="3D303DE6" w14:textId="77777777" w:rsidR="003A54BD" w:rsidRPr="000A71B4" w:rsidRDefault="003A54BD" w:rsidP="003A54B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7EC36F00" w14:textId="77777777" w:rsidR="003A54BD" w:rsidRPr="008F5678" w:rsidRDefault="003A54BD" w:rsidP="003A54BD">
      <w:pPr>
        <w:pStyle w:val="SubHeafingSMPC"/>
        <w:ind w:left="57"/>
      </w:pPr>
      <w:r w:rsidRPr="008F5678">
        <w:t xml:space="preserve">Nature and contents of container </w:t>
      </w:r>
    </w:p>
    <w:p w14:paraId="2A865A06" w14:textId="77777777" w:rsidR="003A54BD" w:rsidRPr="000A71B4" w:rsidRDefault="003A54BD" w:rsidP="003A54B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F3857F1" w14:textId="77777777" w:rsidR="003A54BD" w:rsidRPr="000A71B4" w:rsidRDefault="003A54BD" w:rsidP="003A54BD">
      <w:pPr>
        <w:pStyle w:val="SubHeafingSMPC"/>
        <w:ind w:left="57"/>
      </w:pPr>
      <w:r w:rsidRPr="008F5678">
        <w:t xml:space="preserve">Special precautions for disposal </w:t>
      </w:r>
    </w:p>
    <w:p w14:paraId="2F92A87F" w14:textId="77777777" w:rsidR="003A54BD" w:rsidRPr="000A71B4" w:rsidRDefault="003A54BD" w:rsidP="003A54B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856D200" w14:textId="77777777" w:rsidR="003A54BD" w:rsidRDefault="003A54BD" w:rsidP="003A54BD">
      <w:pPr>
        <w:pStyle w:val="HEADING1SMPC"/>
      </w:pPr>
      <w:r w:rsidRPr="008F5678">
        <w:t xml:space="preserve">MARKETING AUTHORISATION HOLDER </w:t>
      </w:r>
    </w:p>
    <w:p w14:paraId="25C316E1" w14:textId="77777777" w:rsidR="003A54BD" w:rsidRPr="00D741D1" w:rsidRDefault="003A54BD" w:rsidP="003A54B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8517727" w14:textId="77777777" w:rsidR="003A54BD" w:rsidRDefault="003A54BD" w:rsidP="003A54BD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7854DC98" w14:textId="77777777" w:rsidR="003A54BD" w:rsidRPr="002270FF" w:rsidRDefault="003A54BD" w:rsidP="003A54B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A9FB3B8" w14:textId="77777777" w:rsidR="003A54BD" w:rsidRDefault="003A54BD" w:rsidP="003A54BD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0BBE8778" w14:textId="77777777" w:rsidR="003A54BD" w:rsidRPr="002270FF" w:rsidRDefault="003A54BD" w:rsidP="003A54B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75FB01B" w14:textId="77777777" w:rsidR="003A54BD" w:rsidRPr="008F5678" w:rsidRDefault="003A54BD" w:rsidP="003A54BD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CF3C76A" w14:textId="77777777" w:rsidR="003A54BD" w:rsidRPr="002270FF" w:rsidRDefault="003A54BD" w:rsidP="003A54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4F35EB8C" w14:textId="77777777" w:rsidR="003A54BD" w:rsidRPr="004E6B0A" w:rsidRDefault="003A54BD" w:rsidP="003A54BD">
      <w:pPr>
        <w:rPr>
          <w:rFonts w:ascii="Times New Roman" w:hAnsi="Times New Roman" w:cs="Times New Roman"/>
          <w:sz w:val="28"/>
          <w:szCs w:val="28"/>
        </w:rPr>
      </w:pPr>
    </w:p>
    <w:p w14:paraId="247B3341" w14:textId="77777777" w:rsidR="00CD0A94" w:rsidRDefault="00CD0A94"/>
    <w:sectPr w:rsidR="00CD0A94" w:rsidSect="003A54BD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8672" w14:textId="77777777" w:rsidR="00933327" w:rsidRDefault="00933327" w:rsidP="00FA7C19">
      <w:pPr>
        <w:spacing w:line="240" w:lineRule="auto"/>
      </w:pPr>
      <w:r>
        <w:separator/>
      </w:r>
    </w:p>
  </w:endnote>
  <w:endnote w:type="continuationSeparator" w:id="0">
    <w:p w14:paraId="4BFFB015" w14:textId="77777777" w:rsidR="00933327" w:rsidRDefault="00933327" w:rsidP="00FA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629A42FB" w14:textId="77777777" w:rsidR="00CD63D3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53089151" w14:textId="77777777" w:rsidR="00CD63D3" w:rsidRDefault="00CD63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5CECFF76" w14:textId="77777777" w:rsidR="00CD63D3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0B11281D" w14:textId="6E0A8F01" w:rsidR="00CD63D3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FA7C19" w:rsidRPr="00FA7C19">
      <w:rPr>
        <w:rFonts w:ascii="Times New Roman" w:hAnsi="Times New Roman" w:cs="Times New Roman"/>
        <w:sz w:val="24"/>
        <w:szCs w:val="24"/>
      </w:rPr>
      <w:t>Ref: RescueFlow, MHRA, date 14/12/2022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0EC2" w14:textId="77777777" w:rsidR="00933327" w:rsidRDefault="00933327" w:rsidP="00FA7C19">
      <w:pPr>
        <w:spacing w:line="240" w:lineRule="auto"/>
      </w:pPr>
      <w:r>
        <w:separator/>
      </w:r>
    </w:p>
  </w:footnote>
  <w:footnote w:type="continuationSeparator" w:id="0">
    <w:p w14:paraId="1D61879E" w14:textId="77777777" w:rsidR="00933327" w:rsidRDefault="00933327" w:rsidP="00FA7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BD"/>
    <w:rsid w:val="00100FBC"/>
    <w:rsid w:val="003A54BD"/>
    <w:rsid w:val="00454EC5"/>
    <w:rsid w:val="00610BC8"/>
    <w:rsid w:val="00806C53"/>
    <w:rsid w:val="0083274C"/>
    <w:rsid w:val="00920590"/>
    <w:rsid w:val="00933327"/>
    <w:rsid w:val="009F5322"/>
    <w:rsid w:val="00A710F6"/>
    <w:rsid w:val="00B06764"/>
    <w:rsid w:val="00B268E1"/>
    <w:rsid w:val="00C4752F"/>
    <w:rsid w:val="00CD0A94"/>
    <w:rsid w:val="00CD63D3"/>
    <w:rsid w:val="00D807F6"/>
    <w:rsid w:val="00F33506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DA0C"/>
  <w15:chartTrackingRefBased/>
  <w15:docId w15:val="{7650FE57-BB85-4F44-AA63-5870768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B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54B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B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B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A54B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54B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A54B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A54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A54B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A54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A54B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A54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A54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54B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A54B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A5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A54B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A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A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4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A54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54BD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3A54BD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3A54BD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3A54BD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3A54B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3A54B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3A54BD"/>
  </w:style>
  <w:style w:type="paragraph" w:styleId="ae">
    <w:name w:val="Body Text"/>
    <w:basedOn w:val="a"/>
    <w:link w:val="af2"/>
    <w:uiPriority w:val="99"/>
    <w:unhideWhenUsed/>
    <w:rsid w:val="003A54BD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3A54B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FA7C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FA7C1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2024-08-06T08:25:00Z</dcterms:created>
  <dcterms:modified xsi:type="dcterms:W3CDTF">2024-08-15T04:37:00Z</dcterms:modified>
</cp:coreProperties>
</file>