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1CAC973" w:rsidR="00227FD4" w:rsidRPr="00E641A1" w:rsidRDefault="00232126" w:rsidP="00AF212D">
      <w:pPr>
        <w:pStyle w:val="BodyTextSMPC"/>
        <w:rPr>
          <w:rFonts w:cstheme="minorBidi"/>
        </w:rPr>
      </w:pPr>
      <w:r w:rsidRPr="00232126">
        <w:t>Benzylpenicillin Sodium</w:t>
      </w:r>
      <w:r w:rsidR="00C069FE" w:rsidRPr="00E72F63">
        <w:t xml:space="preserve"> </w:t>
      </w:r>
      <w:r w:rsidR="00C069FE" w:rsidRPr="005574FA">
        <w:rPr>
          <w:color w:val="FF0000"/>
        </w:rPr>
        <w:t xml:space="preserve">&lt;TRADE NAME&gt; &lt;STRENGTH&gt; </w:t>
      </w:r>
      <w:r w:rsidR="00E641A1">
        <w:rPr>
          <w:rFonts w:cstheme="minorBidi" w:hint="cs"/>
          <w:cs/>
        </w:rPr>
        <w:t xml:space="preserve"> </w:t>
      </w:r>
      <w:r w:rsidR="00070173">
        <w:rPr>
          <w:rFonts w:cs="Angsana New"/>
          <w:szCs w:val="35"/>
        </w:rPr>
        <w:t>P</w:t>
      </w:r>
      <w:r w:rsidR="00E72F63" w:rsidRPr="00E72F63">
        <w:t>owders for solutions for injections or infusions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5A4A98D8" w:rsidR="00AF212D" w:rsidRPr="008F5678" w:rsidRDefault="002357B1" w:rsidP="00AF212D">
      <w:pPr>
        <w:pStyle w:val="BodyTextSMPC"/>
      </w:pPr>
      <w:r w:rsidRPr="002357B1">
        <w:t>Benzylpenicillin Sodium</w:t>
      </w:r>
      <w:r>
        <w:rPr>
          <w:color w:val="FF0000"/>
        </w:rPr>
        <w:t xml:space="preserve"> </w:t>
      </w:r>
      <w:r w:rsidR="00E72F63" w:rsidRPr="005574FA">
        <w:rPr>
          <w:color w:val="FF0000"/>
        </w:rPr>
        <w:t xml:space="preserve">&lt;STRENGTH&gt; </w:t>
      </w:r>
      <w:r w:rsidR="00E72F63" w:rsidRPr="00E72F63">
        <w:t xml:space="preserve"> </w:t>
      </w:r>
      <w:r w:rsidRPr="002357B1">
        <w:t xml:space="preserve">Each vial contains </w:t>
      </w:r>
      <w:r w:rsidRPr="005574FA">
        <w:rPr>
          <w:color w:val="FF0000"/>
        </w:rPr>
        <w:t xml:space="preserve">&lt;STRENGTH&gt; </w:t>
      </w:r>
      <w:r w:rsidRPr="00E72F63">
        <w:t xml:space="preserve"> </w:t>
      </w:r>
      <w:r w:rsidRPr="002357B1">
        <w:t>benzylpenicillin as sodium salt.</w:t>
      </w:r>
      <w:r w:rsidR="00E641A1">
        <w:rPr>
          <w:rFonts w:cstheme="minorBidi" w:hint="cs"/>
          <w:cs/>
        </w:rPr>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554CD5E4" w:rsidR="00227FD4" w:rsidRPr="00070173" w:rsidRDefault="00070173" w:rsidP="00AF212D">
      <w:pPr>
        <w:pStyle w:val="BodyTextSMPC"/>
        <w:rPr>
          <w:rFonts w:cs="Angsana New"/>
          <w:szCs w:val="35"/>
        </w:rPr>
      </w:pPr>
      <w:r>
        <w:t>P</w:t>
      </w:r>
      <w:r w:rsidRPr="00E72F63">
        <w:t>owders for solutions for injections or infusions</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5536B758" w14:textId="47AA393E" w:rsidR="002357B1" w:rsidRPr="002357B1" w:rsidRDefault="002357B1" w:rsidP="002357B1">
      <w:pPr>
        <w:pStyle w:val="BodyTextSMPC"/>
        <w:rPr>
          <w:rFonts w:cstheme="minorBidi"/>
        </w:rPr>
      </w:pPr>
      <w:r w:rsidRPr="002357B1">
        <w:rPr>
          <w:rFonts w:cstheme="minorBidi"/>
        </w:rPr>
        <w:t>Benzylpenicillin is indicated for the treatment of the following infections in adults, adolescents, children, newborn infants and pre-term infants, caused by penicillin-sensitive pathogens (see section 5.1):</w:t>
      </w:r>
    </w:p>
    <w:p w14:paraId="243D6FF4" w14:textId="77777777" w:rsidR="002357B1" w:rsidRDefault="002357B1" w:rsidP="002357B1">
      <w:pPr>
        <w:pStyle w:val="BodyTextSMPC"/>
        <w:numPr>
          <w:ilvl w:val="0"/>
          <w:numId w:val="5"/>
        </w:numPr>
        <w:rPr>
          <w:rFonts w:cstheme="minorBidi"/>
        </w:rPr>
      </w:pPr>
      <w:r w:rsidRPr="002357B1">
        <w:rPr>
          <w:rFonts w:cstheme="minorBidi"/>
        </w:rPr>
        <w:t>skin and wound infections</w:t>
      </w:r>
    </w:p>
    <w:p w14:paraId="3E8C8D1E" w14:textId="77777777" w:rsidR="002357B1" w:rsidRDefault="002357B1" w:rsidP="002357B1">
      <w:pPr>
        <w:pStyle w:val="BodyTextSMPC"/>
        <w:numPr>
          <w:ilvl w:val="0"/>
          <w:numId w:val="5"/>
        </w:numPr>
        <w:rPr>
          <w:rFonts w:cstheme="minorBidi"/>
        </w:rPr>
      </w:pPr>
      <w:r w:rsidRPr="002357B1">
        <w:rPr>
          <w:rFonts w:cstheme="minorBidi"/>
        </w:rPr>
        <w:t>diphtheria (in addition to antitoxin)</w:t>
      </w:r>
    </w:p>
    <w:p w14:paraId="36408B1B" w14:textId="77777777" w:rsidR="002357B1" w:rsidRDefault="002357B1" w:rsidP="002357B1">
      <w:pPr>
        <w:pStyle w:val="BodyTextSMPC"/>
        <w:numPr>
          <w:ilvl w:val="0"/>
          <w:numId w:val="5"/>
        </w:numPr>
        <w:rPr>
          <w:rFonts w:cstheme="minorBidi"/>
        </w:rPr>
      </w:pPr>
      <w:r w:rsidRPr="002357B1">
        <w:rPr>
          <w:rFonts w:cstheme="minorBidi"/>
        </w:rPr>
        <w:t>community acquired pneumonia</w:t>
      </w:r>
    </w:p>
    <w:p w14:paraId="5E4CCC0F" w14:textId="77777777" w:rsidR="002357B1" w:rsidRDefault="002357B1" w:rsidP="002357B1">
      <w:pPr>
        <w:pStyle w:val="BodyTextSMPC"/>
        <w:numPr>
          <w:ilvl w:val="0"/>
          <w:numId w:val="5"/>
        </w:numPr>
        <w:rPr>
          <w:rFonts w:cstheme="minorBidi"/>
        </w:rPr>
      </w:pPr>
      <w:r w:rsidRPr="002357B1">
        <w:rPr>
          <w:rFonts w:cstheme="minorBidi"/>
        </w:rPr>
        <w:t>empyema</w:t>
      </w:r>
    </w:p>
    <w:p w14:paraId="2FB2786E" w14:textId="77777777" w:rsidR="002357B1" w:rsidRDefault="002357B1" w:rsidP="002357B1">
      <w:pPr>
        <w:pStyle w:val="BodyTextSMPC"/>
        <w:numPr>
          <w:ilvl w:val="0"/>
          <w:numId w:val="5"/>
        </w:numPr>
        <w:rPr>
          <w:rFonts w:cstheme="minorBidi"/>
        </w:rPr>
      </w:pPr>
      <w:r w:rsidRPr="002357B1">
        <w:rPr>
          <w:rFonts w:cstheme="minorBidi"/>
        </w:rPr>
        <w:t>erysipelas</w:t>
      </w:r>
    </w:p>
    <w:p w14:paraId="4FBD5939" w14:textId="77777777" w:rsidR="002357B1" w:rsidRDefault="002357B1" w:rsidP="002357B1">
      <w:pPr>
        <w:pStyle w:val="BodyTextSMPC"/>
        <w:numPr>
          <w:ilvl w:val="0"/>
          <w:numId w:val="5"/>
        </w:numPr>
        <w:rPr>
          <w:rFonts w:cstheme="minorBidi"/>
        </w:rPr>
      </w:pPr>
      <w:r w:rsidRPr="002357B1">
        <w:rPr>
          <w:rFonts w:cstheme="minorBidi"/>
        </w:rPr>
        <w:t>bacterial endocarditis</w:t>
      </w:r>
    </w:p>
    <w:p w14:paraId="5FF5B75C" w14:textId="77777777" w:rsidR="002357B1" w:rsidRDefault="002357B1" w:rsidP="002357B1">
      <w:pPr>
        <w:pStyle w:val="BodyTextSMPC"/>
        <w:numPr>
          <w:ilvl w:val="0"/>
          <w:numId w:val="5"/>
        </w:numPr>
        <w:rPr>
          <w:rFonts w:cstheme="minorBidi"/>
        </w:rPr>
      </w:pPr>
      <w:r w:rsidRPr="002357B1">
        <w:rPr>
          <w:rFonts w:cstheme="minorBidi"/>
        </w:rPr>
        <w:lastRenderedPageBreak/>
        <w:t>peritonitis</w:t>
      </w:r>
    </w:p>
    <w:p w14:paraId="3AE2AC42" w14:textId="77777777" w:rsidR="002357B1" w:rsidRDefault="002357B1" w:rsidP="002357B1">
      <w:pPr>
        <w:pStyle w:val="BodyTextSMPC"/>
        <w:numPr>
          <w:ilvl w:val="0"/>
          <w:numId w:val="5"/>
        </w:numPr>
        <w:rPr>
          <w:rFonts w:cstheme="minorBidi"/>
        </w:rPr>
      </w:pPr>
      <w:r w:rsidRPr="002357B1">
        <w:rPr>
          <w:rFonts w:cstheme="minorBidi"/>
        </w:rPr>
        <w:t>meningitis</w:t>
      </w:r>
    </w:p>
    <w:p w14:paraId="78AE2A34" w14:textId="77777777" w:rsidR="002357B1" w:rsidRDefault="002357B1" w:rsidP="002357B1">
      <w:pPr>
        <w:pStyle w:val="BodyTextSMPC"/>
        <w:numPr>
          <w:ilvl w:val="0"/>
          <w:numId w:val="5"/>
        </w:numPr>
        <w:rPr>
          <w:rFonts w:cstheme="minorBidi"/>
        </w:rPr>
      </w:pPr>
      <w:r w:rsidRPr="002357B1">
        <w:rPr>
          <w:rFonts w:cstheme="minorBidi"/>
        </w:rPr>
        <w:t>brain abscesses</w:t>
      </w:r>
    </w:p>
    <w:p w14:paraId="36860812" w14:textId="77777777" w:rsidR="002357B1" w:rsidRDefault="002357B1" w:rsidP="002357B1">
      <w:pPr>
        <w:pStyle w:val="BodyTextSMPC"/>
        <w:numPr>
          <w:ilvl w:val="0"/>
          <w:numId w:val="5"/>
        </w:numPr>
        <w:rPr>
          <w:rFonts w:cstheme="minorBidi"/>
        </w:rPr>
      </w:pPr>
      <w:r w:rsidRPr="002357B1">
        <w:rPr>
          <w:rFonts w:cstheme="minorBidi"/>
        </w:rPr>
        <w:t>osteomyelitis</w:t>
      </w:r>
    </w:p>
    <w:p w14:paraId="1D070893" w14:textId="0DE98D22" w:rsidR="002357B1" w:rsidRPr="002357B1" w:rsidRDefault="002357B1" w:rsidP="002357B1">
      <w:pPr>
        <w:pStyle w:val="BodyTextSMPC"/>
        <w:numPr>
          <w:ilvl w:val="0"/>
          <w:numId w:val="5"/>
        </w:numPr>
        <w:rPr>
          <w:rFonts w:cstheme="minorBidi"/>
        </w:rPr>
      </w:pPr>
      <w:r w:rsidRPr="002357B1">
        <w:rPr>
          <w:rFonts w:cstheme="minorBidi"/>
        </w:rPr>
        <w:t>infections of the genital tract caused by fusobacteria</w:t>
      </w:r>
    </w:p>
    <w:p w14:paraId="11D5636A" w14:textId="53D819A8" w:rsidR="002357B1" w:rsidRPr="002357B1" w:rsidRDefault="002357B1" w:rsidP="002357B1">
      <w:pPr>
        <w:pStyle w:val="BodyTextSMPC"/>
        <w:rPr>
          <w:rFonts w:cstheme="minorBidi"/>
        </w:rPr>
      </w:pPr>
      <w:r w:rsidRPr="002357B1">
        <w:rPr>
          <w:rFonts w:cstheme="minorBidi"/>
        </w:rPr>
        <w:t>Benzylpenicillin is also used for the treatment of the following specific infections:</w:t>
      </w:r>
    </w:p>
    <w:p w14:paraId="015F936A" w14:textId="77777777" w:rsidR="002357B1" w:rsidRDefault="002357B1" w:rsidP="002357B1">
      <w:pPr>
        <w:pStyle w:val="BodyTextSMPC"/>
        <w:numPr>
          <w:ilvl w:val="0"/>
          <w:numId w:val="5"/>
        </w:numPr>
        <w:rPr>
          <w:rFonts w:cstheme="minorBidi"/>
          <w:lang w:val="de-DE"/>
        </w:rPr>
      </w:pPr>
      <w:r w:rsidRPr="002357B1">
        <w:rPr>
          <w:rFonts w:cstheme="minorBidi"/>
          <w:lang w:val="de-DE"/>
        </w:rPr>
        <w:t>anthrax</w:t>
      </w:r>
    </w:p>
    <w:p w14:paraId="5F07322B" w14:textId="77777777" w:rsidR="002357B1" w:rsidRDefault="002357B1" w:rsidP="002357B1">
      <w:pPr>
        <w:pStyle w:val="BodyTextSMPC"/>
        <w:numPr>
          <w:ilvl w:val="0"/>
          <w:numId w:val="5"/>
        </w:numPr>
        <w:rPr>
          <w:rFonts w:cstheme="minorBidi"/>
          <w:lang w:val="de-DE"/>
        </w:rPr>
      </w:pPr>
      <w:r w:rsidRPr="002357B1">
        <w:rPr>
          <w:rFonts w:cstheme="minorBidi"/>
          <w:lang w:val="de-DE"/>
        </w:rPr>
        <w:t>tetanus</w:t>
      </w:r>
    </w:p>
    <w:p w14:paraId="7DA8406B" w14:textId="77777777" w:rsidR="002357B1" w:rsidRDefault="002357B1" w:rsidP="002357B1">
      <w:pPr>
        <w:pStyle w:val="BodyTextSMPC"/>
        <w:numPr>
          <w:ilvl w:val="0"/>
          <w:numId w:val="5"/>
        </w:numPr>
        <w:rPr>
          <w:rFonts w:cstheme="minorBidi"/>
          <w:lang w:val="de-DE"/>
        </w:rPr>
      </w:pPr>
      <w:r w:rsidRPr="002357B1">
        <w:rPr>
          <w:rFonts w:cstheme="minorBidi"/>
          <w:lang w:val="de-DE"/>
        </w:rPr>
        <w:t>gas gangrene</w:t>
      </w:r>
    </w:p>
    <w:p w14:paraId="615F4598" w14:textId="77777777" w:rsidR="002357B1" w:rsidRDefault="002357B1" w:rsidP="002357B1">
      <w:pPr>
        <w:pStyle w:val="BodyTextSMPC"/>
        <w:numPr>
          <w:ilvl w:val="0"/>
          <w:numId w:val="5"/>
        </w:numPr>
        <w:rPr>
          <w:rFonts w:cstheme="minorBidi"/>
          <w:lang w:val="de-DE"/>
        </w:rPr>
      </w:pPr>
      <w:r w:rsidRPr="002357B1">
        <w:rPr>
          <w:rFonts w:cstheme="minorBidi"/>
          <w:lang w:val="de-DE"/>
        </w:rPr>
        <w:t>listeriosis</w:t>
      </w:r>
    </w:p>
    <w:p w14:paraId="0099DED7" w14:textId="77777777" w:rsidR="002357B1" w:rsidRDefault="002357B1" w:rsidP="002357B1">
      <w:pPr>
        <w:pStyle w:val="BodyTextSMPC"/>
        <w:numPr>
          <w:ilvl w:val="0"/>
          <w:numId w:val="5"/>
        </w:numPr>
        <w:rPr>
          <w:rFonts w:cstheme="minorBidi"/>
          <w:lang w:val="de-DE"/>
        </w:rPr>
      </w:pPr>
      <w:r w:rsidRPr="002357B1">
        <w:rPr>
          <w:rFonts w:cstheme="minorBidi"/>
          <w:lang w:val="de-DE"/>
        </w:rPr>
        <w:t>pasteurellosis</w:t>
      </w:r>
    </w:p>
    <w:p w14:paraId="0A301FC3" w14:textId="77777777" w:rsidR="002357B1" w:rsidRDefault="002357B1" w:rsidP="002357B1">
      <w:pPr>
        <w:pStyle w:val="BodyTextSMPC"/>
        <w:numPr>
          <w:ilvl w:val="0"/>
          <w:numId w:val="5"/>
        </w:numPr>
        <w:rPr>
          <w:rFonts w:cstheme="minorBidi"/>
          <w:lang w:val="de-DE"/>
        </w:rPr>
      </w:pPr>
      <w:r w:rsidRPr="002357B1">
        <w:rPr>
          <w:rFonts w:cstheme="minorBidi"/>
        </w:rPr>
        <w:t>rat bite fever</w:t>
      </w:r>
    </w:p>
    <w:p w14:paraId="6D9C6FAC" w14:textId="77777777" w:rsidR="002357B1" w:rsidRDefault="002357B1" w:rsidP="002357B1">
      <w:pPr>
        <w:pStyle w:val="BodyTextSMPC"/>
        <w:numPr>
          <w:ilvl w:val="0"/>
          <w:numId w:val="5"/>
        </w:numPr>
        <w:rPr>
          <w:rFonts w:cstheme="minorBidi"/>
          <w:lang w:val="de-DE"/>
        </w:rPr>
      </w:pPr>
      <w:proofErr w:type="spellStart"/>
      <w:r w:rsidRPr="002357B1">
        <w:rPr>
          <w:rFonts w:cstheme="minorBidi"/>
        </w:rPr>
        <w:t>fusospirochaetosis</w:t>
      </w:r>
      <w:proofErr w:type="spellEnd"/>
    </w:p>
    <w:p w14:paraId="661C79AD" w14:textId="321B94EA" w:rsidR="002357B1" w:rsidRPr="002357B1" w:rsidRDefault="002357B1" w:rsidP="002357B1">
      <w:pPr>
        <w:pStyle w:val="BodyTextSMPC"/>
        <w:numPr>
          <w:ilvl w:val="0"/>
          <w:numId w:val="5"/>
        </w:numPr>
        <w:rPr>
          <w:rFonts w:cstheme="minorBidi"/>
          <w:lang w:val="de-DE"/>
        </w:rPr>
      </w:pPr>
      <w:r w:rsidRPr="002357B1">
        <w:rPr>
          <w:rFonts w:cstheme="minorBidi"/>
        </w:rPr>
        <w:t>actinomycosis</w:t>
      </w:r>
    </w:p>
    <w:p w14:paraId="354DBE36" w14:textId="672C9EE3" w:rsidR="002357B1" w:rsidRPr="002357B1" w:rsidRDefault="002357B1" w:rsidP="002357B1">
      <w:pPr>
        <w:pStyle w:val="BodyTextSMPC"/>
        <w:rPr>
          <w:rFonts w:cstheme="minorBidi"/>
        </w:rPr>
      </w:pPr>
      <w:r w:rsidRPr="002357B1">
        <w:rPr>
          <w:rFonts w:cstheme="minorBidi"/>
        </w:rPr>
        <w:t xml:space="preserve">Furthermore, Benzylpenicillin is also used for complications in </w:t>
      </w:r>
      <w:proofErr w:type="spellStart"/>
      <w:r w:rsidRPr="002357B1">
        <w:rPr>
          <w:rFonts w:cstheme="minorBidi"/>
        </w:rPr>
        <w:t>gonorrhoea</w:t>
      </w:r>
      <w:proofErr w:type="spellEnd"/>
      <w:r w:rsidRPr="002357B1">
        <w:rPr>
          <w:rFonts w:cstheme="minorBidi"/>
        </w:rPr>
        <w:t xml:space="preserve"> and syphilis (e.g. </w:t>
      </w:r>
      <w:proofErr w:type="spellStart"/>
      <w:r w:rsidRPr="002357B1">
        <w:rPr>
          <w:rFonts w:cstheme="minorBidi"/>
        </w:rPr>
        <w:t>gonorrhoeal</w:t>
      </w:r>
      <w:proofErr w:type="spellEnd"/>
      <w:r w:rsidRPr="002357B1">
        <w:rPr>
          <w:rFonts w:cstheme="minorBidi"/>
        </w:rPr>
        <w:t xml:space="preserve"> endocarditis or arthritis, congenital syphilis), provided that the isolate of Neisseria gonorrhea is documented to have sensitivity to penicillin . However, in uncomplicated cases, preference should be given to depot </w:t>
      </w:r>
      <w:proofErr w:type="spellStart"/>
      <w:r w:rsidRPr="002357B1">
        <w:rPr>
          <w:rFonts w:cstheme="minorBidi"/>
        </w:rPr>
        <w:t>penicillins</w:t>
      </w:r>
      <w:proofErr w:type="spellEnd"/>
      <w:r w:rsidRPr="002357B1">
        <w:rPr>
          <w:rFonts w:cstheme="minorBidi"/>
        </w:rPr>
        <w:t>. Benzylpenicillin is not indicated for the treatment of syphilis during pregnancy.</w:t>
      </w:r>
    </w:p>
    <w:p w14:paraId="0B71BBFA" w14:textId="35D8480D" w:rsidR="002357B1" w:rsidRPr="002357B1" w:rsidRDefault="002357B1" w:rsidP="002357B1">
      <w:pPr>
        <w:pStyle w:val="BodyTextSMPC"/>
        <w:rPr>
          <w:rFonts w:cstheme="minorBidi"/>
        </w:rPr>
      </w:pPr>
      <w:r w:rsidRPr="002357B1">
        <w:rPr>
          <w:rFonts w:cstheme="minorBidi"/>
        </w:rPr>
        <w:t>Benzylpenicillin is also used in Lyme borreliosis from the second stage of the disease onwards (</w:t>
      </w:r>
      <w:proofErr w:type="spellStart"/>
      <w:r w:rsidRPr="002357B1">
        <w:rPr>
          <w:rFonts w:cstheme="minorBidi"/>
        </w:rPr>
        <w:t>meningopolyneuritis</w:t>
      </w:r>
      <w:proofErr w:type="spellEnd"/>
      <w:r w:rsidRPr="002357B1">
        <w:rPr>
          <w:rFonts w:cstheme="minorBidi"/>
        </w:rPr>
        <w:t xml:space="preserve"> Garin-</w:t>
      </w:r>
      <w:proofErr w:type="spellStart"/>
      <w:r w:rsidRPr="002357B1">
        <w:rPr>
          <w:rFonts w:cstheme="minorBidi"/>
        </w:rPr>
        <w:t>Bujadoux</w:t>
      </w:r>
      <w:proofErr w:type="spellEnd"/>
      <w:r w:rsidRPr="002357B1">
        <w:rPr>
          <w:rFonts w:cstheme="minorBidi"/>
        </w:rPr>
        <w:t>-</w:t>
      </w:r>
      <w:proofErr w:type="spellStart"/>
      <w:r w:rsidRPr="002357B1">
        <w:rPr>
          <w:rFonts w:cstheme="minorBidi"/>
        </w:rPr>
        <w:t>Bannwarth</w:t>
      </w:r>
      <w:proofErr w:type="spellEnd"/>
      <w:r w:rsidRPr="002357B1">
        <w:rPr>
          <w:rFonts w:cstheme="minorBidi"/>
        </w:rPr>
        <w:t xml:space="preserve">, acrodermatitis </w:t>
      </w:r>
      <w:proofErr w:type="spellStart"/>
      <w:r w:rsidRPr="002357B1">
        <w:rPr>
          <w:rFonts w:cstheme="minorBidi"/>
        </w:rPr>
        <w:t>chronica</w:t>
      </w:r>
      <w:proofErr w:type="spellEnd"/>
      <w:r w:rsidRPr="002357B1">
        <w:rPr>
          <w:rFonts w:cstheme="minorBidi"/>
        </w:rPr>
        <w:t xml:space="preserve"> atrophicans, Lyme arthritis, Lyme carditis) if oral penicillin therapy is no longer indicated. During pregnancy, high-dose parenteral Benzylpenicillin administration is </w:t>
      </w:r>
      <w:r w:rsidRPr="002357B1">
        <w:rPr>
          <w:rFonts w:cstheme="minorBidi"/>
        </w:rPr>
        <w:lastRenderedPageBreak/>
        <w:t xml:space="preserve">recommended from the second stage of Lyme disease onwards to prevent </w:t>
      </w:r>
      <w:proofErr w:type="spellStart"/>
      <w:r w:rsidRPr="002357B1">
        <w:rPr>
          <w:rFonts w:cstheme="minorBidi"/>
        </w:rPr>
        <w:t>diaplacental</w:t>
      </w:r>
      <w:proofErr w:type="spellEnd"/>
      <w:r w:rsidRPr="002357B1">
        <w:rPr>
          <w:rFonts w:cstheme="minorBidi"/>
        </w:rPr>
        <w:t xml:space="preserve"> infections.</w:t>
      </w:r>
    </w:p>
    <w:p w14:paraId="13EF1B36" w14:textId="4D0272A6" w:rsidR="00177864" w:rsidRPr="00982EC5" w:rsidRDefault="002357B1" w:rsidP="002357B1">
      <w:pPr>
        <w:pStyle w:val="BodyTextSMPC"/>
        <w:rPr>
          <w:rFonts w:cstheme="minorBidi"/>
        </w:rPr>
      </w:pPr>
      <w:r w:rsidRPr="002357B1">
        <w:rPr>
          <w:rFonts w:cstheme="minorBidi"/>
        </w:rPr>
        <w:t>The generally acknowledged guidelines for the appropriate use of antibacterial agents should be considered when using Benzylpenicillin.</w:t>
      </w:r>
      <w:r w:rsidR="00C04DF2" w:rsidRPr="00C04DF2">
        <w:rPr>
          <w:rFonts w:cstheme="minorBidi"/>
        </w:rPr>
        <w:t xml:space="preserve"> </w:t>
      </w:r>
    </w:p>
    <w:p w14:paraId="1953512A" w14:textId="77777777" w:rsidR="00233A79" w:rsidRPr="008F5678" w:rsidRDefault="00000000" w:rsidP="00C21A1C">
      <w:pPr>
        <w:pStyle w:val="SubHeafingSMPC"/>
      </w:pPr>
      <w:r w:rsidRPr="008F5678">
        <w:t>Posology and method of administration</w:t>
      </w:r>
    </w:p>
    <w:p w14:paraId="33E9090B" w14:textId="4EF5C375" w:rsidR="00F7564F" w:rsidRDefault="00F7564F" w:rsidP="00F7564F">
      <w:pPr>
        <w:pStyle w:val="BodyTextSMPC"/>
      </w:pPr>
      <w:r>
        <w:t>For international units (IU) and mass values, the following ratios apply:</w:t>
      </w:r>
    </w:p>
    <w:p w14:paraId="1A0501A2" w14:textId="4558513F" w:rsidR="00F7564F" w:rsidRDefault="00F7564F" w:rsidP="00F7564F">
      <w:pPr>
        <w:pStyle w:val="BodyTextSMPC"/>
      </w:pPr>
      <w:r>
        <w:t>1 mg benzylpenicillin sodium is equivalent to 1670 IU benzylpenicillin.</w:t>
      </w:r>
    </w:p>
    <w:p w14:paraId="560983C3" w14:textId="6831AD62" w:rsidR="00F7564F" w:rsidRDefault="00F7564F" w:rsidP="00F7564F">
      <w:pPr>
        <w:pStyle w:val="BodyTextSMPC"/>
      </w:pPr>
      <w:r>
        <w:t>1 million IU benzylpenicillin is equivalent to 598.9 mg benzylpenicillin sodium.</w:t>
      </w:r>
    </w:p>
    <w:p w14:paraId="07A0B184" w14:textId="54D57E17" w:rsidR="00F7564F" w:rsidRDefault="00F7564F" w:rsidP="00F7564F">
      <w:pPr>
        <w:pStyle w:val="BodyTextSMPC"/>
      </w:pPr>
      <w:r>
        <w:t>In general, 600 mg benzylpenicillin sodium is considered to be equivalent to 1 million IU benzylpenicillin.</w:t>
      </w:r>
    </w:p>
    <w:p w14:paraId="21C79E5E" w14:textId="3AC6D4F1" w:rsidR="00F7564F" w:rsidRDefault="00F7564F" w:rsidP="00F7564F">
      <w:pPr>
        <w:pStyle w:val="BodyTextSMPC"/>
        <w:jc w:val="left"/>
      </w:pPr>
      <w:r>
        <w:t>Benzylpenicillin has a wide dosage margin, which is guided by the method of administration, dose level and dosing interval according to pathogen type and susceptibility, severity of the infection and the patient's condition.</w:t>
      </w:r>
    </w:p>
    <w:p w14:paraId="15D9E641" w14:textId="51583A58" w:rsidR="00F7564F" w:rsidRDefault="00F7564F" w:rsidP="00F7564F">
      <w:pPr>
        <w:pStyle w:val="BodyTextSMPC"/>
        <w:jc w:val="left"/>
        <w:rPr>
          <w:b/>
          <w:bCs/>
        </w:rPr>
      </w:pPr>
      <w:r w:rsidRPr="00F7564F">
        <w:rPr>
          <w:b/>
          <w:bCs/>
        </w:rPr>
        <w:t>Posology</w:t>
      </w:r>
    </w:p>
    <w:p w14:paraId="3F072594" w14:textId="759873C8" w:rsidR="00F7564F" w:rsidRDefault="00F7564F" w:rsidP="00F7564F">
      <w:pPr>
        <w:pStyle w:val="BodyTextSMPC"/>
      </w:pPr>
      <w:r w:rsidRPr="00F7564F">
        <w:rPr>
          <w:b/>
          <w:bCs/>
        </w:rPr>
        <w:t>Adults and adolescents (aged 12 years and older)</w:t>
      </w:r>
      <w:r>
        <w:t>:</w:t>
      </w:r>
    </w:p>
    <w:p w14:paraId="07CC045F" w14:textId="749EA901" w:rsidR="00F7564F" w:rsidRDefault="00F7564F" w:rsidP="00F7564F">
      <w:pPr>
        <w:pStyle w:val="BodyTextSMPC"/>
      </w:pPr>
      <w:r>
        <w:t>Normal dosage (intramuscular or intravenous): 18 mg/kg/day, equivalent to approximately 600-3000 mg per day, divided into 4 - 6 doses</w:t>
      </w:r>
    </w:p>
    <w:p w14:paraId="2F61BE05" w14:textId="05C68B1F" w:rsidR="00F7564F" w:rsidRDefault="00F7564F" w:rsidP="00F7564F">
      <w:pPr>
        <w:pStyle w:val="BodyTextSMPC"/>
      </w:pPr>
      <w:r>
        <w:t>High dosage (intravenous): 180 mg/kg/day, equivalent to about 6000-24000 mg per day, divided into 4-6 doses</w:t>
      </w:r>
    </w:p>
    <w:p w14:paraId="1249A7C9" w14:textId="2CD3CC33" w:rsidR="00F7564F" w:rsidRDefault="00F7564F" w:rsidP="00F7564F">
      <w:pPr>
        <w:pStyle w:val="BodyTextSMPC"/>
      </w:pPr>
      <w:r w:rsidRPr="00F7564F">
        <w:rPr>
          <w:b/>
          <w:bCs/>
        </w:rPr>
        <w:t>Infants (aged one month and older) and children (up to 12 years of age)</w:t>
      </w:r>
      <w:r>
        <w:t>:</w:t>
      </w:r>
    </w:p>
    <w:p w14:paraId="2A2FE05A" w14:textId="544D933F" w:rsidR="00F7564F" w:rsidRDefault="00F7564F" w:rsidP="00F7564F">
      <w:pPr>
        <w:pStyle w:val="BodyTextSMPC"/>
      </w:pPr>
      <w:r>
        <w:t>Normal dosage (intramuscular or intravenous): 18-60 mg/kg/day, divided into 4-6 doses</w:t>
      </w:r>
    </w:p>
    <w:p w14:paraId="0672EC2D" w14:textId="77777777" w:rsidR="00F7564F" w:rsidRDefault="00F7564F" w:rsidP="00F7564F">
      <w:pPr>
        <w:pStyle w:val="BodyTextSMPC"/>
      </w:pPr>
      <w:r>
        <w:t>High dosage (intravenous): 60-300 mg (-600 mg)/kg/day, divided into 4-6 doses</w:t>
      </w:r>
    </w:p>
    <w:p w14:paraId="19509764" w14:textId="67BADB10" w:rsidR="00F7564F" w:rsidRDefault="00F7564F" w:rsidP="00F7564F">
      <w:pPr>
        <w:pStyle w:val="BodyTextSMPC"/>
      </w:pPr>
      <w:r w:rsidRPr="00BE0983">
        <w:rPr>
          <w:b/>
          <w:bCs/>
        </w:rPr>
        <w:lastRenderedPageBreak/>
        <w:t>Caution</w:t>
      </w:r>
      <w:r>
        <w:t>: Cerebral seizures and electrolyte imbalance may occur if infusions are too rapid. A rate of not more than 300 mg/minute is recommended for intravenous doses above 1200 mg.</w:t>
      </w:r>
    </w:p>
    <w:p w14:paraId="54CEA21A" w14:textId="53D62254" w:rsidR="0075380E" w:rsidRDefault="0075380E" w:rsidP="0075380E">
      <w:pPr>
        <w:pStyle w:val="BodyTextSMPC"/>
      </w:pPr>
      <w:r w:rsidRPr="0075380E">
        <w:rPr>
          <w:b/>
          <w:bCs/>
        </w:rPr>
        <w:t>Newborn infants (2-4 weeks of age)</w:t>
      </w:r>
      <w:r>
        <w:t>:</w:t>
      </w:r>
    </w:p>
    <w:p w14:paraId="718332FA" w14:textId="58EFE3FB" w:rsidR="0075380E" w:rsidRDefault="0075380E" w:rsidP="0075380E">
      <w:pPr>
        <w:pStyle w:val="BodyTextSMPC"/>
      </w:pPr>
      <w:r>
        <w:t>Normal dosage (intramuscular or intravenous): 18-60 mg/kg/day, in 3-4 single doses</w:t>
      </w:r>
    </w:p>
    <w:p w14:paraId="4374FAE0" w14:textId="0609EA81" w:rsidR="0075380E" w:rsidRDefault="0075380E" w:rsidP="0075380E">
      <w:pPr>
        <w:pStyle w:val="BodyTextSMPC"/>
      </w:pPr>
      <w:r>
        <w:t>High dosage (intravenous): 120-300 mg (-600 mg)/kg/day, in 3-4 single doses</w:t>
      </w:r>
    </w:p>
    <w:p w14:paraId="38E21148" w14:textId="5CE80D34" w:rsidR="0075380E" w:rsidRDefault="0075380E" w:rsidP="00F04BB0">
      <w:pPr>
        <w:pStyle w:val="BodyTextSMPC"/>
      </w:pPr>
      <w:r w:rsidRPr="00F04BB0">
        <w:rPr>
          <w:b/>
          <w:bCs/>
        </w:rPr>
        <w:t>Pre-term and newborn infants (up to 2 weeks of age)</w:t>
      </w:r>
      <w:r>
        <w:t>:</w:t>
      </w:r>
    </w:p>
    <w:p w14:paraId="3344211B" w14:textId="4D4F5A0F" w:rsidR="0075380E" w:rsidRDefault="0075380E" w:rsidP="00F04BB0">
      <w:pPr>
        <w:pStyle w:val="BodyTextSMPC"/>
      </w:pPr>
      <w:r>
        <w:t>Normal dosage (intramuscular or intravenous): 18-60 mg/kg/day, in 2 single doses</w:t>
      </w:r>
    </w:p>
    <w:p w14:paraId="1A113ACC" w14:textId="783EC6F0" w:rsidR="0075380E" w:rsidRDefault="0075380E" w:rsidP="00F04BB0">
      <w:pPr>
        <w:pStyle w:val="BodyTextSMPC"/>
      </w:pPr>
      <w:r>
        <w:t>High dosage (intravenous): 120-300 mg (-600 mg)/kg/day, in 2 single doses</w:t>
      </w:r>
    </w:p>
    <w:p w14:paraId="5AB9EF71" w14:textId="1B62EF0F" w:rsidR="0075380E" w:rsidRDefault="0075380E" w:rsidP="00F04BB0">
      <w:pPr>
        <w:pStyle w:val="BodyTextSMPC"/>
      </w:pPr>
      <w:r>
        <w:t>In pre-term and newborn infants, the dosing interval must be no less than 12 hours due to immaturity and reduced excretion of benzylpenicillin (see section 5.2).</w:t>
      </w:r>
    </w:p>
    <w:p w14:paraId="3257148E" w14:textId="3D79CE51" w:rsidR="0075380E" w:rsidRDefault="0075380E" w:rsidP="00F04BB0">
      <w:pPr>
        <w:pStyle w:val="BodyTextSMPC"/>
      </w:pPr>
      <w:r w:rsidRPr="00F04BB0">
        <w:rPr>
          <w:b/>
          <w:bCs/>
        </w:rPr>
        <w:t>Elderly</w:t>
      </w:r>
      <w:r>
        <w:t>:</w:t>
      </w:r>
    </w:p>
    <w:p w14:paraId="40B778DC" w14:textId="04ECD84A" w:rsidR="0075380E" w:rsidRDefault="0075380E" w:rsidP="00F04BB0">
      <w:pPr>
        <w:pStyle w:val="BodyTextSMPC"/>
      </w:pPr>
      <w:r>
        <w:t>Elimination processes may be delayed with advanced age. The dosage must therefore be adjusted to renal function in each individual case (see section 5.2).</w:t>
      </w:r>
    </w:p>
    <w:p w14:paraId="13D06BA3" w14:textId="0D3240B7" w:rsidR="0075380E" w:rsidRPr="00F04BB0" w:rsidRDefault="0075380E" w:rsidP="00F04BB0">
      <w:pPr>
        <w:pStyle w:val="BodyTextSMPC"/>
        <w:rPr>
          <w:b/>
          <w:bCs/>
        </w:rPr>
      </w:pPr>
      <w:r w:rsidRPr="00F04BB0">
        <w:rPr>
          <w:b/>
          <w:bCs/>
        </w:rPr>
        <w:t>Renal impairment</w:t>
      </w:r>
    </w:p>
    <w:p w14:paraId="4BF6BDA4" w14:textId="5BE957F0" w:rsidR="0075380E" w:rsidRPr="00F7564F" w:rsidRDefault="0075380E" w:rsidP="00F04BB0">
      <w:pPr>
        <w:pStyle w:val="BodyTextSMPC"/>
      </w:pPr>
      <w:r>
        <w:t xml:space="preserve">If renal function is severely impaired, the degradation and excretion of </w:t>
      </w:r>
      <w:proofErr w:type="spellStart"/>
      <w:r>
        <w:t>penicillins</w:t>
      </w:r>
      <w:proofErr w:type="spellEnd"/>
      <w:r>
        <w:t xml:space="preserve"> may be delayed. This should be taken into account in the dosage. It is therefore recommended that the single doses and/or dosing intervals of Benzylpenicillin be adjusted to the clearance values in each individual case:</w:t>
      </w:r>
    </w:p>
    <w:tbl>
      <w:tblPr>
        <w:tblW w:w="8080"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687"/>
        <w:gridCol w:w="1564"/>
        <w:gridCol w:w="1275"/>
        <w:gridCol w:w="1277"/>
        <w:gridCol w:w="1277"/>
      </w:tblGrid>
      <w:tr w:rsidR="006752B9" w:rsidRPr="006752B9" w14:paraId="101E1759" w14:textId="77777777" w:rsidTr="006752B9">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14:paraId="51DF22C1" w14:textId="77777777" w:rsidR="006752B9" w:rsidRPr="006752B9" w:rsidRDefault="006752B9" w:rsidP="006752B9">
            <w:pPr>
              <w:pStyle w:val="BodyTextSMPC"/>
              <w:spacing w:after="0"/>
              <w:ind w:left="0"/>
            </w:pPr>
            <w:r w:rsidRPr="006752B9">
              <w:t>Benzylpenicillin dosage for adults and adolescents based on creatinine clearance</w:t>
            </w:r>
          </w:p>
          <w:p w14:paraId="7845280B" w14:textId="77777777" w:rsidR="006752B9" w:rsidRPr="006752B9" w:rsidRDefault="006752B9" w:rsidP="006752B9">
            <w:pPr>
              <w:pStyle w:val="BodyTextSMPC"/>
              <w:spacing w:after="0"/>
              <w:ind w:left="0"/>
            </w:pPr>
            <w:r w:rsidRPr="006752B9">
              <w:rPr>
                <w:b/>
                <w:bCs/>
              </w:rPr>
              <w:t>CAVE:</w:t>
            </w:r>
            <w:r w:rsidRPr="006752B9">
              <w:t> related to </w:t>
            </w:r>
            <w:r w:rsidRPr="006752B9">
              <w:rPr>
                <w:b/>
                <w:bCs/>
              </w:rPr>
              <w:t>a normalized dosage of 6000-24000 mg per day</w:t>
            </w:r>
            <w:r w:rsidRPr="006752B9">
              <w:t> in patients with normal renal function</w:t>
            </w:r>
          </w:p>
        </w:tc>
      </w:tr>
      <w:tr w:rsidR="006752B9" w:rsidRPr="006752B9" w14:paraId="56E9DE17" w14:textId="77777777" w:rsidTr="006752B9">
        <w:trPr>
          <w:tblCellSpacing w:w="0" w:type="dxa"/>
        </w:trPr>
        <w:tc>
          <w:tcPr>
            <w:tcW w:w="166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7273CA" w14:textId="77777777" w:rsidR="006752B9" w:rsidRPr="006752B9" w:rsidRDefault="006752B9" w:rsidP="006752B9">
            <w:pPr>
              <w:pStyle w:val="BodyTextSMPC"/>
              <w:spacing w:after="0"/>
              <w:ind w:left="0"/>
            </w:pPr>
            <w:r w:rsidRPr="006752B9">
              <w:lastRenderedPageBreak/>
              <w:t>Creatinine clearance</w:t>
            </w:r>
          </w:p>
          <w:p w14:paraId="5AD11101" w14:textId="77777777" w:rsidR="006752B9" w:rsidRPr="006752B9" w:rsidRDefault="006752B9" w:rsidP="006752B9">
            <w:pPr>
              <w:pStyle w:val="BodyTextSMPC"/>
              <w:spacing w:after="0"/>
              <w:ind w:left="0"/>
            </w:pPr>
            <w:r w:rsidRPr="006752B9">
              <w:t>in mL/min</w:t>
            </w:r>
          </w:p>
        </w:tc>
        <w:tc>
          <w:tcPr>
            <w:tcW w:w="968" w:type="pct"/>
            <w:tcBorders>
              <w:top w:val="outset" w:sz="6" w:space="0" w:color="auto"/>
              <w:left w:val="outset" w:sz="6" w:space="0" w:color="auto"/>
              <w:bottom w:val="outset" w:sz="6" w:space="0" w:color="auto"/>
              <w:right w:val="outset" w:sz="6" w:space="0" w:color="auto"/>
            </w:tcBorders>
            <w:shd w:val="clear" w:color="auto" w:fill="FFFFFF"/>
            <w:hideMark/>
          </w:tcPr>
          <w:p w14:paraId="218640B0" w14:textId="77777777" w:rsidR="006752B9" w:rsidRPr="006752B9" w:rsidRDefault="006752B9" w:rsidP="006752B9">
            <w:pPr>
              <w:pStyle w:val="BodyTextSMPC"/>
              <w:spacing w:after="0"/>
              <w:ind w:left="0"/>
            </w:pPr>
            <w:r w:rsidRPr="006752B9">
              <w:t>100-60</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366C53F0" w14:textId="77777777" w:rsidR="006752B9" w:rsidRPr="006752B9" w:rsidRDefault="006752B9" w:rsidP="006752B9">
            <w:pPr>
              <w:pStyle w:val="BodyTextSMPC"/>
              <w:spacing w:after="0"/>
              <w:ind w:left="0"/>
            </w:pPr>
            <w:r w:rsidRPr="006752B9">
              <w:t>50-40</w:t>
            </w:r>
          </w:p>
        </w:tc>
        <w:tc>
          <w:tcPr>
            <w:tcW w:w="790" w:type="pct"/>
            <w:tcBorders>
              <w:top w:val="outset" w:sz="6" w:space="0" w:color="auto"/>
              <w:left w:val="outset" w:sz="6" w:space="0" w:color="auto"/>
              <w:bottom w:val="outset" w:sz="6" w:space="0" w:color="auto"/>
              <w:right w:val="outset" w:sz="6" w:space="0" w:color="auto"/>
            </w:tcBorders>
            <w:shd w:val="clear" w:color="auto" w:fill="FFFFFF"/>
            <w:hideMark/>
          </w:tcPr>
          <w:p w14:paraId="74DCFA45" w14:textId="77777777" w:rsidR="006752B9" w:rsidRPr="006752B9" w:rsidRDefault="006752B9" w:rsidP="006752B9">
            <w:pPr>
              <w:pStyle w:val="BodyTextSMPC"/>
              <w:spacing w:after="0"/>
              <w:ind w:left="0"/>
            </w:pPr>
            <w:r w:rsidRPr="006752B9">
              <w:t>30-10</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5C7A3255" w14:textId="77777777" w:rsidR="006752B9" w:rsidRPr="006752B9" w:rsidRDefault="006752B9" w:rsidP="006752B9">
            <w:pPr>
              <w:pStyle w:val="BodyTextSMPC"/>
              <w:spacing w:after="0"/>
              <w:ind w:left="0"/>
            </w:pPr>
            <w:r w:rsidRPr="006752B9">
              <w:t>&lt;10</w:t>
            </w:r>
          </w:p>
        </w:tc>
      </w:tr>
      <w:tr w:rsidR="006752B9" w:rsidRPr="006752B9" w14:paraId="619C4E19" w14:textId="77777777" w:rsidTr="006752B9">
        <w:trPr>
          <w:tblCellSpacing w:w="0" w:type="dxa"/>
        </w:trPr>
        <w:tc>
          <w:tcPr>
            <w:tcW w:w="166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F9F1D1" w14:textId="77777777" w:rsidR="006752B9" w:rsidRPr="006752B9" w:rsidRDefault="006752B9" w:rsidP="006752B9">
            <w:pPr>
              <w:pStyle w:val="BodyTextSMPC"/>
              <w:spacing w:after="0"/>
              <w:ind w:left="0"/>
            </w:pPr>
            <w:r w:rsidRPr="006752B9">
              <w:t>Serum creatinine</w:t>
            </w:r>
          </w:p>
          <w:p w14:paraId="63BEDA7B" w14:textId="77777777" w:rsidR="006752B9" w:rsidRPr="006752B9" w:rsidRDefault="006752B9" w:rsidP="006752B9">
            <w:pPr>
              <w:pStyle w:val="BodyTextSMPC"/>
              <w:spacing w:after="0"/>
              <w:ind w:left="0"/>
            </w:pPr>
            <w:r w:rsidRPr="006752B9">
              <w:t>in mg %</w:t>
            </w:r>
          </w:p>
        </w:tc>
        <w:tc>
          <w:tcPr>
            <w:tcW w:w="968" w:type="pct"/>
            <w:tcBorders>
              <w:top w:val="outset" w:sz="6" w:space="0" w:color="auto"/>
              <w:left w:val="outset" w:sz="6" w:space="0" w:color="auto"/>
              <w:bottom w:val="outset" w:sz="6" w:space="0" w:color="auto"/>
              <w:right w:val="outset" w:sz="6" w:space="0" w:color="auto"/>
            </w:tcBorders>
            <w:shd w:val="clear" w:color="auto" w:fill="FFFFFF"/>
            <w:hideMark/>
          </w:tcPr>
          <w:p w14:paraId="2BD08EAE" w14:textId="77777777" w:rsidR="006752B9" w:rsidRPr="006752B9" w:rsidRDefault="006752B9" w:rsidP="006752B9">
            <w:pPr>
              <w:pStyle w:val="BodyTextSMPC"/>
              <w:spacing w:after="0"/>
              <w:ind w:left="0"/>
            </w:pPr>
            <w:r w:rsidRPr="006752B9">
              <w:t>0.8-1.5</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7AFE758F" w14:textId="77777777" w:rsidR="006752B9" w:rsidRPr="006752B9" w:rsidRDefault="006752B9" w:rsidP="006752B9">
            <w:pPr>
              <w:pStyle w:val="BodyTextSMPC"/>
              <w:spacing w:after="0"/>
              <w:ind w:left="0"/>
            </w:pPr>
            <w:r w:rsidRPr="006752B9">
              <w:t>1.5-2.0</w:t>
            </w:r>
          </w:p>
        </w:tc>
        <w:tc>
          <w:tcPr>
            <w:tcW w:w="790" w:type="pct"/>
            <w:tcBorders>
              <w:top w:val="outset" w:sz="6" w:space="0" w:color="auto"/>
              <w:left w:val="outset" w:sz="6" w:space="0" w:color="auto"/>
              <w:bottom w:val="outset" w:sz="6" w:space="0" w:color="auto"/>
              <w:right w:val="outset" w:sz="6" w:space="0" w:color="auto"/>
            </w:tcBorders>
            <w:shd w:val="clear" w:color="auto" w:fill="FFFFFF"/>
            <w:hideMark/>
          </w:tcPr>
          <w:p w14:paraId="0EF0F2AD" w14:textId="77777777" w:rsidR="006752B9" w:rsidRPr="006752B9" w:rsidRDefault="006752B9" w:rsidP="006752B9">
            <w:pPr>
              <w:pStyle w:val="BodyTextSMPC"/>
              <w:spacing w:after="0"/>
              <w:ind w:left="0"/>
            </w:pPr>
            <w:r w:rsidRPr="006752B9">
              <w:t>2-8</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4C9A96E9" w14:textId="77777777" w:rsidR="006752B9" w:rsidRPr="006752B9" w:rsidRDefault="006752B9" w:rsidP="006752B9">
            <w:pPr>
              <w:pStyle w:val="BodyTextSMPC"/>
              <w:spacing w:after="0"/>
              <w:ind w:left="0"/>
            </w:pPr>
            <w:r w:rsidRPr="006752B9">
              <w:t>15</w:t>
            </w:r>
          </w:p>
        </w:tc>
      </w:tr>
      <w:tr w:rsidR="006752B9" w:rsidRPr="006752B9" w14:paraId="131BBB95" w14:textId="77777777" w:rsidTr="006752B9">
        <w:trPr>
          <w:tblCellSpacing w:w="0" w:type="dxa"/>
        </w:trPr>
        <w:tc>
          <w:tcPr>
            <w:tcW w:w="166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6CECAC" w14:textId="77777777" w:rsidR="006752B9" w:rsidRPr="006752B9" w:rsidRDefault="006752B9" w:rsidP="006752B9">
            <w:pPr>
              <w:pStyle w:val="BodyTextSMPC"/>
              <w:spacing w:after="0"/>
              <w:ind w:left="0"/>
            </w:pPr>
            <w:r w:rsidRPr="006752B9">
              <w:t>Benzylpenicillin (daily dose)</w:t>
            </w:r>
          </w:p>
        </w:tc>
        <w:tc>
          <w:tcPr>
            <w:tcW w:w="968" w:type="pct"/>
            <w:tcBorders>
              <w:top w:val="outset" w:sz="6" w:space="0" w:color="auto"/>
              <w:left w:val="outset" w:sz="6" w:space="0" w:color="auto"/>
              <w:bottom w:val="outset" w:sz="6" w:space="0" w:color="auto"/>
              <w:right w:val="outset" w:sz="6" w:space="0" w:color="auto"/>
            </w:tcBorders>
            <w:shd w:val="clear" w:color="auto" w:fill="FFFFFF"/>
            <w:hideMark/>
          </w:tcPr>
          <w:p w14:paraId="21C0694A" w14:textId="77777777" w:rsidR="006752B9" w:rsidRPr="006752B9" w:rsidRDefault="006752B9" w:rsidP="006752B9">
            <w:pPr>
              <w:pStyle w:val="BodyTextSMPC"/>
              <w:spacing w:after="0"/>
              <w:ind w:left="0"/>
            </w:pPr>
            <w:r w:rsidRPr="006752B9">
              <w:t>Below 60 years of age:</w:t>
            </w:r>
          </w:p>
          <w:p w14:paraId="6D93F773" w14:textId="77777777" w:rsidR="006752B9" w:rsidRPr="006752B9" w:rsidRDefault="006752B9" w:rsidP="006752B9">
            <w:pPr>
              <w:pStyle w:val="BodyTextSMPC"/>
              <w:spacing w:after="0"/>
              <w:ind w:left="0"/>
            </w:pPr>
            <w:r w:rsidRPr="006752B9">
              <w:t>24000 (-36000 mg);</w:t>
            </w:r>
          </w:p>
          <w:p w14:paraId="6088E020" w14:textId="77777777" w:rsidR="006752B9" w:rsidRPr="006752B9" w:rsidRDefault="006752B9" w:rsidP="006752B9">
            <w:pPr>
              <w:pStyle w:val="BodyTextSMPC"/>
              <w:spacing w:after="0"/>
              <w:ind w:left="0"/>
            </w:pPr>
            <w:r w:rsidRPr="006752B9">
              <w:t>Above 60 years of age:</w:t>
            </w:r>
          </w:p>
          <w:p w14:paraId="7E0B1472" w14:textId="77777777" w:rsidR="006752B9" w:rsidRPr="006752B9" w:rsidRDefault="006752B9" w:rsidP="006752B9">
            <w:pPr>
              <w:pStyle w:val="BodyTextSMPC"/>
              <w:spacing w:after="0"/>
              <w:ind w:left="0"/>
            </w:pPr>
            <w:r w:rsidRPr="006752B9">
              <w:t>6000-24000 mg</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0A1C5E0A" w14:textId="77777777" w:rsidR="006752B9" w:rsidRPr="006752B9" w:rsidRDefault="006752B9" w:rsidP="006752B9">
            <w:pPr>
              <w:pStyle w:val="BodyTextSMPC"/>
              <w:spacing w:after="0"/>
              <w:ind w:left="0"/>
            </w:pPr>
            <w:r w:rsidRPr="006752B9">
              <w:t>6000-12000 mg</w:t>
            </w:r>
          </w:p>
        </w:tc>
        <w:tc>
          <w:tcPr>
            <w:tcW w:w="790" w:type="pct"/>
            <w:tcBorders>
              <w:top w:val="outset" w:sz="6" w:space="0" w:color="auto"/>
              <w:left w:val="outset" w:sz="6" w:space="0" w:color="auto"/>
              <w:bottom w:val="outset" w:sz="6" w:space="0" w:color="auto"/>
              <w:right w:val="outset" w:sz="6" w:space="0" w:color="auto"/>
            </w:tcBorders>
            <w:shd w:val="clear" w:color="auto" w:fill="FFFFFF"/>
            <w:hideMark/>
          </w:tcPr>
          <w:p w14:paraId="7D506C96" w14:textId="77777777" w:rsidR="006752B9" w:rsidRPr="006752B9" w:rsidRDefault="006752B9" w:rsidP="006752B9">
            <w:pPr>
              <w:pStyle w:val="BodyTextSMPC"/>
              <w:spacing w:after="0"/>
              <w:ind w:left="0"/>
            </w:pPr>
            <w:r w:rsidRPr="006752B9">
              <w:t>3000-6000 mg</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1162B739" w14:textId="77777777" w:rsidR="006752B9" w:rsidRPr="006752B9" w:rsidRDefault="006752B9" w:rsidP="006752B9">
            <w:pPr>
              <w:pStyle w:val="BodyTextSMPC"/>
              <w:spacing w:after="0"/>
              <w:ind w:left="0"/>
            </w:pPr>
            <w:r w:rsidRPr="006752B9">
              <w:t>1200-3000 mg</w:t>
            </w:r>
          </w:p>
        </w:tc>
      </w:tr>
      <w:tr w:rsidR="006752B9" w:rsidRPr="006752B9" w14:paraId="1C0152C8" w14:textId="77777777" w:rsidTr="006752B9">
        <w:trPr>
          <w:tblCellSpacing w:w="0" w:type="dxa"/>
        </w:trPr>
        <w:tc>
          <w:tcPr>
            <w:tcW w:w="166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F80D9C" w14:textId="77777777" w:rsidR="006752B9" w:rsidRPr="006752B9" w:rsidRDefault="006752B9" w:rsidP="006752B9">
            <w:pPr>
              <w:pStyle w:val="BodyTextSMPC"/>
              <w:spacing w:after="0"/>
              <w:ind w:left="0"/>
            </w:pPr>
            <w:r w:rsidRPr="006752B9">
              <w:t>Dosing interval</w:t>
            </w:r>
          </w:p>
        </w:tc>
        <w:tc>
          <w:tcPr>
            <w:tcW w:w="96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2EE247" w14:textId="77777777" w:rsidR="006752B9" w:rsidRPr="006752B9" w:rsidRDefault="006752B9" w:rsidP="006752B9">
            <w:pPr>
              <w:pStyle w:val="BodyTextSMPC"/>
              <w:spacing w:after="0"/>
              <w:ind w:left="0"/>
            </w:pPr>
            <w:r w:rsidRPr="006752B9">
              <w:t>in 3-6 single doses</w:t>
            </w:r>
          </w:p>
        </w:tc>
        <w:tc>
          <w:tcPr>
            <w:tcW w:w="78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AB9802" w14:textId="77777777" w:rsidR="006752B9" w:rsidRPr="006752B9" w:rsidRDefault="006752B9" w:rsidP="006752B9">
            <w:pPr>
              <w:pStyle w:val="BodyTextSMPC"/>
              <w:spacing w:after="0"/>
              <w:ind w:left="0"/>
            </w:pPr>
            <w:r w:rsidRPr="006752B9">
              <w:t>in 3 single doses</w:t>
            </w:r>
          </w:p>
        </w:tc>
        <w:tc>
          <w:tcPr>
            <w:tcW w:w="79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F352E0" w14:textId="77777777" w:rsidR="006752B9" w:rsidRPr="006752B9" w:rsidRDefault="006752B9" w:rsidP="006752B9">
            <w:pPr>
              <w:pStyle w:val="BodyTextSMPC"/>
              <w:spacing w:after="0"/>
              <w:ind w:left="0"/>
            </w:pPr>
            <w:r w:rsidRPr="006752B9">
              <w:t>in 2-3 single doses</w:t>
            </w:r>
          </w:p>
        </w:tc>
        <w:tc>
          <w:tcPr>
            <w:tcW w:w="78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BF4686" w14:textId="77777777" w:rsidR="006752B9" w:rsidRPr="006752B9" w:rsidRDefault="006752B9" w:rsidP="006752B9">
            <w:pPr>
              <w:pStyle w:val="BodyTextSMPC"/>
              <w:spacing w:after="0"/>
              <w:ind w:left="0"/>
            </w:pPr>
            <w:r w:rsidRPr="006752B9">
              <w:t>in 1-2 single doses</w:t>
            </w:r>
          </w:p>
        </w:tc>
      </w:tr>
    </w:tbl>
    <w:p w14:paraId="27BF7043" w14:textId="154582F0" w:rsidR="00DB6202" w:rsidRDefault="00DB6202" w:rsidP="00DB6202">
      <w:pPr>
        <w:pStyle w:val="BodyTextSMPC"/>
      </w:pPr>
    </w:p>
    <w:tbl>
      <w:tblPr>
        <w:tblW w:w="8080" w:type="dxa"/>
        <w:tblCellSpacing w:w="0" w:type="dxa"/>
        <w:tblInd w:w="70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4"/>
        <w:gridCol w:w="1597"/>
        <w:gridCol w:w="1904"/>
        <w:gridCol w:w="1845"/>
      </w:tblGrid>
      <w:tr w:rsidR="00E222B8" w:rsidRPr="00E222B8" w14:paraId="3BCF8057" w14:textId="77777777" w:rsidTr="00E222B8">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7B5660E1" w14:textId="77777777" w:rsidR="00E222B8" w:rsidRPr="00E222B8" w:rsidRDefault="00E222B8" w:rsidP="00E222B8">
            <w:pPr>
              <w:pStyle w:val="BodyTextSMPC"/>
              <w:spacing w:after="0"/>
              <w:ind w:left="0"/>
            </w:pPr>
            <w:r w:rsidRPr="00E222B8">
              <w:t>Benzylpenicillin dosage for infants (aged 1 month and older) and children (up to 12 years of age) based on creatinine clearance</w:t>
            </w:r>
          </w:p>
        </w:tc>
      </w:tr>
      <w:tr w:rsidR="00E222B8" w:rsidRPr="00E222B8" w14:paraId="267FA805" w14:textId="77777777" w:rsidTr="00E222B8">
        <w:trPr>
          <w:tblCellSpacing w:w="0"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227B52F6" w14:textId="77777777" w:rsidR="00E222B8" w:rsidRPr="00E222B8" w:rsidRDefault="00E222B8" w:rsidP="00E222B8">
            <w:pPr>
              <w:pStyle w:val="BodyTextSMPC"/>
              <w:spacing w:after="0"/>
              <w:ind w:left="0"/>
            </w:pPr>
            <w:r w:rsidRPr="00E222B8">
              <w:t>Creatinine clearance</w:t>
            </w:r>
          </w:p>
          <w:p w14:paraId="702A7A89" w14:textId="77777777" w:rsidR="00E222B8" w:rsidRPr="00E222B8" w:rsidRDefault="00E222B8" w:rsidP="00E222B8">
            <w:pPr>
              <w:pStyle w:val="BodyTextSMPC"/>
              <w:spacing w:after="0"/>
              <w:ind w:left="0"/>
            </w:pPr>
            <w:r w:rsidRPr="00E222B8">
              <w:t>in mL/min</w:t>
            </w:r>
          </w:p>
        </w:tc>
        <w:tc>
          <w:tcPr>
            <w:tcW w:w="988" w:type="pct"/>
            <w:tcBorders>
              <w:top w:val="outset" w:sz="6" w:space="0" w:color="auto"/>
              <w:left w:val="outset" w:sz="6" w:space="0" w:color="auto"/>
              <w:bottom w:val="outset" w:sz="6" w:space="0" w:color="auto"/>
              <w:right w:val="outset" w:sz="6" w:space="0" w:color="auto"/>
            </w:tcBorders>
            <w:hideMark/>
          </w:tcPr>
          <w:p w14:paraId="28ABCB70" w14:textId="77777777" w:rsidR="00E222B8" w:rsidRPr="00E222B8" w:rsidRDefault="00E222B8" w:rsidP="00E222B8">
            <w:pPr>
              <w:pStyle w:val="BodyTextSMPC"/>
              <w:spacing w:after="0"/>
              <w:ind w:left="0"/>
            </w:pPr>
            <w:r w:rsidRPr="00E222B8">
              <w:t>100-60</w:t>
            </w:r>
          </w:p>
        </w:tc>
        <w:tc>
          <w:tcPr>
            <w:tcW w:w="1178" w:type="pct"/>
            <w:tcBorders>
              <w:top w:val="outset" w:sz="6" w:space="0" w:color="auto"/>
              <w:left w:val="outset" w:sz="6" w:space="0" w:color="auto"/>
              <w:bottom w:val="outset" w:sz="6" w:space="0" w:color="auto"/>
              <w:right w:val="outset" w:sz="6" w:space="0" w:color="auto"/>
            </w:tcBorders>
            <w:hideMark/>
          </w:tcPr>
          <w:p w14:paraId="61A8504B" w14:textId="77777777" w:rsidR="00E222B8" w:rsidRPr="00E222B8" w:rsidRDefault="00E222B8" w:rsidP="00E222B8">
            <w:pPr>
              <w:pStyle w:val="BodyTextSMPC"/>
              <w:spacing w:after="0"/>
              <w:ind w:left="0"/>
            </w:pPr>
            <w:r w:rsidRPr="00E222B8">
              <w:t>50-10</w:t>
            </w:r>
          </w:p>
        </w:tc>
        <w:tc>
          <w:tcPr>
            <w:tcW w:w="1142" w:type="pct"/>
            <w:tcBorders>
              <w:top w:val="outset" w:sz="6" w:space="0" w:color="auto"/>
              <w:left w:val="outset" w:sz="6" w:space="0" w:color="auto"/>
              <w:bottom w:val="outset" w:sz="6" w:space="0" w:color="auto"/>
              <w:right w:val="outset" w:sz="6" w:space="0" w:color="auto"/>
            </w:tcBorders>
            <w:hideMark/>
          </w:tcPr>
          <w:p w14:paraId="111D2777" w14:textId="77777777" w:rsidR="00E222B8" w:rsidRPr="00E222B8" w:rsidRDefault="00E222B8" w:rsidP="00E222B8">
            <w:pPr>
              <w:pStyle w:val="BodyTextSMPC"/>
              <w:spacing w:after="0"/>
              <w:ind w:left="0"/>
            </w:pPr>
            <w:r w:rsidRPr="00E222B8">
              <w:t>&lt;10</w:t>
            </w:r>
          </w:p>
        </w:tc>
      </w:tr>
      <w:tr w:rsidR="00E222B8" w:rsidRPr="00E222B8" w14:paraId="48B56CB2" w14:textId="77777777" w:rsidTr="00E222B8">
        <w:trPr>
          <w:tblCellSpacing w:w="0"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0A5D8C9B" w14:textId="77777777" w:rsidR="00E222B8" w:rsidRPr="00E222B8" w:rsidRDefault="00E222B8" w:rsidP="00E222B8">
            <w:pPr>
              <w:pStyle w:val="BodyTextSMPC"/>
              <w:spacing w:after="0"/>
              <w:ind w:left="0"/>
            </w:pPr>
            <w:r w:rsidRPr="00E222B8">
              <w:t>Serum creatinine</w:t>
            </w:r>
          </w:p>
          <w:p w14:paraId="41E7C00B" w14:textId="77777777" w:rsidR="00E222B8" w:rsidRPr="00E222B8" w:rsidRDefault="00E222B8" w:rsidP="00E222B8">
            <w:pPr>
              <w:pStyle w:val="BodyTextSMPC"/>
              <w:spacing w:after="0"/>
              <w:ind w:left="0"/>
            </w:pPr>
            <w:r w:rsidRPr="00E222B8">
              <w:t>in mg %</w:t>
            </w:r>
          </w:p>
        </w:tc>
        <w:tc>
          <w:tcPr>
            <w:tcW w:w="988" w:type="pct"/>
            <w:tcBorders>
              <w:top w:val="outset" w:sz="6" w:space="0" w:color="auto"/>
              <w:left w:val="outset" w:sz="6" w:space="0" w:color="auto"/>
              <w:bottom w:val="outset" w:sz="6" w:space="0" w:color="auto"/>
              <w:right w:val="outset" w:sz="6" w:space="0" w:color="auto"/>
            </w:tcBorders>
            <w:hideMark/>
          </w:tcPr>
          <w:p w14:paraId="72BF4680" w14:textId="77777777" w:rsidR="00E222B8" w:rsidRPr="00E222B8" w:rsidRDefault="00E222B8" w:rsidP="00E222B8">
            <w:pPr>
              <w:pStyle w:val="BodyTextSMPC"/>
              <w:spacing w:after="0"/>
              <w:ind w:left="0"/>
            </w:pPr>
            <w:r w:rsidRPr="00E222B8">
              <w:t>0.8-1.5</w:t>
            </w:r>
          </w:p>
        </w:tc>
        <w:tc>
          <w:tcPr>
            <w:tcW w:w="1178" w:type="pct"/>
            <w:tcBorders>
              <w:top w:val="outset" w:sz="6" w:space="0" w:color="auto"/>
              <w:left w:val="outset" w:sz="6" w:space="0" w:color="auto"/>
              <w:bottom w:val="outset" w:sz="6" w:space="0" w:color="auto"/>
              <w:right w:val="outset" w:sz="6" w:space="0" w:color="auto"/>
            </w:tcBorders>
            <w:hideMark/>
          </w:tcPr>
          <w:p w14:paraId="2F009AE8" w14:textId="77777777" w:rsidR="00E222B8" w:rsidRPr="00E222B8" w:rsidRDefault="00E222B8" w:rsidP="00E222B8">
            <w:pPr>
              <w:pStyle w:val="BodyTextSMPC"/>
              <w:spacing w:after="0"/>
              <w:ind w:left="0"/>
            </w:pPr>
            <w:r w:rsidRPr="00E222B8">
              <w:t>1.5-8.0</w:t>
            </w:r>
          </w:p>
        </w:tc>
        <w:tc>
          <w:tcPr>
            <w:tcW w:w="1142" w:type="pct"/>
            <w:tcBorders>
              <w:top w:val="outset" w:sz="6" w:space="0" w:color="auto"/>
              <w:left w:val="outset" w:sz="6" w:space="0" w:color="auto"/>
              <w:bottom w:val="outset" w:sz="6" w:space="0" w:color="auto"/>
              <w:right w:val="outset" w:sz="6" w:space="0" w:color="auto"/>
            </w:tcBorders>
            <w:hideMark/>
          </w:tcPr>
          <w:p w14:paraId="45437A3E" w14:textId="77777777" w:rsidR="00E222B8" w:rsidRPr="00E222B8" w:rsidRDefault="00E222B8" w:rsidP="00E222B8">
            <w:pPr>
              <w:pStyle w:val="BodyTextSMPC"/>
              <w:spacing w:after="0"/>
              <w:ind w:left="0"/>
            </w:pPr>
            <w:r w:rsidRPr="00E222B8">
              <w:t>15</w:t>
            </w:r>
          </w:p>
        </w:tc>
      </w:tr>
      <w:tr w:rsidR="00E222B8" w:rsidRPr="00E222B8" w14:paraId="04F7FE0C" w14:textId="77777777" w:rsidTr="00E222B8">
        <w:trPr>
          <w:tblCellSpacing w:w="0"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7317D023" w14:textId="77777777" w:rsidR="00E222B8" w:rsidRPr="00E222B8" w:rsidRDefault="00E222B8" w:rsidP="00E222B8">
            <w:pPr>
              <w:pStyle w:val="BodyTextSMPC"/>
              <w:spacing w:after="0"/>
              <w:ind w:left="0"/>
            </w:pPr>
            <w:r w:rsidRPr="00E222B8">
              <w:t>Benzylpenicillin (daily dose)</w:t>
            </w:r>
          </w:p>
        </w:tc>
        <w:tc>
          <w:tcPr>
            <w:tcW w:w="988" w:type="pct"/>
            <w:tcBorders>
              <w:top w:val="outset" w:sz="6" w:space="0" w:color="auto"/>
              <w:left w:val="outset" w:sz="6" w:space="0" w:color="auto"/>
              <w:bottom w:val="outset" w:sz="6" w:space="0" w:color="auto"/>
              <w:right w:val="outset" w:sz="6" w:space="0" w:color="auto"/>
            </w:tcBorders>
            <w:vAlign w:val="center"/>
            <w:hideMark/>
          </w:tcPr>
          <w:p w14:paraId="7398C8FF" w14:textId="77777777" w:rsidR="00E222B8" w:rsidRPr="00E222B8" w:rsidRDefault="00E222B8" w:rsidP="00E222B8">
            <w:pPr>
              <w:pStyle w:val="BodyTextSMPC"/>
              <w:spacing w:after="0"/>
              <w:ind w:left="0"/>
            </w:pPr>
            <w:r w:rsidRPr="00E222B8">
              <w:t>18-60 mg/kg</w:t>
            </w:r>
          </w:p>
        </w:tc>
        <w:tc>
          <w:tcPr>
            <w:tcW w:w="1178" w:type="pct"/>
            <w:tcBorders>
              <w:top w:val="outset" w:sz="6" w:space="0" w:color="auto"/>
              <w:left w:val="outset" w:sz="6" w:space="0" w:color="auto"/>
              <w:bottom w:val="outset" w:sz="6" w:space="0" w:color="auto"/>
              <w:right w:val="outset" w:sz="6" w:space="0" w:color="auto"/>
            </w:tcBorders>
            <w:vAlign w:val="center"/>
            <w:hideMark/>
          </w:tcPr>
          <w:p w14:paraId="4763C942" w14:textId="77777777" w:rsidR="00E222B8" w:rsidRPr="00E222B8" w:rsidRDefault="00E222B8" w:rsidP="00E222B8">
            <w:pPr>
              <w:pStyle w:val="BodyTextSMPC"/>
              <w:spacing w:after="0"/>
              <w:ind w:left="0"/>
            </w:pPr>
            <w:r w:rsidRPr="00E222B8">
              <w:t>12-36 mg/kg</w:t>
            </w:r>
          </w:p>
        </w:tc>
        <w:tc>
          <w:tcPr>
            <w:tcW w:w="1142" w:type="pct"/>
            <w:tcBorders>
              <w:top w:val="outset" w:sz="6" w:space="0" w:color="auto"/>
              <w:left w:val="outset" w:sz="6" w:space="0" w:color="auto"/>
              <w:bottom w:val="outset" w:sz="6" w:space="0" w:color="auto"/>
              <w:right w:val="outset" w:sz="6" w:space="0" w:color="auto"/>
            </w:tcBorders>
            <w:vAlign w:val="center"/>
            <w:hideMark/>
          </w:tcPr>
          <w:p w14:paraId="5A2CD519" w14:textId="77777777" w:rsidR="00E222B8" w:rsidRPr="00E222B8" w:rsidRDefault="00E222B8" w:rsidP="00E222B8">
            <w:pPr>
              <w:pStyle w:val="BodyTextSMPC"/>
              <w:spacing w:after="0"/>
              <w:ind w:left="0"/>
            </w:pPr>
            <w:r w:rsidRPr="00E222B8">
              <w:t>6-24 mg/kg</w:t>
            </w:r>
          </w:p>
        </w:tc>
      </w:tr>
      <w:tr w:rsidR="00E222B8" w:rsidRPr="00E222B8" w14:paraId="6AD8047E" w14:textId="77777777" w:rsidTr="00E222B8">
        <w:trPr>
          <w:tblCellSpacing w:w="0" w:type="dxa"/>
        </w:trPr>
        <w:tc>
          <w:tcPr>
            <w:tcW w:w="1692" w:type="pct"/>
            <w:tcBorders>
              <w:top w:val="outset" w:sz="6" w:space="0" w:color="auto"/>
              <w:left w:val="outset" w:sz="6" w:space="0" w:color="auto"/>
              <w:bottom w:val="outset" w:sz="6" w:space="0" w:color="auto"/>
              <w:right w:val="outset" w:sz="6" w:space="0" w:color="auto"/>
            </w:tcBorders>
            <w:vAlign w:val="center"/>
            <w:hideMark/>
          </w:tcPr>
          <w:p w14:paraId="38D9BD4B" w14:textId="77777777" w:rsidR="00E222B8" w:rsidRPr="00E222B8" w:rsidRDefault="00E222B8" w:rsidP="00E222B8">
            <w:pPr>
              <w:pStyle w:val="BodyTextSMPC"/>
              <w:spacing w:after="0"/>
              <w:ind w:left="0"/>
            </w:pPr>
            <w:r w:rsidRPr="00E222B8">
              <w:t>Dosing interval</w:t>
            </w:r>
          </w:p>
        </w:tc>
        <w:tc>
          <w:tcPr>
            <w:tcW w:w="988" w:type="pct"/>
            <w:tcBorders>
              <w:top w:val="outset" w:sz="6" w:space="0" w:color="auto"/>
              <w:left w:val="outset" w:sz="6" w:space="0" w:color="auto"/>
              <w:bottom w:val="outset" w:sz="6" w:space="0" w:color="auto"/>
              <w:right w:val="outset" w:sz="6" w:space="0" w:color="auto"/>
            </w:tcBorders>
            <w:vAlign w:val="center"/>
            <w:hideMark/>
          </w:tcPr>
          <w:p w14:paraId="143FC329" w14:textId="77777777" w:rsidR="00E222B8" w:rsidRPr="00E222B8" w:rsidRDefault="00E222B8" w:rsidP="00E222B8">
            <w:pPr>
              <w:pStyle w:val="BodyTextSMPC"/>
              <w:spacing w:after="0"/>
              <w:ind w:left="0"/>
            </w:pPr>
            <w:r w:rsidRPr="00E222B8">
              <w:t>in 4-6 single doses</w:t>
            </w:r>
          </w:p>
        </w:tc>
        <w:tc>
          <w:tcPr>
            <w:tcW w:w="1178" w:type="pct"/>
            <w:tcBorders>
              <w:top w:val="outset" w:sz="6" w:space="0" w:color="auto"/>
              <w:left w:val="outset" w:sz="6" w:space="0" w:color="auto"/>
              <w:bottom w:val="outset" w:sz="6" w:space="0" w:color="auto"/>
              <w:right w:val="outset" w:sz="6" w:space="0" w:color="auto"/>
            </w:tcBorders>
            <w:vAlign w:val="center"/>
            <w:hideMark/>
          </w:tcPr>
          <w:p w14:paraId="6D2EB85C" w14:textId="77777777" w:rsidR="00E222B8" w:rsidRPr="00E222B8" w:rsidRDefault="00E222B8" w:rsidP="00E222B8">
            <w:pPr>
              <w:pStyle w:val="BodyTextSMPC"/>
              <w:spacing w:after="0"/>
              <w:ind w:left="0"/>
            </w:pPr>
            <w:r w:rsidRPr="00E222B8">
              <w:t>in 2-3 single doses</w:t>
            </w:r>
          </w:p>
        </w:tc>
        <w:tc>
          <w:tcPr>
            <w:tcW w:w="1142" w:type="pct"/>
            <w:tcBorders>
              <w:top w:val="outset" w:sz="6" w:space="0" w:color="auto"/>
              <w:left w:val="outset" w:sz="6" w:space="0" w:color="auto"/>
              <w:bottom w:val="outset" w:sz="6" w:space="0" w:color="auto"/>
              <w:right w:val="outset" w:sz="6" w:space="0" w:color="auto"/>
            </w:tcBorders>
            <w:vAlign w:val="center"/>
            <w:hideMark/>
          </w:tcPr>
          <w:p w14:paraId="346391AA" w14:textId="77777777" w:rsidR="00E222B8" w:rsidRPr="00E222B8" w:rsidRDefault="00E222B8" w:rsidP="00E222B8">
            <w:pPr>
              <w:pStyle w:val="BodyTextSMPC"/>
              <w:spacing w:after="0"/>
              <w:ind w:left="0"/>
            </w:pPr>
            <w:r w:rsidRPr="00E222B8">
              <w:t>in 2 single doses</w:t>
            </w:r>
          </w:p>
        </w:tc>
      </w:tr>
    </w:tbl>
    <w:p w14:paraId="27F848D3" w14:textId="0812595F" w:rsidR="00E222B8" w:rsidRDefault="00E222B8" w:rsidP="00E222B8">
      <w:pPr>
        <w:pStyle w:val="BodyTextSMPC"/>
        <w:spacing w:before="240"/>
      </w:pPr>
      <w:r>
        <w:t>I</w:t>
      </w:r>
      <w:r w:rsidRPr="00E222B8">
        <w:t>nfants (aged 1 month and older) and children (up to 12 years of age): If renal function is moderately-to-severely impaired (glomerular filtration rate = 10– 50 mL/minute/1.73 m2), the normal dose is administered every 8 – 12 hours. In very severe cases of impaired renal function or renal failure (glomerular filtration rate &lt;10 mL/minute/1.73 m2), the normal dose is administered every 12 hours.</w:t>
      </w:r>
    </w:p>
    <w:p w14:paraId="478737E7" w14:textId="125A7996" w:rsidR="00E222B8" w:rsidRDefault="00E222B8" w:rsidP="00E222B8">
      <w:pPr>
        <w:pStyle w:val="BodyTextSMPC"/>
        <w:spacing w:before="240"/>
      </w:pPr>
      <w:r>
        <w:t>Pre-term and newborn infants (up to 4 weeks of age): Benzylpenicillin is not suitable for the treatment of pre-term and newborn infants with impaired renal function.</w:t>
      </w:r>
    </w:p>
    <w:p w14:paraId="0E9D79B8" w14:textId="33F722E5" w:rsidR="00E222B8" w:rsidRDefault="00E222B8" w:rsidP="00E222B8">
      <w:pPr>
        <w:pStyle w:val="BodyTextSMPC"/>
        <w:spacing w:before="240"/>
      </w:pPr>
      <w:r w:rsidRPr="00E222B8">
        <w:rPr>
          <w:b/>
          <w:bCs/>
        </w:rPr>
        <w:lastRenderedPageBreak/>
        <w:t>Hepatic impairment</w:t>
      </w:r>
      <w:r>
        <w:t>:</w:t>
      </w:r>
    </w:p>
    <w:p w14:paraId="762E896C" w14:textId="2B0275E6" w:rsidR="00E222B8" w:rsidRDefault="00E222B8" w:rsidP="00E222B8">
      <w:pPr>
        <w:pStyle w:val="BodyTextSMPC"/>
        <w:spacing w:before="240"/>
      </w:pPr>
      <w:r>
        <w:t>No dose reduction is required provided that renal function is not impaired.</w:t>
      </w:r>
    </w:p>
    <w:p w14:paraId="271DF5E7" w14:textId="1871AFB4" w:rsidR="00E222B8" w:rsidRPr="00E222B8" w:rsidRDefault="00E222B8" w:rsidP="00E222B8">
      <w:pPr>
        <w:pStyle w:val="BodyTextSMPC"/>
        <w:spacing w:before="240"/>
        <w:rPr>
          <w:b/>
          <w:bCs/>
        </w:rPr>
      </w:pPr>
      <w:r w:rsidRPr="00E222B8">
        <w:rPr>
          <w:b/>
          <w:bCs/>
        </w:rPr>
        <w:t>Special dosages</w:t>
      </w:r>
    </w:p>
    <w:p w14:paraId="213178EF" w14:textId="5C6E5A3D" w:rsidR="00E222B8" w:rsidRDefault="00E222B8" w:rsidP="00E222B8">
      <w:pPr>
        <w:pStyle w:val="BodyTextSMPC"/>
        <w:spacing w:before="240"/>
      </w:pPr>
      <w:r>
        <w:t>Bacterial endocarditis: Adults are given 6000-48000 mg/day intravenously in combination with aminoglycosides.</w:t>
      </w:r>
    </w:p>
    <w:p w14:paraId="4F7CE817" w14:textId="1088CBCD" w:rsidR="00E222B8" w:rsidRDefault="00E222B8" w:rsidP="00E222B8">
      <w:pPr>
        <w:pStyle w:val="BodyTextSMPC"/>
        <w:spacing w:before="240"/>
      </w:pPr>
      <w:r>
        <w:t xml:space="preserve">Meningitis: Due to increased seizure susceptibility and </w:t>
      </w:r>
      <w:proofErr w:type="spellStart"/>
      <w:r>
        <w:t>Jarisch</w:t>
      </w:r>
      <w:proofErr w:type="spellEnd"/>
      <w:r>
        <w:t>-Herxheimer reactions, no more than 12000-18000 mg/day should be administered in adults and no more than 7200 mg/day in children.</w:t>
      </w:r>
    </w:p>
    <w:p w14:paraId="14ECCBE7" w14:textId="6EAE85EF" w:rsidR="001162E6" w:rsidRDefault="00E222B8" w:rsidP="006448B7">
      <w:pPr>
        <w:pStyle w:val="BodyTextSMPC"/>
        <w:spacing w:before="240"/>
      </w:pPr>
      <w:r>
        <w:t>Lyme borreliosis: In adults, 12000-18000 mg/day intravenously in 2-3 doses over 14 days and in children, 300 mg/kg/day intravenously in 2-3 doses over 14 days.</w:t>
      </w:r>
    </w:p>
    <w:p w14:paraId="121BC8F5" w14:textId="79A45D86" w:rsidR="006448B7" w:rsidRPr="006448B7" w:rsidRDefault="006448B7" w:rsidP="006448B7">
      <w:pPr>
        <w:pStyle w:val="BodyTextSMPC"/>
        <w:spacing w:before="240"/>
        <w:rPr>
          <w:b/>
          <w:bCs/>
        </w:rPr>
      </w:pPr>
      <w:r w:rsidRPr="006448B7">
        <w:rPr>
          <w:b/>
          <w:bCs/>
        </w:rPr>
        <w:t>Method of administration</w:t>
      </w:r>
    </w:p>
    <w:p w14:paraId="43E22EE2" w14:textId="31A4CBAD" w:rsidR="006448B7" w:rsidRDefault="006448B7" w:rsidP="006448B7">
      <w:pPr>
        <w:pStyle w:val="BodyTextSMPC"/>
        <w:spacing w:before="240"/>
      </w:pPr>
      <w:r>
        <w:t>Benzylpenicillin can be given intravenously (injection or short infusion at 6000 mg/100 mL) or also intramuscularly.</w:t>
      </w:r>
    </w:p>
    <w:p w14:paraId="036CB8E9" w14:textId="1A267834" w:rsidR="006448B7" w:rsidRDefault="006448B7" w:rsidP="006448B7">
      <w:pPr>
        <w:pStyle w:val="BodyTextSMPC"/>
        <w:spacing w:before="240"/>
      </w:pPr>
      <w:r>
        <w:t>Notes for IM injection:</w:t>
      </w:r>
    </w:p>
    <w:p w14:paraId="48233F26" w14:textId="3A415EB8" w:rsidR="006448B7" w:rsidRDefault="006448B7" w:rsidP="006448B7">
      <w:pPr>
        <w:pStyle w:val="BodyTextSMPC"/>
        <w:spacing w:before="240"/>
      </w:pPr>
      <w:r>
        <w:t>Up to a maximum of 6000 mg Benzylpenicillin, dissolved in 6 - 10 mL water for injection, is applied up to twice daily as a deep intramuscular injection into the upper, outer quadrant of the gluteus maximus or Hochstetter's ventrogluteal field.</w:t>
      </w:r>
    </w:p>
    <w:p w14:paraId="5E70E20E" w14:textId="78DB899D" w:rsidR="006448B7" w:rsidRDefault="006448B7" w:rsidP="006448B7">
      <w:pPr>
        <w:pStyle w:val="BodyTextSMPC"/>
        <w:spacing w:before="240"/>
      </w:pPr>
      <w:r>
        <w:t>5 mL per injection site is to be regarded as the upper limit of tolerability. Repeated injections should be given on alternate sides. Higher doses can be given as an IV infusion.</w:t>
      </w:r>
    </w:p>
    <w:p w14:paraId="477DBE4C" w14:textId="193B44E6" w:rsidR="006448B7" w:rsidRDefault="006448B7" w:rsidP="006448B7">
      <w:pPr>
        <w:pStyle w:val="BodyTextSMPC"/>
        <w:spacing w:before="240"/>
      </w:pPr>
      <w:r>
        <w:t>Severe local reactions may occur with intramuscular administration, especially in infants. If possible, intravenous therapy should be performed.</w:t>
      </w:r>
    </w:p>
    <w:p w14:paraId="465354EE" w14:textId="11CEDE96" w:rsidR="006448B7" w:rsidRDefault="006448B7" w:rsidP="006448B7">
      <w:pPr>
        <w:pStyle w:val="BodyTextSMPC"/>
        <w:spacing w:before="240"/>
      </w:pPr>
      <w:r w:rsidRPr="006448B7">
        <w:rPr>
          <w:b/>
          <w:bCs/>
        </w:rPr>
        <w:t>Caution</w:t>
      </w:r>
      <w:r>
        <w:t>: Cerebral seizures and electrolyte imbalance may occur if the infusions are too rapid. A rate of not more than 300 mg/minute is recommended for intravenous doses above 1200 mg.</w:t>
      </w:r>
    </w:p>
    <w:p w14:paraId="632F9003" w14:textId="77777777" w:rsidR="006448B7" w:rsidRDefault="006448B7" w:rsidP="006448B7">
      <w:pPr>
        <w:pStyle w:val="BodyTextSMPC"/>
        <w:spacing w:before="240"/>
      </w:pPr>
      <w:r>
        <w:t>For further information on preparation, see section 6.6.</w:t>
      </w:r>
    </w:p>
    <w:p w14:paraId="02AE373F" w14:textId="32B4BE0C" w:rsidR="006448B7" w:rsidRPr="006448B7" w:rsidRDefault="006448B7" w:rsidP="006448B7">
      <w:pPr>
        <w:pStyle w:val="BodyTextSMPC"/>
        <w:spacing w:before="240"/>
        <w:rPr>
          <w:b/>
          <w:bCs/>
        </w:rPr>
      </w:pPr>
      <w:r w:rsidRPr="006448B7">
        <w:rPr>
          <w:b/>
          <w:bCs/>
        </w:rPr>
        <w:lastRenderedPageBreak/>
        <w:t>Duration of use</w:t>
      </w:r>
    </w:p>
    <w:p w14:paraId="7E27015A" w14:textId="5AEBAEF8" w:rsidR="006448B7" w:rsidRDefault="006448B7" w:rsidP="006448B7">
      <w:pPr>
        <w:pStyle w:val="BodyTextSMPC"/>
        <w:spacing w:before="240"/>
      </w:pPr>
      <w:r>
        <w:t>The duration of treatment with Benzylpenicillin may vary with the specific indication and should follow the recommendations of the latest updated guidelines from national authorities.</w:t>
      </w:r>
    </w:p>
    <w:p w14:paraId="34777EC2" w14:textId="396BDA59" w:rsidR="006448B7" w:rsidRPr="001162E6" w:rsidRDefault="006448B7" w:rsidP="006448B7">
      <w:pPr>
        <w:pStyle w:val="BodyTextSMPC"/>
        <w:spacing w:before="240"/>
      </w:pPr>
      <w:r>
        <w:t>According to WHO recommendations, a treatment period of at least 10 days should be observed for streptococcal diseases.</w:t>
      </w:r>
    </w:p>
    <w:p w14:paraId="5B05A77F" w14:textId="77777777" w:rsidR="00671E86" w:rsidRPr="008F5678" w:rsidRDefault="00000000" w:rsidP="00233A79">
      <w:pPr>
        <w:pStyle w:val="SubHeafingSMPC"/>
      </w:pPr>
      <w:r w:rsidRPr="008F5678">
        <w:t>Contraindications</w:t>
      </w:r>
    </w:p>
    <w:p w14:paraId="0062615A" w14:textId="77777777" w:rsidR="007F2B3F" w:rsidRDefault="007F2B3F" w:rsidP="007F2B3F">
      <w:pPr>
        <w:pStyle w:val="BodyTextSMPC"/>
        <w:numPr>
          <w:ilvl w:val="0"/>
          <w:numId w:val="5"/>
        </w:numPr>
      </w:pPr>
      <w:r>
        <w:t>Hypersensitivity to the active substance</w:t>
      </w:r>
    </w:p>
    <w:p w14:paraId="5569CA67" w14:textId="77777777" w:rsidR="007F2B3F" w:rsidRDefault="007F2B3F" w:rsidP="007F2B3F">
      <w:pPr>
        <w:pStyle w:val="BodyTextSMPC"/>
        <w:numPr>
          <w:ilvl w:val="0"/>
          <w:numId w:val="5"/>
        </w:numPr>
      </w:pPr>
      <w:r>
        <w:t>History of hypersensitivity to penicillin</w:t>
      </w:r>
    </w:p>
    <w:p w14:paraId="130E2628" w14:textId="4FAA5ACA" w:rsidR="007F2B3F" w:rsidRDefault="007F2B3F" w:rsidP="007F2B3F">
      <w:pPr>
        <w:pStyle w:val="BodyTextSMPC"/>
        <w:numPr>
          <w:ilvl w:val="0"/>
          <w:numId w:val="5"/>
        </w:numPr>
      </w:pPr>
      <w:r>
        <w:t>History of a severe immediate hypersensitivity reaction (e.g. anaphylaxis) to another beta-lactam agent (e.g. cephalosporin, carbapenem or monobactam)</w:t>
      </w:r>
    </w:p>
    <w:p w14:paraId="6955ACE4" w14:textId="77777777" w:rsidR="00A144D2" w:rsidRPr="008F5678" w:rsidRDefault="00000000" w:rsidP="00671E86">
      <w:pPr>
        <w:pStyle w:val="SubHeafingSMPC"/>
      </w:pPr>
      <w:r w:rsidRPr="008F5678">
        <w:t xml:space="preserve">Special warnings and precautions for use </w:t>
      </w:r>
    </w:p>
    <w:p w14:paraId="0ED758FC" w14:textId="51092F9E" w:rsidR="007F2B3F" w:rsidRDefault="007F2B3F" w:rsidP="007F2B3F">
      <w:pPr>
        <w:pStyle w:val="BodyTextSMPC"/>
        <w:jc w:val="thaiDistribute"/>
      </w:pPr>
      <w:r>
        <w:t>In cases of cephalosporin hypersensitivity, a cross-allergy is possible (frequency according to the literature: 5-10%).</w:t>
      </w:r>
    </w:p>
    <w:p w14:paraId="485AA559" w14:textId="6874AC98" w:rsidR="007F2B3F" w:rsidRDefault="007F2B3F" w:rsidP="007F2B3F">
      <w:pPr>
        <w:pStyle w:val="BodyTextSMPC"/>
        <w:jc w:val="thaiDistribute"/>
      </w:pPr>
      <w:r>
        <w:t>Prior to treatment, a hypersensitivity test should be carried out. Patients should be informed about the possible occurrence of a hypersensitivity reaction. Particular caution is required in patients with allergic diathesis or bronchial asthma. After administering the medication, patients should be observed for 30 minutes and an adrenaline solution should be ready for injection in the event of an emergency. If an allergic reaction occurs, treatment must be discontinued and, if necessary, symptomatic treatment instituted.</w:t>
      </w:r>
    </w:p>
    <w:p w14:paraId="2BC1F185" w14:textId="5F0E2825" w:rsidR="007F2B3F" w:rsidRDefault="007F2B3F" w:rsidP="007F2B3F">
      <w:pPr>
        <w:pStyle w:val="BodyTextSMPC"/>
        <w:jc w:val="thaiDistribute"/>
      </w:pPr>
      <w:r>
        <w:t xml:space="preserve">Severe cutaneous adverse reactions (SCAR), including Stevens Johnson syndrome (SJS), toxic epidermal necrolysis (TEN), drug reaction with eosinophilia and systemic symptoms (DRESS) and acute </w:t>
      </w:r>
      <w:proofErr w:type="spellStart"/>
      <w:r>
        <w:t>generalised</w:t>
      </w:r>
      <w:proofErr w:type="spellEnd"/>
      <w:r>
        <w:t xml:space="preserve"> </w:t>
      </w:r>
      <w:proofErr w:type="spellStart"/>
      <w:r>
        <w:t>exanthematous</w:t>
      </w:r>
      <w:proofErr w:type="spellEnd"/>
      <w:r>
        <w:t xml:space="preserve"> pustulosis (AGEP) have been reported in association with beta-lactam antibiotics (including </w:t>
      </w:r>
      <w:proofErr w:type="spellStart"/>
      <w:r>
        <w:t>penicillins</w:t>
      </w:r>
      <w:proofErr w:type="spellEnd"/>
      <w:r>
        <w:t>) treatment (see section 4.8).</w:t>
      </w:r>
    </w:p>
    <w:p w14:paraId="2CEFF06E" w14:textId="3D2706FB" w:rsidR="007F2B3F" w:rsidRDefault="007F2B3F" w:rsidP="007F2B3F">
      <w:pPr>
        <w:pStyle w:val="BodyTextSMPC"/>
        <w:jc w:val="thaiDistribute"/>
      </w:pPr>
      <w:r>
        <w:t xml:space="preserve">Benzylpenicillin is contraindicated in patients who are hypersensitive to </w:t>
      </w:r>
      <w:proofErr w:type="spellStart"/>
      <w:r>
        <w:t>penicillins</w:t>
      </w:r>
      <w:proofErr w:type="spellEnd"/>
      <w:r>
        <w:t xml:space="preserve">. Patients who have a history of hypersensitivity to cephalosporins, </w:t>
      </w:r>
      <w:proofErr w:type="spellStart"/>
      <w:r>
        <w:t>penicillins</w:t>
      </w:r>
      <w:proofErr w:type="spellEnd"/>
      <w:r>
        <w:t xml:space="preserve"> or other beta-lactam antibacterials may also </w:t>
      </w:r>
      <w:r>
        <w:lastRenderedPageBreak/>
        <w:t>be hypersensitive to benzylpenicillin (see section 4.3). Benzylpenicillin should be used with caution in patients with a history of non-severe hypersensitivity reactions to any other beta-lactam antibiotics (e.g. cephalosporins or carbapenems) and not at all in patients with history of severe hypersensitivity reactions. If a severe allergic reaction or SCAR occurs during treatment with benzylpenicillin, treatment with the medicinal product should be discontinued and appropriate measures taken.</w:t>
      </w:r>
    </w:p>
    <w:p w14:paraId="483F0699" w14:textId="1D43A879" w:rsidR="007F2B3F" w:rsidRDefault="007F2B3F" w:rsidP="007F2B3F">
      <w:pPr>
        <w:pStyle w:val="BodyTextSMPC"/>
        <w:jc w:val="thaiDistribute"/>
      </w:pPr>
      <w:r>
        <w:t>Caution should be exercised in patients with the following conditions:</w:t>
      </w:r>
    </w:p>
    <w:p w14:paraId="0208BC7B" w14:textId="47A2E2E7" w:rsidR="007F2B3F" w:rsidRDefault="007F2B3F" w:rsidP="007F2B3F">
      <w:pPr>
        <w:pStyle w:val="BodyTextSMPC"/>
        <w:jc w:val="thaiDistribute"/>
      </w:pPr>
      <w:r>
        <w:t>- allergic diathesis (urticaria or hay fever) or asthma (increased risk of hypersensitivity reactions)</w:t>
      </w:r>
    </w:p>
    <w:p w14:paraId="61138F3A" w14:textId="4EE7938E" w:rsidR="007F2B3F" w:rsidRDefault="007F2B3F" w:rsidP="007F2B3F">
      <w:pPr>
        <w:pStyle w:val="BodyTextSMPC"/>
        <w:jc w:val="thaiDistribute"/>
      </w:pPr>
      <w:r>
        <w:t>- severe heart conditions or severe electrolyte disturbances of any other origin (attention should be paid to electrolyte intake in this patient group, especially potassium intake);</w:t>
      </w:r>
    </w:p>
    <w:p w14:paraId="0097EC5C" w14:textId="25148E0C" w:rsidR="007F2B3F" w:rsidRDefault="007F2B3F" w:rsidP="007F2B3F">
      <w:pPr>
        <w:pStyle w:val="BodyTextSMPC"/>
        <w:jc w:val="thaiDistribute"/>
      </w:pPr>
      <w:r>
        <w:t>- renal insufficiency (for dose adjustment, see section 4.2)</w:t>
      </w:r>
    </w:p>
    <w:p w14:paraId="1833304A" w14:textId="209A2593" w:rsidR="007F2B3F" w:rsidRDefault="007F2B3F" w:rsidP="007F2B3F">
      <w:pPr>
        <w:pStyle w:val="BodyTextSMPC"/>
        <w:jc w:val="thaiDistribute"/>
      </w:pPr>
      <w:r>
        <w:t>- liver damage (for dose adjustment, see section 4.2)</w:t>
      </w:r>
    </w:p>
    <w:p w14:paraId="1697DEDF" w14:textId="54A02941" w:rsidR="007F2B3F" w:rsidRDefault="007F2B3F" w:rsidP="007F2B3F">
      <w:pPr>
        <w:pStyle w:val="BodyTextSMPC"/>
        <w:jc w:val="thaiDistribute"/>
      </w:pPr>
      <w:r>
        <w:t>- epilepsy, cerebral oedema or meningitis (increased risk of seizures, especially with high-dose administration (12000 mg ) of Benzylpenicillin; see section 4.8)</w:t>
      </w:r>
    </w:p>
    <w:p w14:paraId="5274B5B3" w14:textId="1F5B8CF0" w:rsidR="007F2B3F" w:rsidRDefault="007F2B3F" w:rsidP="007F2B3F">
      <w:pPr>
        <w:pStyle w:val="BodyTextSMPC"/>
        <w:jc w:val="thaiDistribute"/>
      </w:pPr>
      <w:r>
        <w:t>- existing mononucleosis (increased risk of skin rash)</w:t>
      </w:r>
    </w:p>
    <w:p w14:paraId="51764BE2" w14:textId="163AA35D" w:rsidR="007F2B3F" w:rsidRDefault="007F2B3F" w:rsidP="007F2B3F">
      <w:pPr>
        <w:pStyle w:val="BodyTextSMPC"/>
        <w:jc w:val="thaiDistribute"/>
      </w:pPr>
      <w:r>
        <w:t xml:space="preserve">- when treating co-infections in patients with acute lymphatic </w:t>
      </w:r>
      <w:proofErr w:type="spellStart"/>
      <w:r>
        <w:t>leukaemia</w:t>
      </w:r>
      <w:proofErr w:type="spellEnd"/>
      <w:r>
        <w:t xml:space="preserve"> (increased risk of skin reactions)</w:t>
      </w:r>
    </w:p>
    <w:p w14:paraId="2DC3A87F" w14:textId="6299E7E5" w:rsidR="007F2B3F" w:rsidRDefault="007F2B3F" w:rsidP="007F2B3F">
      <w:pPr>
        <w:pStyle w:val="BodyTextSMPC"/>
        <w:jc w:val="thaiDistribute"/>
      </w:pPr>
      <w:r>
        <w:t xml:space="preserve">- dermatomycoses (para-allergic reactions are possible, as there may be common antigenicity between </w:t>
      </w:r>
      <w:proofErr w:type="spellStart"/>
      <w:r>
        <w:t>penicillins</w:t>
      </w:r>
      <w:proofErr w:type="spellEnd"/>
      <w:r>
        <w:t xml:space="preserve"> and metabolic products of dermatophytes; see section 4.8)</w:t>
      </w:r>
    </w:p>
    <w:p w14:paraId="67D74FE4" w14:textId="45623679" w:rsidR="007F2B3F" w:rsidRDefault="007F2B3F" w:rsidP="007F2B3F">
      <w:pPr>
        <w:pStyle w:val="BodyTextSMPC"/>
        <w:jc w:val="thaiDistribute"/>
      </w:pPr>
      <w:r>
        <w:t xml:space="preserve">In rare cases, prolongation of the prothrombin time has been reported in patients receiving </w:t>
      </w:r>
      <w:proofErr w:type="spellStart"/>
      <w:r>
        <w:t>penicillins</w:t>
      </w:r>
      <w:proofErr w:type="spellEnd"/>
      <w:r>
        <w:t>. Appropriate monitoring should be performed when anticoagulants are co-administered. Adjustment of the oral anticoagulant dose may be necessary to obtain the desired degree of anticoagulation (see sections 4.5 and 4.8).</w:t>
      </w:r>
    </w:p>
    <w:p w14:paraId="676EC78C" w14:textId="63D0AA94" w:rsidR="007F2B3F" w:rsidRDefault="007F2B3F" w:rsidP="007F2B3F">
      <w:pPr>
        <w:pStyle w:val="BodyTextSMPC"/>
        <w:jc w:val="thaiDistribute"/>
      </w:pPr>
      <w:r>
        <w:lastRenderedPageBreak/>
        <w:t>It should be remembered that the absorption of Benzylpenicillin is delayed after intramuscular administration in patients with diabetes (see section 5.2).</w:t>
      </w:r>
    </w:p>
    <w:p w14:paraId="7419A455" w14:textId="572CDBD0" w:rsidR="007F2B3F" w:rsidRDefault="007F2B3F" w:rsidP="007F2B3F">
      <w:pPr>
        <w:pStyle w:val="BodyTextSMPC"/>
        <w:jc w:val="thaiDistribute"/>
      </w:pPr>
      <w:r>
        <w:t>In venereal diseases, dark field examinations should be performed before the start of therapy if co-existing syphilis is suspected. Serological tests for monitoring purposes should also be performed for at least 4 months.</w:t>
      </w:r>
    </w:p>
    <w:p w14:paraId="38CCD772" w14:textId="6EF9918D" w:rsidR="007F2B3F" w:rsidRDefault="007F2B3F" w:rsidP="007F2B3F">
      <w:pPr>
        <w:pStyle w:val="BodyTextSMPC"/>
        <w:jc w:val="thaiDistribute"/>
      </w:pPr>
      <w:r>
        <w:t>In long-term therapy, vigilance is required for the possible occurrence of an overgrowth of resistant organisms. If secondary infections occur, appropriate measures should be taken.</w:t>
      </w:r>
    </w:p>
    <w:p w14:paraId="1FB5F72E" w14:textId="7751CA00" w:rsidR="007F2B3F" w:rsidRDefault="007F2B3F" w:rsidP="007F2B3F">
      <w:pPr>
        <w:pStyle w:val="BodyTextSMPC"/>
        <w:jc w:val="thaiDistribute"/>
      </w:pPr>
      <w:r>
        <w:t xml:space="preserve">If severe, persistent </w:t>
      </w:r>
      <w:proofErr w:type="spellStart"/>
      <w:r>
        <w:t>diarrhoea</w:t>
      </w:r>
      <w:proofErr w:type="spellEnd"/>
      <w:r>
        <w:t xml:space="preserve"> occurs, antibiotic-associated pseudomembranous colitis should be considered (</w:t>
      </w:r>
      <w:proofErr w:type="spellStart"/>
      <w:r>
        <w:t>mucohaemorrhagic</w:t>
      </w:r>
      <w:proofErr w:type="spellEnd"/>
      <w:r>
        <w:t xml:space="preserve">, watery </w:t>
      </w:r>
      <w:proofErr w:type="spellStart"/>
      <w:r>
        <w:t>diarrhoea</w:t>
      </w:r>
      <w:proofErr w:type="spellEnd"/>
      <w:r>
        <w:t>, dull, diffuse to colicky abdominal pain, fever, occasionally tenesmus), which may be life-threatening. In these cases, Benzylpenicillin must therefore be discontinued immediately and treatment based on the identification of the pathogen initiated. Preparations that inhibit peristalsis are contraindicated.</w:t>
      </w:r>
    </w:p>
    <w:p w14:paraId="62A56B75" w14:textId="17BF64E7" w:rsidR="007F2B3F" w:rsidRDefault="007F2B3F" w:rsidP="007F2B3F">
      <w:pPr>
        <w:pStyle w:val="BodyTextSMPC"/>
        <w:jc w:val="thaiDistribute"/>
      </w:pPr>
      <w:r>
        <w:t xml:space="preserve">When treating Lyme borreliosis or syphilis, a </w:t>
      </w:r>
      <w:proofErr w:type="spellStart"/>
      <w:r>
        <w:t>Jarisch</w:t>
      </w:r>
      <w:proofErr w:type="spellEnd"/>
      <w:r>
        <w:t xml:space="preserve">-Herxheimer reaction may occur as a result of the bactericidal action of penicillin on the pathogens, which is </w:t>
      </w:r>
      <w:proofErr w:type="spellStart"/>
      <w:r>
        <w:t>characterised</w:t>
      </w:r>
      <w:proofErr w:type="spellEnd"/>
      <w:r>
        <w:t xml:space="preserve"> by fever, chills, general symptoms and focal symptoms (mostly 2 to 12 hours after the initial dose). Patients should be informed that this is a usual transient sequela of antibiotic therapy. For the suppression or alleviation of a </w:t>
      </w:r>
      <w:proofErr w:type="spellStart"/>
      <w:r>
        <w:t>Jarisch</w:t>
      </w:r>
      <w:proofErr w:type="spellEnd"/>
      <w:r>
        <w:t>-Herxheimer reaction (see section 4.8), appropriate therapy should be instituted.</w:t>
      </w:r>
    </w:p>
    <w:p w14:paraId="639A9B97" w14:textId="0E024F26" w:rsidR="007F2B3F" w:rsidRDefault="007F2B3F" w:rsidP="007F2B3F">
      <w:pPr>
        <w:pStyle w:val="BodyTextSMPC"/>
        <w:jc w:val="thaiDistribute"/>
      </w:pPr>
      <w:r>
        <w:t>For conditions such as severe pneumonia, empyema, sepsis, meningitis or peritonitis, which require higher serum penicillin levels, treatment with the water-soluble alkali salt of benzylpenicillin should be instituted.</w:t>
      </w:r>
    </w:p>
    <w:p w14:paraId="3E070924" w14:textId="09A327CB" w:rsidR="007F2B3F" w:rsidRDefault="007F2B3F" w:rsidP="007F2B3F">
      <w:pPr>
        <w:pStyle w:val="BodyTextSMPC"/>
        <w:jc w:val="thaiDistribute"/>
      </w:pPr>
      <w:r>
        <w:t>If neurological involvement cannot be excluded in patients with congenital syphilis, forms of penicillin reaching a higher level in cerebrospinal fluid should be used.</w:t>
      </w:r>
    </w:p>
    <w:p w14:paraId="402A3752" w14:textId="533A590F" w:rsidR="007F2B3F" w:rsidRDefault="007F2B3F" w:rsidP="007F2B3F">
      <w:pPr>
        <w:pStyle w:val="BodyTextSMPC"/>
        <w:jc w:val="thaiDistribute"/>
      </w:pPr>
      <w:r>
        <w:t>Severe local reactions can occur with intramuscular administration to infants. If possible, intravenous therapy should be performed.</w:t>
      </w:r>
    </w:p>
    <w:p w14:paraId="451602B1" w14:textId="007764C7" w:rsidR="007F2B3F" w:rsidRDefault="007F2B3F" w:rsidP="007F2B3F">
      <w:pPr>
        <w:pStyle w:val="BodyTextSMPC"/>
        <w:jc w:val="thaiDistribute"/>
      </w:pPr>
      <w:r>
        <w:lastRenderedPageBreak/>
        <w:t>When intravenously administering very high doses (above 6000 mg/day), the administration site should be alternated every other day to avoid superinfections and thrombophlebitis.</w:t>
      </w:r>
    </w:p>
    <w:p w14:paraId="4D479E67" w14:textId="7F61CEFA" w:rsidR="007F2B3F" w:rsidRDefault="007F2B3F" w:rsidP="007F2B3F">
      <w:pPr>
        <w:pStyle w:val="BodyTextSMPC"/>
        <w:jc w:val="thaiDistribute"/>
      </w:pPr>
      <w:r>
        <w:t>Due to possible electrolyte disturbances, Benzylpenicillin should be administered slowly with infusions of more than 6000 mg and, due to the possibility of seizure reactions, when administering more than 12000 mg (see section 4.8).</w:t>
      </w:r>
    </w:p>
    <w:p w14:paraId="185EAE45" w14:textId="664E3EDC" w:rsidR="007F2B3F" w:rsidRDefault="007F2B3F" w:rsidP="007F2B3F">
      <w:pPr>
        <w:pStyle w:val="BodyTextSMPC"/>
        <w:jc w:val="thaiDistribute"/>
      </w:pPr>
      <w:r>
        <w:t>In prolonged treatment (more than 5 days) with high penicillin doses, monitoring of the electrolyte balance, blood count monitoring and renal function tests are recommended.</w:t>
      </w:r>
    </w:p>
    <w:p w14:paraId="39362141" w14:textId="62CE74D5" w:rsidR="007F2B3F" w:rsidRDefault="007F2B3F" w:rsidP="007F2B3F">
      <w:pPr>
        <w:pStyle w:val="BodyTextSMPC"/>
        <w:jc w:val="thaiDistribute"/>
      </w:pPr>
      <w:r>
        <w:t>Effect on diagnostic laboratory procedures:</w:t>
      </w:r>
    </w:p>
    <w:p w14:paraId="4D101506" w14:textId="2564F356" w:rsidR="007F2B3F" w:rsidRDefault="007F2B3F" w:rsidP="007F2B3F">
      <w:pPr>
        <w:pStyle w:val="BodyTextSMPC"/>
        <w:jc w:val="thaiDistribute"/>
      </w:pPr>
      <w:r>
        <w:t xml:space="preserve">- A positive direct </w:t>
      </w:r>
      <w:proofErr w:type="spellStart"/>
      <w:r>
        <w:t>Coombs'</w:t>
      </w:r>
      <w:proofErr w:type="spellEnd"/>
      <w:r>
        <w:t xml:space="preserve"> test often develops (≥ 1% to &lt; 10%) in patients receiving 6000 mg benzylpenicillin or more per day. Upon discontinuation of the penicillin, the direct antiglobulin test may still remain positive for 6 to 8 weeks (see sections 4.5 and 4.8).</w:t>
      </w:r>
    </w:p>
    <w:p w14:paraId="2A0681B7" w14:textId="77777777" w:rsidR="007F2B3F" w:rsidRDefault="007F2B3F" w:rsidP="007F2B3F">
      <w:pPr>
        <w:pStyle w:val="BodyTextSMPC"/>
        <w:jc w:val="thaiDistribute"/>
      </w:pPr>
      <w:r>
        <w:t>- Determination of urinary protein using precipitation techniques (</w:t>
      </w:r>
      <w:proofErr w:type="spellStart"/>
      <w:r>
        <w:t>sulphosalicylic</w:t>
      </w:r>
      <w:proofErr w:type="spellEnd"/>
      <w:r>
        <w:t xml:space="preserve"> acid, trichloroacetic acid), the Folin-</w:t>
      </w:r>
      <w:proofErr w:type="spellStart"/>
      <w:r>
        <w:t>Ciocalteu</w:t>
      </w:r>
      <w:proofErr w:type="spellEnd"/>
      <w:r>
        <w:t>-Lowry method or the Biuret method may lead to false-positive results. Caution should therefore be exercised when interpreting the results of such tests in patients receiving Benzylpenicillin. Protein determination with test strips is not affected.</w:t>
      </w:r>
    </w:p>
    <w:p w14:paraId="06729F60" w14:textId="3043BEC5" w:rsidR="007F2B3F" w:rsidRDefault="007F2B3F" w:rsidP="007F2B3F">
      <w:pPr>
        <w:pStyle w:val="BodyTextSMPC"/>
        <w:jc w:val="thaiDistribute"/>
      </w:pPr>
      <w:r>
        <w:t>- E</w:t>
      </w:r>
      <w:r>
        <w:t>qually, urinary amino acid determination using the ninhydrin method may lead to false-positive results.</w:t>
      </w:r>
    </w:p>
    <w:p w14:paraId="48C26CF0" w14:textId="31FA48DC" w:rsidR="007F2B3F" w:rsidRDefault="007F2B3F" w:rsidP="007F2B3F">
      <w:pPr>
        <w:pStyle w:val="BodyTextSMPC"/>
        <w:jc w:val="thaiDistribute"/>
      </w:pPr>
      <w:r>
        <w:t xml:space="preserve">- </w:t>
      </w:r>
      <w:proofErr w:type="spellStart"/>
      <w:r>
        <w:t>Penicillins</w:t>
      </w:r>
      <w:proofErr w:type="spellEnd"/>
      <w:r>
        <w:t xml:space="preserve"> bind to albumin. In electrophoresis methods to determine albumin, </w:t>
      </w:r>
      <w:proofErr w:type="spellStart"/>
      <w:r>
        <w:t>pseudobisalbuminaemia</w:t>
      </w:r>
      <w:proofErr w:type="spellEnd"/>
      <w:r>
        <w:t xml:space="preserve"> may thereby be simulated.</w:t>
      </w:r>
    </w:p>
    <w:p w14:paraId="78D69B5A" w14:textId="69C9E9B9" w:rsidR="007F2B3F" w:rsidRDefault="007F2B3F" w:rsidP="007F2B3F">
      <w:pPr>
        <w:pStyle w:val="BodyTextSMPC"/>
        <w:jc w:val="thaiDistribute"/>
      </w:pPr>
      <w:r>
        <w:t>- During therapy with Benzylpenicillin, non-enzymatic urinary glucose detection and urobilinogen detection may prove false-positive. Enzymatic urine glucose tests should be used in patients on therapy with Benzylpenicillin, as these are not affected by this interaction.</w:t>
      </w:r>
    </w:p>
    <w:p w14:paraId="7BBDAB9B" w14:textId="702D6904" w:rsidR="001E1455" w:rsidRPr="007F2B3F" w:rsidRDefault="007F2B3F" w:rsidP="007F2B3F">
      <w:pPr>
        <w:pStyle w:val="BodyTextSMPC"/>
        <w:jc w:val="thaiDistribute"/>
        <w:rPr>
          <w:rFonts w:hint="cs"/>
          <w:cs/>
        </w:rPr>
      </w:pPr>
      <w:r>
        <w:t>- When determining 17-ketosteroids (using the Zimmermann reaction) in urine, increased values may occur during therapy with Benzylpenicillin.</w:t>
      </w:r>
    </w:p>
    <w:p w14:paraId="194CA827" w14:textId="0F363097" w:rsidR="001E1455" w:rsidRDefault="001E1455" w:rsidP="00B65CC5">
      <w:pPr>
        <w:pStyle w:val="BodyTextSMPC"/>
        <w:jc w:val="thaiDistribute"/>
        <w:rPr>
          <w:rFonts w:cstheme="minorBidi"/>
          <w:b/>
          <w:bCs/>
        </w:rPr>
      </w:pPr>
      <w:r w:rsidRPr="00B65CC5">
        <w:rPr>
          <w:rFonts w:cstheme="minorBidi"/>
          <w:b/>
          <w:bCs/>
        </w:rPr>
        <w:lastRenderedPageBreak/>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21202701" w14:textId="73DF9CB4" w:rsidR="004A5AB4" w:rsidRDefault="004A5AB4" w:rsidP="004A5AB4">
      <w:pPr>
        <w:pStyle w:val="BodyTextSMPC"/>
      </w:pPr>
      <w:r>
        <w:t>Concomitant administration of Benzylpenicillin is not recommended with:</w:t>
      </w:r>
    </w:p>
    <w:p w14:paraId="340B24BF" w14:textId="648BA345" w:rsidR="004A5AB4" w:rsidRDefault="004A5AB4" w:rsidP="004A5AB4">
      <w:pPr>
        <w:pStyle w:val="BodyTextSMPC"/>
      </w:pPr>
      <w:r>
        <w:t>Based on the general principle not to combine bactericidal and bacteriostatic antibiotics, Benzylpenicillin should not be combined with bacteriostatic antibiotics.</w:t>
      </w:r>
    </w:p>
    <w:p w14:paraId="11397539" w14:textId="5C036DE6" w:rsidR="004A5AB4" w:rsidRDefault="004A5AB4" w:rsidP="004A5AB4">
      <w:pPr>
        <w:pStyle w:val="BodyTextSMPC"/>
      </w:pPr>
      <w:r>
        <w:t>Mixed injections or infusions: To avoid undesirable chemical reactions, administration of mixed injections or infusions or of admixtures with solutions that contain carbohydrates such as glucose, should be avoided (see section 6.2).</w:t>
      </w:r>
    </w:p>
    <w:p w14:paraId="565A95C9" w14:textId="0A9BF69C" w:rsidR="004A5AB4" w:rsidRDefault="004A5AB4" w:rsidP="004A5AB4">
      <w:pPr>
        <w:pStyle w:val="BodyTextSMPC"/>
      </w:pPr>
      <w:r>
        <w:t>Caution is required when co-administering with:</w:t>
      </w:r>
    </w:p>
    <w:p w14:paraId="36D8CF22" w14:textId="1C508149" w:rsidR="004A5AB4" w:rsidRDefault="004A5AB4" w:rsidP="004A5AB4">
      <w:pPr>
        <w:pStyle w:val="BodyTextSMPC"/>
      </w:pPr>
      <w:r>
        <w:t xml:space="preserve">Probenecid: Administration of probenecid leads to an inhibition of the tubular secretion of benzylpenicillin, resulting in an increase in serum concentration and prolongation of the elimination half-life. </w:t>
      </w:r>
      <w:proofErr w:type="gramStart"/>
      <w:r>
        <w:t>Furthermore</w:t>
      </w:r>
      <w:proofErr w:type="gramEnd"/>
      <w:r>
        <w:t xml:space="preserve"> probenecid inhibits the penicillin transport from the cerebrospinal fluid, so that the concomitant administration of probenecid reduces the penetration of benzyl penicillin into brain tissue even further.</w:t>
      </w:r>
    </w:p>
    <w:p w14:paraId="2A14772F" w14:textId="577C935A" w:rsidR="004A5AB4" w:rsidRDefault="004A5AB4" w:rsidP="004A5AB4">
      <w:pPr>
        <w:pStyle w:val="BodyTextSMPC"/>
      </w:pPr>
      <w:r>
        <w:t>Anti-inflammatories, antirheumatics and antipyretics: When co-administering Benzylpenicillin with anti-inflammatories, antirheumatics or antipyretics (especially indomethacin, phenylbutazone, salicylates at high doses), it should be pointed out that excretion is competitively inhibited, resulting in an increase in serum concentration and prolongation of the elimination half-life.</w:t>
      </w:r>
    </w:p>
    <w:p w14:paraId="533CB08B" w14:textId="612DC89F" w:rsidR="004A5AB4" w:rsidRDefault="004A5AB4" w:rsidP="004A5AB4">
      <w:pPr>
        <w:pStyle w:val="BodyTextSMPC"/>
      </w:pPr>
      <w:r>
        <w:t>Digoxin: In patients on digoxin treatment, Benzylpenicillin should only be used with caution, as there is a risk of bradycardia as a result of interactions.</w:t>
      </w:r>
    </w:p>
    <w:p w14:paraId="6ED719E0" w14:textId="34766F4D" w:rsidR="004A5AB4" w:rsidRDefault="004A5AB4" w:rsidP="004A5AB4">
      <w:pPr>
        <w:pStyle w:val="BodyTextSMPC"/>
      </w:pPr>
      <w:r>
        <w:t xml:space="preserve">Methotrexate: When taken at the same time as Benzylpenicillin, the excretion of methotrexate is reduced. This can lead to increased methotrexate toxicity. Concomitant use of methotrexate and penicillin </w:t>
      </w:r>
      <w:r>
        <w:lastRenderedPageBreak/>
        <w:t>should be avoided if possible. If concomitant use is unavoidable, a reduction in the methotrexate dose should be considered and methotrexate serum levels should be monitored. The patient should be monitored for possible additional adverse reactions of methotrexate, including leukopenia, thrombocytopenia and skin suppuration.</w:t>
      </w:r>
    </w:p>
    <w:p w14:paraId="60A904FA" w14:textId="3E98BA42" w:rsidR="004A5AB4" w:rsidRDefault="004A5AB4" w:rsidP="004A5AB4">
      <w:pPr>
        <w:pStyle w:val="BodyTextSMPC"/>
      </w:pPr>
      <w:r>
        <w:t xml:space="preserve">Oral anticoagulants: Oral anticoagulants and penicillin antibiotics have been used extensively in practice without interactions. However, in the literature, there are reports of an increased number of patients who experienced a bleeding event when they were prescribed </w:t>
      </w:r>
      <w:proofErr w:type="spellStart"/>
      <w:r>
        <w:t>acenocoumarol</w:t>
      </w:r>
      <w:proofErr w:type="spellEnd"/>
      <w:r>
        <w:t xml:space="preserve"> or warfarin at the same time as penicillin. If concomitant use is required, the prothrombin time or other suitable coagulation parameters should be carefully monitored upon co-administration or discontinuation of penicillin. Furthermore, an adjustment of the oral anticoagulant dose may be necessary (see sections 4.4 and 4.8).</w:t>
      </w:r>
    </w:p>
    <w:p w14:paraId="1D6B33C4" w14:textId="042E554A" w:rsidR="004A5AB4" w:rsidRDefault="004A5AB4" w:rsidP="004A5AB4">
      <w:pPr>
        <w:pStyle w:val="BodyTextSMPC"/>
      </w:pPr>
      <w:r>
        <w:t>Synergism between antibiotics:</w:t>
      </w:r>
    </w:p>
    <w:p w14:paraId="0648F338" w14:textId="008AAD29" w:rsidR="004A5AB4" w:rsidRDefault="004A5AB4" w:rsidP="004A5AB4">
      <w:pPr>
        <w:pStyle w:val="BodyTextSMPC"/>
      </w:pPr>
      <w:r>
        <w:t>Benzylpenicillin should only be given in combination with other antibiotics if a synergistic or at least an additive effect is anticipated. In general, the individual components of a combination must be given at the full effective dose (exception: if synergism is proven, the dose of the more toxic combination partner can be reduced).</w:t>
      </w:r>
    </w:p>
    <w:p w14:paraId="2A2CD8A1" w14:textId="6321B6FD" w:rsidR="004A5AB4" w:rsidRDefault="004A5AB4" w:rsidP="004A5AB4">
      <w:pPr>
        <w:pStyle w:val="BodyTextSMPC"/>
      </w:pPr>
      <w:r>
        <w:t>If duly indicated, it should, in particular, be remembered that Benzylpenicillin can be combined with the following bactericidal antibiotics:</w:t>
      </w:r>
    </w:p>
    <w:p w14:paraId="50A3281E" w14:textId="1F75F17D" w:rsidR="004A5AB4" w:rsidRDefault="004A5AB4" w:rsidP="004A5AB4">
      <w:pPr>
        <w:pStyle w:val="BodyTextSMPC"/>
      </w:pPr>
      <w:r>
        <w:t xml:space="preserve">- </w:t>
      </w:r>
      <w:proofErr w:type="spellStart"/>
      <w:r>
        <w:t>isoxazolyl</w:t>
      </w:r>
      <w:proofErr w:type="spellEnd"/>
      <w:r>
        <w:t xml:space="preserve"> </w:t>
      </w:r>
      <w:proofErr w:type="spellStart"/>
      <w:r>
        <w:t>penicillins</w:t>
      </w:r>
      <w:proofErr w:type="spellEnd"/>
      <w:r>
        <w:t xml:space="preserve"> (e.g. flucloxacillin and other narrow-spectrum beta-lactams)</w:t>
      </w:r>
    </w:p>
    <w:p w14:paraId="1EE972B1" w14:textId="0ABE04BB" w:rsidR="004A5AB4" w:rsidRDefault="004A5AB4" w:rsidP="004A5AB4">
      <w:pPr>
        <w:pStyle w:val="BodyTextSMPC"/>
      </w:pPr>
      <w:r>
        <w:t>- aminopenicillins</w:t>
      </w:r>
    </w:p>
    <w:p w14:paraId="76D380C8" w14:textId="36C835E1" w:rsidR="004A5AB4" w:rsidRDefault="004A5AB4" w:rsidP="004A5AB4">
      <w:pPr>
        <w:pStyle w:val="BodyTextSMPC"/>
      </w:pPr>
      <w:r>
        <w:t>- aminoglycosides</w:t>
      </w:r>
    </w:p>
    <w:p w14:paraId="75F12885" w14:textId="0AA5B11F" w:rsidR="00227FD4" w:rsidRPr="006E7537" w:rsidRDefault="004A5AB4" w:rsidP="004A5AB4">
      <w:pPr>
        <w:pStyle w:val="BodyTextSMPC"/>
      </w:pPr>
      <w:r>
        <w:t xml:space="preserve">The above-mentioned </w:t>
      </w:r>
      <w:proofErr w:type="spellStart"/>
      <w:r>
        <w:t>penicillins</w:t>
      </w:r>
      <w:proofErr w:type="spellEnd"/>
      <w:r>
        <w:t xml:space="preserve"> are given by slow intravenous injection prior to the Benzylpenicillin infusion. Wherever possible, aminoglycosides should be given separately via the intramuscular route.</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67F216CC" w14:textId="2C25AD66" w:rsidR="004A5AB4" w:rsidRDefault="004A5AB4" w:rsidP="004A5AB4">
      <w:pPr>
        <w:pStyle w:val="BodyTextSMPC"/>
      </w:pPr>
      <w:r>
        <w:lastRenderedPageBreak/>
        <w:t xml:space="preserve">Benzylpenicillin crosses the placenta. 1-2 hours after administration, concentrations corresponding to those in maternal serum are reached in </w:t>
      </w:r>
      <w:proofErr w:type="spellStart"/>
      <w:r>
        <w:t>foetal</w:t>
      </w:r>
      <w:proofErr w:type="spellEnd"/>
      <w:r>
        <w:t xml:space="preserve"> serum. Studies in animals have shown no indications of direct or indirect health effects with regard to reproductive toxicity.</w:t>
      </w:r>
    </w:p>
    <w:p w14:paraId="2DCB59B5" w14:textId="3C79F23A" w:rsidR="004A5AB4" w:rsidRDefault="004A5AB4" w:rsidP="004A5AB4">
      <w:pPr>
        <w:pStyle w:val="BodyTextSMPC"/>
      </w:pPr>
      <w:r>
        <w:t>Benzylpenicillin may be used in pregnancy if duly indicated and after consideration of the benefits and risks.</w:t>
      </w:r>
    </w:p>
    <w:p w14:paraId="7C31E3E4" w14:textId="59CD182F" w:rsidR="00D32C40" w:rsidRDefault="004A5AB4" w:rsidP="004A5AB4">
      <w:pPr>
        <w:pStyle w:val="BodyTextSMPC"/>
      </w:pPr>
      <w:r>
        <w:t>Benzylpenicillin is not indicated during pregnancy for the treatment of syphilis</w:t>
      </w:r>
      <w:r w:rsidR="00D32C40">
        <w:t>.</w:t>
      </w:r>
    </w:p>
    <w:p w14:paraId="0F6D438F" w14:textId="21009765" w:rsidR="00D32C40" w:rsidRPr="00D32C40" w:rsidRDefault="00D32C40" w:rsidP="00D32C40">
      <w:pPr>
        <w:pStyle w:val="BodyTextSMPC"/>
        <w:rPr>
          <w:b/>
          <w:bCs/>
        </w:rPr>
      </w:pPr>
      <w:r w:rsidRPr="00D32C40">
        <w:rPr>
          <w:b/>
          <w:bCs/>
        </w:rPr>
        <w:t>Breast-feeding</w:t>
      </w:r>
    </w:p>
    <w:p w14:paraId="7F75DA51" w14:textId="74341EBB" w:rsidR="004A5AB4" w:rsidRDefault="004A5AB4" w:rsidP="004A5AB4">
      <w:pPr>
        <w:pStyle w:val="BodyTextSMPC"/>
      </w:pPr>
      <w:r>
        <w:t xml:space="preserve">Small amounts of </w:t>
      </w:r>
      <w:proofErr w:type="spellStart"/>
      <w:r>
        <w:t>penicillins</w:t>
      </w:r>
      <w:proofErr w:type="spellEnd"/>
      <w:r>
        <w:t xml:space="preserve"> appear in breast milk.</w:t>
      </w:r>
    </w:p>
    <w:p w14:paraId="6A9F4B79" w14:textId="55533564" w:rsidR="004A5AB4" w:rsidRDefault="004A5AB4" w:rsidP="004A5AB4">
      <w:pPr>
        <w:pStyle w:val="BodyTextSMPC"/>
      </w:pPr>
      <w:r>
        <w:t xml:space="preserve">Although no undesirable effects have been reported in breast-fed infants to date, the possibility of </w:t>
      </w:r>
      <w:proofErr w:type="spellStart"/>
      <w:r>
        <w:t>sensitisation</w:t>
      </w:r>
      <w:proofErr w:type="spellEnd"/>
      <w:r>
        <w:t xml:space="preserve"> or an adverse effect on the intestinal flora must nevertheless be considered.</w:t>
      </w:r>
    </w:p>
    <w:p w14:paraId="6DAB7900" w14:textId="08B2FAFB" w:rsidR="0076728F" w:rsidRDefault="004A5AB4" w:rsidP="004A5AB4">
      <w:pPr>
        <w:pStyle w:val="BodyTextSMPC"/>
      </w:pPr>
      <w:r>
        <w:t>In infants also fed on baby food, mothers should express and discard breast milk during treatment with Benzylpenicillin. Breast-feeding can be resumed 24 hours after the cessation of treatment</w:t>
      </w:r>
      <w:r w:rsidR="00D32C40">
        <w:t>.</w:t>
      </w:r>
    </w:p>
    <w:p w14:paraId="2ADADF99" w14:textId="77777777" w:rsidR="004A5AB4" w:rsidRDefault="004A5AB4" w:rsidP="004A5AB4">
      <w:pPr>
        <w:pStyle w:val="BodyTextSMPC"/>
        <w:rPr>
          <w:b/>
          <w:bCs/>
        </w:rPr>
      </w:pPr>
      <w:r w:rsidRPr="009D6FFD">
        <w:rPr>
          <w:b/>
          <w:bCs/>
        </w:rPr>
        <w:t>Fertility</w:t>
      </w:r>
    </w:p>
    <w:p w14:paraId="001B1AAC" w14:textId="5C7D7525" w:rsidR="004A5AB4" w:rsidRDefault="004A5AB4" w:rsidP="004A5AB4">
      <w:pPr>
        <w:pStyle w:val="BodyTextSMPC"/>
      </w:pPr>
      <w:r w:rsidRPr="004A5AB4">
        <w:t>No studies have been performed to investigate the effect of Benzylpenicillin on fertility</w:t>
      </w:r>
      <w:r w:rsidRPr="009D6FFD">
        <w:t>.</w:t>
      </w:r>
    </w:p>
    <w:p w14:paraId="6D62B196" w14:textId="223FFB6A" w:rsidR="00227FD4" w:rsidRPr="008F5678" w:rsidRDefault="00000000" w:rsidP="00671E86">
      <w:pPr>
        <w:pStyle w:val="SubHeafingSMPC"/>
      </w:pPr>
      <w:r w:rsidRPr="008F5678">
        <w:t xml:space="preserve">Effects on ability to drive and use machines </w:t>
      </w:r>
    </w:p>
    <w:p w14:paraId="79991FCC" w14:textId="3C5D2837" w:rsidR="006B41AF" w:rsidRDefault="006B41AF" w:rsidP="006B41AF">
      <w:pPr>
        <w:pStyle w:val="BodyTextSMPC"/>
      </w:pPr>
      <w:r>
        <w:t>Generally, Benzylpenicillin has no influence on the ability to concentrate and react.</w:t>
      </w:r>
    </w:p>
    <w:p w14:paraId="7E43B901" w14:textId="79567A04" w:rsidR="00227FD4" w:rsidRPr="009D6FFD" w:rsidRDefault="006B41AF" w:rsidP="006B41AF">
      <w:pPr>
        <w:pStyle w:val="BodyTextSMPC"/>
      </w:pPr>
      <w:r>
        <w:t>Due to the occurrence of possible serious undesirable effects (e.g. anaphylactic shock with collapse and anaphylactoid reactions, see also section 4.8), Benzylpenicillin can have an influence on the ability to drive and use machines.</w:t>
      </w:r>
    </w:p>
    <w:p w14:paraId="071D62C3" w14:textId="1176E362" w:rsidR="00227FD4" w:rsidRPr="008F5678" w:rsidRDefault="00000000" w:rsidP="00671E86">
      <w:pPr>
        <w:pStyle w:val="SubHeafingSMPC"/>
      </w:pPr>
      <w:r w:rsidRPr="008F5678">
        <w:t xml:space="preserve">Undesirable effects </w:t>
      </w:r>
    </w:p>
    <w:p w14:paraId="48042B67" w14:textId="6046F1D4" w:rsidR="006B41AF" w:rsidRDefault="006B41AF" w:rsidP="009D6FFD">
      <w:pPr>
        <w:pStyle w:val="BodyTextSMPC"/>
      </w:pPr>
      <w:r w:rsidRPr="006B41AF">
        <w:t>Undesirable effects are ranked according to body system and frequency according to the following classification:</w:t>
      </w:r>
    </w:p>
    <w:p w14:paraId="47289EE7" w14:textId="77777777" w:rsidR="006B41AF" w:rsidRDefault="006B41AF" w:rsidP="006B41AF">
      <w:pPr>
        <w:pStyle w:val="BodyTextSMPC"/>
      </w:pPr>
      <w:r>
        <w:t>Very common (≥1/10)</w:t>
      </w:r>
    </w:p>
    <w:p w14:paraId="7C64EBB1" w14:textId="77777777" w:rsidR="006B41AF" w:rsidRDefault="006B41AF" w:rsidP="006B41AF">
      <w:pPr>
        <w:pStyle w:val="BodyTextSMPC"/>
      </w:pPr>
      <w:r>
        <w:lastRenderedPageBreak/>
        <w:t xml:space="preserve">Common (≥1/100 to &lt;1/10) </w:t>
      </w:r>
    </w:p>
    <w:p w14:paraId="46B2D518" w14:textId="77777777" w:rsidR="006B41AF" w:rsidRDefault="006B41AF" w:rsidP="006B41AF">
      <w:pPr>
        <w:pStyle w:val="BodyTextSMPC"/>
      </w:pPr>
      <w:r>
        <w:t xml:space="preserve">Uncommon (≥1/1,000 to &lt;1/100) </w:t>
      </w:r>
    </w:p>
    <w:p w14:paraId="55A5D3DB" w14:textId="77777777" w:rsidR="006B41AF" w:rsidRDefault="006B41AF" w:rsidP="006B41AF">
      <w:pPr>
        <w:pStyle w:val="BodyTextSMPC"/>
      </w:pPr>
      <w:r>
        <w:t>Rare (≥1/10,000 to &lt;1/1,000)</w:t>
      </w:r>
    </w:p>
    <w:p w14:paraId="55BD661A" w14:textId="77777777" w:rsidR="006B41AF" w:rsidRDefault="006B41AF" w:rsidP="006B41AF">
      <w:pPr>
        <w:pStyle w:val="BodyTextSMPC"/>
      </w:pPr>
      <w:r>
        <w:t>Very rare (&lt;1/10,000)</w:t>
      </w:r>
    </w:p>
    <w:p w14:paraId="4046CB37" w14:textId="5E02E2B6" w:rsidR="006B41AF" w:rsidRDefault="006B41AF" w:rsidP="006B41AF">
      <w:pPr>
        <w:pStyle w:val="BodyTextSMPC"/>
      </w:pPr>
      <w:r>
        <w:t>Not known (cannot be estimated from the available data).</w:t>
      </w:r>
    </w:p>
    <w:tbl>
      <w:tblPr>
        <w:tblW w:w="9072" w:type="dxa"/>
        <w:tblCellSpacing w:w="0" w:type="dxa"/>
        <w:tblInd w:w="41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60"/>
        <w:gridCol w:w="1559"/>
        <w:gridCol w:w="1419"/>
        <w:gridCol w:w="1415"/>
        <w:gridCol w:w="1560"/>
        <w:gridCol w:w="1559"/>
      </w:tblGrid>
      <w:tr w:rsidR="00316A60" w:rsidRPr="00316A60" w14:paraId="253CAD1A" w14:textId="77777777" w:rsidTr="00016076">
        <w:trPr>
          <w:tblCellSpacing w:w="0" w:type="dxa"/>
        </w:trPr>
        <w:tc>
          <w:tcPr>
            <w:tcW w:w="859" w:type="pct"/>
            <w:tcBorders>
              <w:top w:val="outset" w:sz="6" w:space="0" w:color="auto"/>
              <w:left w:val="outset" w:sz="6" w:space="0" w:color="auto"/>
              <w:bottom w:val="outset" w:sz="6" w:space="0" w:color="auto"/>
              <w:right w:val="outset" w:sz="6" w:space="0" w:color="auto"/>
            </w:tcBorders>
            <w:hideMark/>
          </w:tcPr>
          <w:p w14:paraId="57345D68" w14:textId="77777777" w:rsidR="00316A60" w:rsidRPr="00316A60" w:rsidRDefault="00316A60" w:rsidP="00016076">
            <w:pPr>
              <w:pStyle w:val="BodyTextSMPC"/>
              <w:spacing w:after="0"/>
              <w:ind w:left="0"/>
              <w:jc w:val="center"/>
              <w:rPr>
                <w:sz w:val="22"/>
                <w:szCs w:val="22"/>
              </w:rPr>
            </w:pPr>
            <w:r w:rsidRPr="00316A60">
              <w:rPr>
                <w:b/>
                <w:bCs/>
                <w:sz w:val="22"/>
                <w:szCs w:val="22"/>
              </w:rPr>
              <w:t>System Organ Class (MedDRA)</w:t>
            </w:r>
          </w:p>
        </w:tc>
        <w:tc>
          <w:tcPr>
            <w:tcW w:w="859" w:type="pct"/>
            <w:tcBorders>
              <w:top w:val="outset" w:sz="6" w:space="0" w:color="auto"/>
              <w:left w:val="outset" w:sz="6" w:space="0" w:color="auto"/>
              <w:bottom w:val="outset" w:sz="6" w:space="0" w:color="auto"/>
              <w:right w:val="outset" w:sz="6" w:space="0" w:color="auto"/>
            </w:tcBorders>
            <w:hideMark/>
          </w:tcPr>
          <w:p w14:paraId="0EF033E7" w14:textId="77777777" w:rsidR="00316A60" w:rsidRPr="00316A60" w:rsidRDefault="00316A60" w:rsidP="00016076">
            <w:pPr>
              <w:pStyle w:val="BodyTextSMPC"/>
              <w:spacing w:after="0"/>
              <w:ind w:left="0"/>
              <w:jc w:val="center"/>
              <w:rPr>
                <w:sz w:val="22"/>
                <w:szCs w:val="22"/>
              </w:rPr>
            </w:pPr>
            <w:r w:rsidRPr="00316A60">
              <w:rPr>
                <w:b/>
                <w:bCs/>
                <w:sz w:val="22"/>
                <w:szCs w:val="22"/>
              </w:rPr>
              <w:t>Common</w:t>
            </w:r>
          </w:p>
        </w:tc>
        <w:tc>
          <w:tcPr>
            <w:tcW w:w="782" w:type="pct"/>
            <w:tcBorders>
              <w:top w:val="outset" w:sz="6" w:space="0" w:color="auto"/>
              <w:left w:val="outset" w:sz="6" w:space="0" w:color="auto"/>
              <w:bottom w:val="outset" w:sz="6" w:space="0" w:color="auto"/>
              <w:right w:val="outset" w:sz="6" w:space="0" w:color="auto"/>
            </w:tcBorders>
            <w:hideMark/>
          </w:tcPr>
          <w:p w14:paraId="3003E595" w14:textId="77777777" w:rsidR="00316A60" w:rsidRPr="00316A60" w:rsidRDefault="00316A60" w:rsidP="00016076">
            <w:pPr>
              <w:pStyle w:val="BodyTextSMPC"/>
              <w:spacing w:after="0"/>
              <w:ind w:left="0"/>
              <w:jc w:val="center"/>
              <w:rPr>
                <w:sz w:val="22"/>
                <w:szCs w:val="22"/>
              </w:rPr>
            </w:pPr>
            <w:r w:rsidRPr="00316A60">
              <w:rPr>
                <w:b/>
                <w:bCs/>
                <w:sz w:val="22"/>
                <w:szCs w:val="22"/>
              </w:rPr>
              <w:t>Uncommon</w:t>
            </w:r>
          </w:p>
        </w:tc>
        <w:tc>
          <w:tcPr>
            <w:tcW w:w="780" w:type="pct"/>
            <w:tcBorders>
              <w:top w:val="outset" w:sz="6" w:space="0" w:color="auto"/>
              <w:left w:val="outset" w:sz="6" w:space="0" w:color="auto"/>
              <w:bottom w:val="outset" w:sz="6" w:space="0" w:color="auto"/>
              <w:right w:val="outset" w:sz="6" w:space="0" w:color="auto"/>
            </w:tcBorders>
            <w:hideMark/>
          </w:tcPr>
          <w:p w14:paraId="208B559B" w14:textId="77777777" w:rsidR="00316A60" w:rsidRPr="00316A60" w:rsidRDefault="00316A60" w:rsidP="00016076">
            <w:pPr>
              <w:pStyle w:val="BodyTextSMPC"/>
              <w:spacing w:after="0"/>
              <w:ind w:left="0"/>
              <w:jc w:val="center"/>
              <w:rPr>
                <w:sz w:val="22"/>
                <w:szCs w:val="22"/>
              </w:rPr>
            </w:pPr>
            <w:r w:rsidRPr="00316A60">
              <w:rPr>
                <w:b/>
                <w:bCs/>
                <w:sz w:val="22"/>
                <w:szCs w:val="22"/>
              </w:rPr>
              <w:t>Rare</w:t>
            </w:r>
          </w:p>
        </w:tc>
        <w:tc>
          <w:tcPr>
            <w:tcW w:w="860" w:type="pct"/>
            <w:tcBorders>
              <w:top w:val="outset" w:sz="6" w:space="0" w:color="auto"/>
              <w:left w:val="outset" w:sz="6" w:space="0" w:color="auto"/>
              <w:bottom w:val="outset" w:sz="6" w:space="0" w:color="auto"/>
              <w:right w:val="outset" w:sz="6" w:space="0" w:color="auto"/>
            </w:tcBorders>
            <w:hideMark/>
          </w:tcPr>
          <w:p w14:paraId="1C5FD1EF" w14:textId="77777777" w:rsidR="00316A60" w:rsidRPr="00316A60" w:rsidRDefault="00316A60" w:rsidP="00016076">
            <w:pPr>
              <w:pStyle w:val="BodyTextSMPC"/>
              <w:spacing w:after="0"/>
              <w:ind w:left="0"/>
              <w:jc w:val="center"/>
              <w:rPr>
                <w:sz w:val="22"/>
                <w:szCs w:val="22"/>
              </w:rPr>
            </w:pPr>
            <w:r w:rsidRPr="00316A60">
              <w:rPr>
                <w:b/>
                <w:bCs/>
                <w:sz w:val="22"/>
                <w:szCs w:val="22"/>
              </w:rPr>
              <w:t>Very rare</w:t>
            </w:r>
          </w:p>
        </w:tc>
        <w:tc>
          <w:tcPr>
            <w:tcW w:w="859" w:type="pct"/>
            <w:tcBorders>
              <w:top w:val="outset" w:sz="6" w:space="0" w:color="auto"/>
              <w:left w:val="outset" w:sz="6" w:space="0" w:color="auto"/>
              <w:bottom w:val="outset" w:sz="6" w:space="0" w:color="auto"/>
              <w:right w:val="outset" w:sz="6" w:space="0" w:color="auto"/>
            </w:tcBorders>
            <w:hideMark/>
          </w:tcPr>
          <w:p w14:paraId="23058143" w14:textId="77777777" w:rsidR="00316A60" w:rsidRPr="00316A60" w:rsidRDefault="00316A60" w:rsidP="00016076">
            <w:pPr>
              <w:pStyle w:val="BodyTextSMPC"/>
              <w:spacing w:after="0"/>
              <w:ind w:left="0"/>
              <w:jc w:val="center"/>
              <w:rPr>
                <w:sz w:val="22"/>
                <w:szCs w:val="22"/>
              </w:rPr>
            </w:pPr>
            <w:r w:rsidRPr="00316A60">
              <w:rPr>
                <w:b/>
                <w:bCs/>
                <w:sz w:val="22"/>
                <w:szCs w:val="22"/>
              </w:rPr>
              <w:t>Not known</w:t>
            </w:r>
          </w:p>
        </w:tc>
      </w:tr>
      <w:tr w:rsidR="00316A60" w:rsidRPr="00316A60" w14:paraId="46912D39" w14:textId="77777777" w:rsidTr="00016076">
        <w:trPr>
          <w:tblCellSpacing w:w="0" w:type="dxa"/>
        </w:trPr>
        <w:tc>
          <w:tcPr>
            <w:tcW w:w="859" w:type="pct"/>
            <w:tcBorders>
              <w:top w:val="outset" w:sz="6" w:space="0" w:color="auto"/>
              <w:left w:val="outset" w:sz="6" w:space="0" w:color="auto"/>
              <w:bottom w:val="outset" w:sz="6" w:space="0" w:color="auto"/>
              <w:right w:val="outset" w:sz="6" w:space="0" w:color="auto"/>
            </w:tcBorders>
            <w:hideMark/>
          </w:tcPr>
          <w:p w14:paraId="23C9760B" w14:textId="77777777" w:rsidR="00316A60" w:rsidRPr="00316A60" w:rsidRDefault="00316A60" w:rsidP="00016076">
            <w:pPr>
              <w:pStyle w:val="BodyTextSMPC"/>
              <w:spacing w:after="0"/>
              <w:ind w:left="0"/>
              <w:jc w:val="center"/>
              <w:rPr>
                <w:sz w:val="22"/>
                <w:szCs w:val="22"/>
              </w:rPr>
            </w:pPr>
            <w:r w:rsidRPr="00316A60">
              <w:rPr>
                <w:b/>
                <w:bCs/>
                <w:i/>
                <w:iCs/>
                <w:sz w:val="22"/>
                <w:szCs w:val="22"/>
              </w:rPr>
              <w:t>Blood and lymphatic system disorders</w:t>
            </w:r>
          </w:p>
        </w:tc>
        <w:tc>
          <w:tcPr>
            <w:tcW w:w="859" w:type="pct"/>
            <w:tcBorders>
              <w:top w:val="outset" w:sz="6" w:space="0" w:color="auto"/>
              <w:left w:val="outset" w:sz="6" w:space="0" w:color="auto"/>
              <w:bottom w:val="outset" w:sz="6" w:space="0" w:color="auto"/>
              <w:right w:val="outset" w:sz="6" w:space="0" w:color="auto"/>
            </w:tcBorders>
            <w:hideMark/>
          </w:tcPr>
          <w:p w14:paraId="02C2554C" w14:textId="77777777" w:rsidR="00316A60" w:rsidRPr="00316A60" w:rsidRDefault="00316A60" w:rsidP="00016076">
            <w:pPr>
              <w:pStyle w:val="BodyTextSMPC"/>
              <w:spacing w:after="0"/>
              <w:ind w:left="0"/>
              <w:jc w:val="center"/>
              <w:rPr>
                <w:sz w:val="22"/>
                <w:szCs w:val="22"/>
              </w:rPr>
            </w:pPr>
          </w:p>
        </w:tc>
        <w:tc>
          <w:tcPr>
            <w:tcW w:w="782" w:type="pct"/>
            <w:tcBorders>
              <w:top w:val="outset" w:sz="6" w:space="0" w:color="auto"/>
              <w:left w:val="outset" w:sz="6" w:space="0" w:color="auto"/>
              <w:bottom w:val="outset" w:sz="6" w:space="0" w:color="auto"/>
              <w:right w:val="outset" w:sz="6" w:space="0" w:color="auto"/>
            </w:tcBorders>
            <w:hideMark/>
          </w:tcPr>
          <w:p w14:paraId="744EFB28" w14:textId="77777777" w:rsidR="00316A60" w:rsidRPr="00316A60" w:rsidRDefault="00316A60" w:rsidP="00016076">
            <w:pPr>
              <w:pStyle w:val="BodyTextSMPC"/>
              <w:spacing w:after="0"/>
              <w:ind w:left="0"/>
              <w:jc w:val="center"/>
              <w:rPr>
                <w:sz w:val="22"/>
                <w:szCs w:val="22"/>
              </w:rPr>
            </w:pPr>
          </w:p>
        </w:tc>
        <w:tc>
          <w:tcPr>
            <w:tcW w:w="780" w:type="pct"/>
            <w:tcBorders>
              <w:top w:val="outset" w:sz="6" w:space="0" w:color="auto"/>
              <w:left w:val="outset" w:sz="6" w:space="0" w:color="auto"/>
              <w:bottom w:val="outset" w:sz="6" w:space="0" w:color="auto"/>
              <w:right w:val="outset" w:sz="6" w:space="0" w:color="auto"/>
            </w:tcBorders>
            <w:hideMark/>
          </w:tcPr>
          <w:p w14:paraId="1506105E" w14:textId="77777777" w:rsidR="00316A60" w:rsidRPr="00316A60" w:rsidRDefault="00316A60" w:rsidP="00016076">
            <w:pPr>
              <w:pStyle w:val="BodyTextSMPC"/>
              <w:spacing w:after="0"/>
              <w:ind w:left="0"/>
              <w:jc w:val="center"/>
              <w:rPr>
                <w:sz w:val="22"/>
                <w:szCs w:val="22"/>
              </w:rPr>
            </w:pPr>
          </w:p>
        </w:tc>
        <w:tc>
          <w:tcPr>
            <w:tcW w:w="860" w:type="pct"/>
            <w:tcBorders>
              <w:top w:val="outset" w:sz="6" w:space="0" w:color="auto"/>
              <w:left w:val="outset" w:sz="6" w:space="0" w:color="auto"/>
              <w:bottom w:val="outset" w:sz="6" w:space="0" w:color="auto"/>
              <w:right w:val="outset" w:sz="6" w:space="0" w:color="auto"/>
            </w:tcBorders>
            <w:hideMark/>
          </w:tcPr>
          <w:p w14:paraId="24AEA0AB" w14:textId="77777777" w:rsidR="00316A60" w:rsidRPr="00316A60" w:rsidRDefault="00316A60" w:rsidP="00016076">
            <w:pPr>
              <w:pStyle w:val="BodyTextSMPC"/>
              <w:spacing w:after="0"/>
              <w:ind w:left="0"/>
              <w:jc w:val="center"/>
              <w:rPr>
                <w:sz w:val="22"/>
                <w:szCs w:val="22"/>
              </w:rPr>
            </w:pPr>
            <w:r w:rsidRPr="00316A60">
              <w:rPr>
                <w:sz w:val="22"/>
                <w:szCs w:val="22"/>
              </w:rPr>
              <w:t xml:space="preserve">Eosinophilia, leucopenia, neutropenia, granulocytopenia, agranulocytosis, pancytopenia, </w:t>
            </w:r>
            <w:proofErr w:type="spellStart"/>
            <w:r w:rsidRPr="00316A60">
              <w:rPr>
                <w:sz w:val="22"/>
                <w:szCs w:val="22"/>
              </w:rPr>
              <w:t>haemolytic</w:t>
            </w:r>
            <w:proofErr w:type="spellEnd"/>
            <w:r w:rsidRPr="00316A60">
              <w:rPr>
                <w:sz w:val="22"/>
                <w:szCs w:val="22"/>
              </w:rPr>
              <w:t xml:space="preserve"> </w:t>
            </w:r>
            <w:proofErr w:type="spellStart"/>
            <w:r w:rsidRPr="00316A60">
              <w:rPr>
                <w:sz w:val="22"/>
                <w:szCs w:val="22"/>
              </w:rPr>
              <w:t>anaemia</w:t>
            </w:r>
            <w:proofErr w:type="spellEnd"/>
            <w:r w:rsidRPr="00316A60">
              <w:rPr>
                <w:sz w:val="22"/>
                <w:szCs w:val="22"/>
              </w:rPr>
              <w:t>, coagulation disorders</w:t>
            </w:r>
          </w:p>
        </w:tc>
        <w:tc>
          <w:tcPr>
            <w:tcW w:w="859" w:type="pct"/>
            <w:tcBorders>
              <w:top w:val="outset" w:sz="6" w:space="0" w:color="auto"/>
              <w:left w:val="outset" w:sz="6" w:space="0" w:color="auto"/>
              <w:bottom w:val="outset" w:sz="6" w:space="0" w:color="auto"/>
              <w:right w:val="outset" w:sz="6" w:space="0" w:color="auto"/>
            </w:tcBorders>
            <w:hideMark/>
          </w:tcPr>
          <w:p w14:paraId="5A5694A4" w14:textId="77777777" w:rsidR="00316A60" w:rsidRPr="00316A60" w:rsidRDefault="00316A60" w:rsidP="00016076">
            <w:pPr>
              <w:pStyle w:val="BodyTextSMPC"/>
              <w:spacing w:after="0"/>
              <w:ind w:left="0"/>
              <w:jc w:val="center"/>
              <w:rPr>
                <w:sz w:val="22"/>
                <w:szCs w:val="22"/>
              </w:rPr>
            </w:pPr>
            <w:r w:rsidRPr="00316A60">
              <w:rPr>
                <w:sz w:val="22"/>
                <w:szCs w:val="22"/>
              </w:rPr>
              <w:t>Prolongation of the bleeding time and prothrombin time (see section 4.4), thrombocytopenia</w:t>
            </w:r>
          </w:p>
        </w:tc>
      </w:tr>
      <w:tr w:rsidR="00316A60" w:rsidRPr="00316A60" w14:paraId="5F2B6C7D" w14:textId="77777777" w:rsidTr="00016076">
        <w:trPr>
          <w:tblCellSpacing w:w="0" w:type="dxa"/>
        </w:trPr>
        <w:tc>
          <w:tcPr>
            <w:tcW w:w="859" w:type="pct"/>
            <w:tcBorders>
              <w:top w:val="outset" w:sz="6" w:space="0" w:color="auto"/>
              <w:left w:val="outset" w:sz="6" w:space="0" w:color="auto"/>
              <w:bottom w:val="outset" w:sz="6" w:space="0" w:color="auto"/>
              <w:right w:val="outset" w:sz="6" w:space="0" w:color="auto"/>
            </w:tcBorders>
            <w:hideMark/>
          </w:tcPr>
          <w:p w14:paraId="4A80AEC9" w14:textId="77777777" w:rsidR="00316A60" w:rsidRPr="00316A60" w:rsidRDefault="00316A60" w:rsidP="00016076">
            <w:pPr>
              <w:pStyle w:val="BodyTextSMPC"/>
              <w:spacing w:after="0"/>
              <w:ind w:left="0"/>
              <w:jc w:val="center"/>
              <w:rPr>
                <w:sz w:val="22"/>
                <w:szCs w:val="22"/>
              </w:rPr>
            </w:pPr>
            <w:r w:rsidRPr="00316A60">
              <w:rPr>
                <w:b/>
                <w:bCs/>
                <w:i/>
                <w:iCs/>
                <w:sz w:val="22"/>
                <w:szCs w:val="22"/>
              </w:rPr>
              <w:t>Immune system disorders</w:t>
            </w:r>
          </w:p>
        </w:tc>
        <w:tc>
          <w:tcPr>
            <w:tcW w:w="859" w:type="pct"/>
            <w:tcBorders>
              <w:top w:val="outset" w:sz="6" w:space="0" w:color="auto"/>
              <w:left w:val="outset" w:sz="6" w:space="0" w:color="auto"/>
              <w:bottom w:val="outset" w:sz="6" w:space="0" w:color="auto"/>
              <w:right w:val="outset" w:sz="6" w:space="0" w:color="auto"/>
            </w:tcBorders>
            <w:hideMark/>
          </w:tcPr>
          <w:p w14:paraId="45BE2F02" w14:textId="77777777" w:rsidR="00316A60" w:rsidRPr="00316A60" w:rsidRDefault="00316A60" w:rsidP="00016076">
            <w:pPr>
              <w:pStyle w:val="BodyTextSMPC"/>
              <w:spacing w:after="0"/>
              <w:ind w:left="0"/>
              <w:jc w:val="center"/>
              <w:rPr>
                <w:sz w:val="22"/>
                <w:szCs w:val="22"/>
              </w:rPr>
            </w:pPr>
          </w:p>
        </w:tc>
        <w:tc>
          <w:tcPr>
            <w:tcW w:w="782" w:type="pct"/>
            <w:tcBorders>
              <w:top w:val="outset" w:sz="6" w:space="0" w:color="auto"/>
              <w:left w:val="outset" w:sz="6" w:space="0" w:color="auto"/>
              <w:bottom w:val="outset" w:sz="6" w:space="0" w:color="auto"/>
              <w:right w:val="outset" w:sz="6" w:space="0" w:color="auto"/>
            </w:tcBorders>
            <w:hideMark/>
          </w:tcPr>
          <w:p w14:paraId="2C1E3F56" w14:textId="77777777" w:rsidR="00316A60" w:rsidRPr="00316A60" w:rsidRDefault="00316A60" w:rsidP="00016076">
            <w:pPr>
              <w:pStyle w:val="BodyTextSMPC"/>
              <w:spacing w:after="0"/>
              <w:ind w:left="0"/>
              <w:jc w:val="center"/>
              <w:rPr>
                <w:sz w:val="22"/>
                <w:szCs w:val="22"/>
              </w:rPr>
            </w:pPr>
            <w:r w:rsidRPr="00316A60">
              <w:rPr>
                <w:sz w:val="22"/>
                <w:szCs w:val="22"/>
              </w:rPr>
              <w:t xml:space="preserve">Allergic reactions: urticaria, erythema multiforme, exfoliative dermatitis, fever, arthralgia, anaphylaxis or anaphylactoid reactions (asthma, purpura, gastrointestinal symptoms). Para-allergic reactions may occur in patients with dermatomycoses, as there may be common </w:t>
            </w:r>
            <w:r w:rsidRPr="00316A60">
              <w:rPr>
                <w:sz w:val="22"/>
                <w:szCs w:val="22"/>
              </w:rPr>
              <w:lastRenderedPageBreak/>
              <w:t xml:space="preserve">antigenicity between </w:t>
            </w:r>
            <w:proofErr w:type="spellStart"/>
            <w:r w:rsidRPr="00316A60">
              <w:rPr>
                <w:sz w:val="22"/>
                <w:szCs w:val="22"/>
              </w:rPr>
              <w:t>penicillins</w:t>
            </w:r>
            <w:proofErr w:type="spellEnd"/>
            <w:r w:rsidRPr="00316A60">
              <w:rPr>
                <w:sz w:val="22"/>
                <w:szCs w:val="22"/>
              </w:rPr>
              <w:t xml:space="preserve"> and metabolic products of dermatophytes.</w:t>
            </w:r>
          </w:p>
        </w:tc>
        <w:tc>
          <w:tcPr>
            <w:tcW w:w="780" w:type="pct"/>
            <w:tcBorders>
              <w:top w:val="outset" w:sz="6" w:space="0" w:color="auto"/>
              <w:left w:val="outset" w:sz="6" w:space="0" w:color="auto"/>
              <w:bottom w:val="outset" w:sz="6" w:space="0" w:color="auto"/>
              <w:right w:val="outset" w:sz="6" w:space="0" w:color="auto"/>
            </w:tcBorders>
            <w:hideMark/>
          </w:tcPr>
          <w:p w14:paraId="1F709764" w14:textId="77777777" w:rsidR="00316A60" w:rsidRPr="00316A60" w:rsidRDefault="00316A60" w:rsidP="00016076">
            <w:pPr>
              <w:pStyle w:val="BodyTextSMPC"/>
              <w:spacing w:after="0"/>
              <w:ind w:left="0"/>
              <w:jc w:val="center"/>
              <w:rPr>
                <w:sz w:val="22"/>
                <w:szCs w:val="22"/>
              </w:rPr>
            </w:pPr>
          </w:p>
        </w:tc>
        <w:tc>
          <w:tcPr>
            <w:tcW w:w="860" w:type="pct"/>
            <w:tcBorders>
              <w:top w:val="outset" w:sz="6" w:space="0" w:color="auto"/>
              <w:left w:val="outset" w:sz="6" w:space="0" w:color="auto"/>
              <w:bottom w:val="outset" w:sz="6" w:space="0" w:color="auto"/>
              <w:right w:val="outset" w:sz="6" w:space="0" w:color="auto"/>
            </w:tcBorders>
            <w:hideMark/>
          </w:tcPr>
          <w:p w14:paraId="3D6CA64E" w14:textId="77777777" w:rsidR="00316A60" w:rsidRPr="00316A60" w:rsidRDefault="00316A60" w:rsidP="00016076">
            <w:pPr>
              <w:pStyle w:val="BodyTextSMPC"/>
              <w:spacing w:after="0"/>
              <w:ind w:left="0"/>
              <w:jc w:val="center"/>
              <w:rPr>
                <w:sz w:val="22"/>
                <w:szCs w:val="22"/>
              </w:rPr>
            </w:pPr>
          </w:p>
        </w:tc>
        <w:tc>
          <w:tcPr>
            <w:tcW w:w="859" w:type="pct"/>
            <w:tcBorders>
              <w:top w:val="outset" w:sz="6" w:space="0" w:color="auto"/>
              <w:left w:val="outset" w:sz="6" w:space="0" w:color="auto"/>
              <w:bottom w:val="outset" w:sz="6" w:space="0" w:color="auto"/>
              <w:right w:val="outset" w:sz="6" w:space="0" w:color="auto"/>
            </w:tcBorders>
            <w:hideMark/>
          </w:tcPr>
          <w:p w14:paraId="0C34C30C" w14:textId="77777777" w:rsidR="00316A60" w:rsidRPr="00316A60" w:rsidRDefault="00316A60" w:rsidP="00016076">
            <w:pPr>
              <w:pStyle w:val="BodyTextSMPC"/>
              <w:spacing w:after="0"/>
              <w:ind w:left="0"/>
              <w:jc w:val="center"/>
              <w:rPr>
                <w:sz w:val="22"/>
                <w:szCs w:val="22"/>
              </w:rPr>
            </w:pPr>
            <w:r w:rsidRPr="00316A60">
              <w:rPr>
                <w:sz w:val="22"/>
                <w:szCs w:val="22"/>
              </w:rPr>
              <w:t xml:space="preserve">Serum sickness, </w:t>
            </w:r>
            <w:proofErr w:type="spellStart"/>
            <w:r w:rsidRPr="00316A60">
              <w:rPr>
                <w:sz w:val="22"/>
                <w:szCs w:val="22"/>
              </w:rPr>
              <w:t>Jarisch</w:t>
            </w:r>
            <w:proofErr w:type="spellEnd"/>
            <w:r w:rsidRPr="00316A60">
              <w:rPr>
                <w:sz w:val="22"/>
                <w:szCs w:val="22"/>
              </w:rPr>
              <w:t>-Herxheimer reaction in association with spirochete infections (syphilis and Lyme borreliosis), angioedema</w:t>
            </w:r>
          </w:p>
        </w:tc>
      </w:tr>
      <w:tr w:rsidR="00316A60" w:rsidRPr="00316A60" w14:paraId="346D8A2C" w14:textId="77777777" w:rsidTr="00016076">
        <w:trPr>
          <w:tblCellSpacing w:w="0" w:type="dxa"/>
        </w:trPr>
        <w:tc>
          <w:tcPr>
            <w:tcW w:w="859" w:type="pct"/>
            <w:tcBorders>
              <w:top w:val="outset" w:sz="6" w:space="0" w:color="auto"/>
              <w:left w:val="outset" w:sz="6" w:space="0" w:color="auto"/>
              <w:bottom w:val="outset" w:sz="6" w:space="0" w:color="auto"/>
              <w:right w:val="outset" w:sz="6" w:space="0" w:color="auto"/>
            </w:tcBorders>
            <w:hideMark/>
          </w:tcPr>
          <w:p w14:paraId="1FEDDC0B" w14:textId="77777777" w:rsidR="00316A60" w:rsidRPr="00316A60" w:rsidRDefault="00316A60" w:rsidP="00016076">
            <w:pPr>
              <w:pStyle w:val="BodyTextSMPC"/>
              <w:spacing w:after="0"/>
              <w:ind w:left="0"/>
              <w:jc w:val="center"/>
              <w:rPr>
                <w:sz w:val="22"/>
                <w:szCs w:val="22"/>
              </w:rPr>
            </w:pPr>
            <w:r w:rsidRPr="00316A60">
              <w:rPr>
                <w:b/>
                <w:bCs/>
                <w:i/>
                <w:iCs/>
                <w:sz w:val="22"/>
                <w:szCs w:val="22"/>
              </w:rPr>
              <w:t>Metabolism and nutrition disorders</w:t>
            </w:r>
          </w:p>
        </w:tc>
        <w:tc>
          <w:tcPr>
            <w:tcW w:w="859" w:type="pct"/>
            <w:tcBorders>
              <w:top w:val="outset" w:sz="6" w:space="0" w:color="auto"/>
              <w:left w:val="outset" w:sz="6" w:space="0" w:color="auto"/>
              <w:bottom w:val="outset" w:sz="6" w:space="0" w:color="auto"/>
              <w:right w:val="outset" w:sz="6" w:space="0" w:color="auto"/>
            </w:tcBorders>
            <w:hideMark/>
          </w:tcPr>
          <w:p w14:paraId="031F434E" w14:textId="77777777" w:rsidR="00316A60" w:rsidRPr="00316A60" w:rsidRDefault="00316A60" w:rsidP="00016076">
            <w:pPr>
              <w:pStyle w:val="BodyTextSMPC"/>
              <w:spacing w:after="0"/>
              <w:ind w:left="0"/>
              <w:jc w:val="center"/>
              <w:rPr>
                <w:sz w:val="22"/>
                <w:szCs w:val="22"/>
              </w:rPr>
            </w:pPr>
          </w:p>
        </w:tc>
        <w:tc>
          <w:tcPr>
            <w:tcW w:w="782" w:type="pct"/>
            <w:tcBorders>
              <w:top w:val="outset" w:sz="6" w:space="0" w:color="auto"/>
              <w:left w:val="outset" w:sz="6" w:space="0" w:color="auto"/>
              <w:bottom w:val="outset" w:sz="6" w:space="0" w:color="auto"/>
              <w:right w:val="outset" w:sz="6" w:space="0" w:color="auto"/>
            </w:tcBorders>
            <w:hideMark/>
          </w:tcPr>
          <w:p w14:paraId="6165A861" w14:textId="77777777" w:rsidR="00316A60" w:rsidRPr="00316A60" w:rsidRDefault="00316A60" w:rsidP="00016076">
            <w:pPr>
              <w:pStyle w:val="BodyTextSMPC"/>
              <w:spacing w:after="0"/>
              <w:ind w:left="0"/>
              <w:jc w:val="center"/>
              <w:rPr>
                <w:sz w:val="22"/>
                <w:szCs w:val="22"/>
              </w:rPr>
            </w:pPr>
          </w:p>
        </w:tc>
        <w:tc>
          <w:tcPr>
            <w:tcW w:w="780" w:type="pct"/>
            <w:tcBorders>
              <w:top w:val="outset" w:sz="6" w:space="0" w:color="auto"/>
              <w:left w:val="outset" w:sz="6" w:space="0" w:color="auto"/>
              <w:bottom w:val="outset" w:sz="6" w:space="0" w:color="auto"/>
              <w:right w:val="outset" w:sz="6" w:space="0" w:color="auto"/>
            </w:tcBorders>
            <w:hideMark/>
          </w:tcPr>
          <w:p w14:paraId="13F96F0E" w14:textId="77777777" w:rsidR="00316A60" w:rsidRPr="00316A60" w:rsidRDefault="00316A60" w:rsidP="00016076">
            <w:pPr>
              <w:pStyle w:val="BodyTextSMPC"/>
              <w:spacing w:after="0"/>
              <w:ind w:left="0"/>
              <w:jc w:val="center"/>
              <w:rPr>
                <w:sz w:val="22"/>
                <w:szCs w:val="22"/>
              </w:rPr>
            </w:pPr>
            <w:r w:rsidRPr="00316A60">
              <w:rPr>
                <w:sz w:val="22"/>
                <w:szCs w:val="22"/>
              </w:rPr>
              <w:t>Electrolyte imbalances may occur upon rapid infusion of more than 6000 mg.</w:t>
            </w:r>
          </w:p>
        </w:tc>
        <w:tc>
          <w:tcPr>
            <w:tcW w:w="860" w:type="pct"/>
            <w:tcBorders>
              <w:top w:val="outset" w:sz="6" w:space="0" w:color="auto"/>
              <w:left w:val="outset" w:sz="6" w:space="0" w:color="auto"/>
              <w:bottom w:val="outset" w:sz="6" w:space="0" w:color="auto"/>
              <w:right w:val="outset" w:sz="6" w:space="0" w:color="auto"/>
            </w:tcBorders>
            <w:hideMark/>
          </w:tcPr>
          <w:p w14:paraId="63262016" w14:textId="77777777" w:rsidR="00316A60" w:rsidRPr="00316A60" w:rsidRDefault="00316A60" w:rsidP="00016076">
            <w:pPr>
              <w:pStyle w:val="BodyTextSMPC"/>
              <w:spacing w:after="0"/>
              <w:ind w:left="0"/>
              <w:jc w:val="center"/>
              <w:rPr>
                <w:sz w:val="22"/>
                <w:szCs w:val="22"/>
              </w:rPr>
            </w:pPr>
          </w:p>
        </w:tc>
        <w:tc>
          <w:tcPr>
            <w:tcW w:w="859" w:type="pct"/>
            <w:tcBorders>
              <w:top w:val="outset" w:sz="6" w:space="0" w:color="auto"/>
              <w:left w:val="outset" w:sz="6" w:space="0" w:color="auto"/>
              <w:bottom w:val="outset" w:sz="6" w:space="0" w:color="auto"/>
              <w:right w:val="outset" w:sz="6" w:space="0" w:color="auto"/>
            </w:tcBorders>
            <w:hideMark/>
          </w:tcPr>
          <w:p w14:paraId="48A9C814" w14:textId="77777777" w:rsidR="00316A60" w:rsidRPr="00316A60" w:rsidRDefault="00316A60" w:rsidP="00016076">
            <w:pPr>
              <w:pStyle w:val="BodyTextSMPC"/>
              <w:spacing w:after="0"/>
              <w:ind w:left="0"/>
              <w:jc w:val="center"/>
              <w:rPr>
                <w:sz w:val="22"/>
                <w:szCs w:val="22"/>
              </w:rPr>
            </w:pPr>
          </w:p>
        </w:tc>
      </w:tr>
      <w:tr w:rsidR="00316A60" w:rsidRPr="00316A60" w14:paraId="4CABD551" w14:textId="77777777" w:rsidTr="00016076">
        <w:trPr>
          <w:tblCellSpacing w:w="0" w:type="dxa"/>
        </w:trPr>
        <w:tc>
          <w:tcPr>
            <w:tcW w:w="859" w:type="pct"/>
            <w:tcBorders>
              <w:top w:val="outset" w:sz="6" w:space="0" w:color="auto"/>
              <w:left w:val="outset" w:sz="6" w:space="0" w:color="auto"/>
              <w:bottom w:val="outset" w:sz="6" w:space="0" w:color="auto"/>
              <w:right w:val="outset" w:sz="6" w:space="0" w:color="auto"/>
            </w:tcBorders>
            <w:hideMark/>
          </w:tcPr>
          <w:p w14:paraId="695A8AD4" w14:textId="77777777" w:rsidR="00316A60" w:rsidRPr="00316A60" w:rsidRDefault="00316A60" w:rsidP="00016076">
            <w:pPr>
              <w:pStyle w:val="BodyTextSMPC"/>
              <w:spacing w:after="0"/>
              <w:ind w:left="0"/>
              <w:jc w:val="center"/>
              <w:rPr>
                <w:sz w:val="22"/>
                <w:szCs w:val="22"/>
              </w:rPr>
            </w:pPr>
            <w:r w:rsidRPr="00316A60">
              <w:rPr>
                <w:b/>
                <w:bCs/>
                <w:i/>
                <w:iCs/>
                <w:sz w:val="22"/>
                <w:szCs w:val="22"/>
              </w:rPr>
              <w:t>Nervous system disorders</w:t>
            </w:r>
          </w:p>
        </w:tc>
        <w:tc>
          <w:tcPr>
            <w:tcW w:w="859" w:type="pct"/>
            <w:tcBorders>
              <w:top w:val="outset" w:sz="6" w:space="0" w:color="auto"/>
              <w:left w:val="outset" w:sz="6" w:space="0" w:color="auto"/>
              <w:bottom w:val="outset" w:sz="6" w:space="0" w:color="auto"/>
              <w:right w:val="outset" w:sz="6" w:space="0" w:color="auto"/>
            </w:tcBorders>
            <w:hideMark/>
          </w:tcPr>
          <w:p w14:paraId="518CE6D8" w14:textId="77777777" w:rsidR="00316A60" w:rsidRPr="00316A60" w:rsidRDefault="00316A60" w:rsidP="00016076">
            <w:pPr>
              <w:pStyle w:val="BodyTextSMPC"/>
              <w:spacing w:after="0"/>
              <w:ind w:left="0"/>
              <w:jc w:val="center"/>
              <w:rPr>
                <w:sz w:val="22"/>
                <w:szCs w:val="22"/>
              </w:rPr>
            </w:pPr>
          </w:p>
        </w:tc>
        <w:tc>
          <w:tcPr>
            <w:tcW w:w="782" w:type="pct"/>
            <w:tcBorders>
              <w:top w:val="outset" w:sz="6" w:space="0" w:color="auto"/>
              <w:left w:val="outset" w:sz="6" w:space="0" w:color="auto"/>
              <w:bottom w:val="outset" w:sz="6" w:space="0" w:color="auto"/>
              <w:right w:val="outset" w:sz="6" w:space="0" w:color="auto"/>
            </w:tcBorders>
            <w:hideMark/>
          </w:tcPr>
          <w:p w14:paraId="2580C1AA" w14:textId="77777777" w:rsidR="00316A60" w:rsidRPr="00316A60" w:rsidRDefault="00316A60" w:rsidP="00016076">
            <w:pPr>
              <w:pStyle w:val="BodyTextSMPC"/>
              <w:spacing w:after="0"/>
              <w:ind w:left="0"/>
              <w:jc w:val="center"/>
              <w:rPr>
                <w:sz w:val="22"/>
                <w:szCs w:val="22"/>
              </w:rPr>
            </w:pPr>
          </w:p>
        </w:tc>
        <w:tc>
          <w:tcPr>
            <w:tcW w:w="780" w:type="pct"/>
            <w:tcBorders>
              <w:top w:val="outset" w:sz="6" w:space="0" w:color="auto"/>
              <w:left w:val="outset" w:sz="6" w:space="0" w:color="auto"/>
              <w:bottom w:val="outset" w:sz="6" w:space="0" w:color="auto"/>
              <w:right w:val="outset" w:sz="6" w:space="0" w:color="auto"/>
            </w:tcBorders>
            <w:hideMark/>
          </w:tcPr>
          <w:p w14:paraId="57925E63" w14:textId="77777777" w:rsidR="00316A60" w:rsidRPr="00316A60" w:rsidRDefault="00316A60" w:rsidP="00016076">
            <w:pPr>
              <w:pStyle w:val="BodyTextSMPC"/>
              <w:spacing w:after="0"/>
              <w:ind w:left="0"/>
              <w:jc w:val="center"/>
              <w:rPr>
                <w:sz w:val="22"/>
                <w:szCs w:val="22"/>
              </w:rPr>
            </w:pPr>
            <w:r w:rsidRPr="00316A60">
              <w:rPr>
                <w:sz w:val="22"/>
                <w:szCs w:val="22"/>
              </w:rPr>
              <w:t>Neuropathy. Convulsive reactions may occur upon infusion of high doses (in adults, more than 12000 mg); this should be particularly borne in mind in patients with severely impaired renal function, epilepsy, meningitis, cerebral oedema or during cardiopulmonary bypass.</w:t>
            </w:r>
          </w:p>
        </w:tc>
        <w:tc>
          <w:tcPr>
            <w:tcW w:w="860" w:type="pct"/>
            <w:tcBorders>
              <w:top w:val="outset" w:sz="6" w:space="0" w:color="auto"/>
              <w:left w:val="outset" w:sz="6" w:space="0" w:color="auto"/>
              <w:bottom w:val="outset" w:sz="6" w:space="0" w:color="auto"/>
              <w:right w:val="outset" w:sz="6" w:space="0" w:color="auto"/>
            </w:tcBorders>
            <w:hideMark/>
          </w:tcPr>
          <w:p w14:paraId="253BEEAF" w14:textId="77777777" w:rsidR="00316A60" w:rsidRPr="00316A60" w:rsidRDefault="00316A60" w:rsidP="00016076">
            <w:pPr>
              <w:pStyle w:val="BodyTextSMPC"/>
              <w:spacing w:after="0"/>
              <w:ind w:left="0"/>
              <w:jc w:val="center"/>
              <w:rPr>
                <w:sz w:val="22"/>
                <w:szCs w:val="22"/>
              </w:rPr>
            </w:pPr>
          </w:p>
        </w:tc>
        <w:tc>
          <w:tcPr>
            <w:tcW w:w="859" w:type="pct"/>
            <w:tcBorders>
              <w:top w:val="outset" w:sz="6" w:space="0" w:color="auto"/>
              <w:left w:val="outset" w:sz="6" w:space="0" w:color="auto"/>
              <w:bottom w:val="outset" w:sz="6" w:space="0" w:color="auto"/>
              <w:right w:val="outset" w:sz="6" w:space="0" w:color="auto"/>
            </w:tcBorders>
            <w:hideMark/>
          </w:tcPr>
          <w:p w14:paraId="07406693" w14:textId="77777777" w:rsidR="00316A60" w:rsidRPr="00316A60" w:rsidRDefault="00316A60" w:rsidP="00016076">
            <w:pPr>
              <w:pStyle w:val="BodyTextSMPC"/>
              <w:spacing w:after="0"/>
              <w:ind w:left="0"/>
              <w:jc w:val="center"/>
              <w:rPr>
                <w:sz w:val="22"/>
                <w:szCs w:val="22"/>
              </w:rPr>
            </w:pPr>
            <w:r w:rsidRPr="00316A60">
              <w:rPr>
                <w:sz w:val="22"/>
                <w:szCs w:val="22"/>
              </w:rPr>
              <w:t>Metabolic encephalopathy</w:t>
            </w:r>
          </w:p>
        </w:tc>
      </w:tr>
      <w:tr w:rsidR="00316A60" w:rsidRPr="00316A60" w14:paraId="416E3746" w14:textId="77777777" w:rsidTr="00016076">
        <w:trPr>
          <w:tblCellSpacing w:w="0" w:type="dxa"/>
        </w:trPr>
        <w:tc>
          <w:tcPr>
            <w:tcW w:w="859" w:type="pct"/>
            <w:tcBorders>
              <w:top w:val="outset" w:sz="6" w:space="0" w:color="auto"/>
              <w:left w:val="outset" w:sz="6" w:space="0" w:color="auto"/>
              <w:bottom w:val="outset" w:sz="6" w:space="0" w:color="auto"/>
              <w:right w:val="outset" w:sz="6" w:space="0" w:color="auto"/>
            </w:tcBorders>
            <w:hideMark/>
          </w:tcPr>
          <w:p w14:paraId="77235BF0" w14:textId="77777777" w:rsidR="00316A60" w:rsidRPr="00316A60" w:rsidRDefault="00316A60" w:rsidP="00016076">
            <w:pPr>
              <w:pStyle w:val="BodyTextSMPC"/>
              <w:spacing w:after="0"/>
              <w:ind w:left="0"/>
              <w:jc w:val="center"/>
              <w:rPr>
                <w:sz w:val="22"/>
                <w:szCs w:val="22"/>
              </w:rPr>
            </w:pPr>
            <w:r w:rsidRPr="00316A60">
              <w:rPr>
                <w:b/>
                <w:bCs/>
                <w:i/>
                <w:iCs/>
                <w:sz w:val="22"/>
                <w:szCs w:val="22"/>
              </w:rPr>
              <w:t>Gastrointestinal disorders</w:t>
            </w:r>
          </w:p>
        </w:tc>
        <w:tc>
          <w:tcPr>
            <w:tcW w:w="859" w:type="pct"/>
            <w:tcBorders>
              <w:top w:val="outset" w:sz="6" w:space="0" w:color="auto"/>
              <w:left w:val="outset" w:sz="6" w:space="0" w:color="auto"/>
              <w:bottom w:val="outset" w:sz="6" w:space="0" w:color="auto"/>
              <w:right w:val="outset" w:sz="6" w:space="0" w:color="auto"/>
            </w:tcBorders>
            <w:hideMark/>
          </w:tcPr>
          <w:p w14:paraId="228B0C63" w14:textId="77777777" w:rsidR="00316A60" w:rsidRPr="00316A60" w:rsidRDefault="00316A60" w:rsidP="00016076">
            <w:pPr>
              <w:pStyle w:val="BodyTextSMPC"/>
              <w:spacing w:after="0"/>
              <w:ind w:left="0"/>
              <w:jc w:val="center"/>
              <w:rPr>
                <w:sz w:val="22"/>
                <w:szCs w:val="22"/>
              </w:rPr>
            </w:pPr>
          </w:p>
        </w:tc>
        <w:tc>
          <w:tcPr>
            <w:tcW w:w="782" w:type="pct"/>
            <w:tcBorders>
              <w:top w:val="outset" w:sz="6" w:space="0" w:color="auto"/>
              <w:left w:val="outset" w:sz="6" w:space="0" w:color="auto"/>
              <w:bottom w:val="outset" w:sz="6" w:space="0" w:color="auto"/>
              <w:right w:val="outset" w:sz="6" w:space="0" w:color="auto"/>
            </w:tcBorders>
            <w:hideMark/>
          </w:tcPr>
          <w:p w14:paraId="4B66F1BA" w14:textId="77777777" w:rsidR="00316A60" w:rsidRPr="00316A60" w:rsidRDefault="00316A60" w:rsidP="00016076">
            <w:pPr>
              <w:pStyle w:val="BodyTextSMPC"/>
              <w:spacing w:after="0"/>
              <w:ind w:left="0"/>
              <w:jc w:val="center"/>
              <w:rPr>
                <w:sz w:val="22"/>
                <w:szCs w:val="22"/>
              </w:rPr>
            </w:pPr>
            <w:r w:rsidRPr="00316A60">
              <w:rPr>
                <w:sz w:val="22"/>
                <w:szCs w:val="22"/>
              </w:rPr>
              <w:t xml:space="preserve">Stomatitis, glossitis, lingua </w:t>
            </w:r>
            <w:proofErr w:type="spellStart"/>
            <w:r w:rsidRPr="00316A60">
              <w:rPr>
                <w:sz w:val="22"/>
                <w:szCs w:val="22"/>
              </w:rPr>
              <w:t>villosa</w:t>
            </w:r>
            <w:proofErr w:type="spellEnd"/>
            <w:r w:rsidRPr="00316A60">
              <w:rPr>
                <w:sz w:val="22"/>
                <w:szCs w:val="22"/>
              </w:rPr>
              <w:t xml:space="preserve"> nigra, nausea, vomiting</w:t>
            </w:r>
          </w:p>
          <w:p w14:paraId="47545C83" w14:textId="77777777" w:rsidR="00316A60" w:rsidRPr="00316A60" w:rsidRDefault="00316A60" w:rsidP="00016076">
            <w:pPr>
              <w:pStyle w:val="BodyTextSMPC"/>
              <w:spacing w:after="0"/>
              <w:ind w:left="0"/>
              <w:jc w:val="center"/>
              <w:rPr>
                <w:sz w:val="22"/>
                <w:szCs w:val="22"/>
              </w:rPr>
            </w:pPr>
            <w:r w:rsidRPr="00316A60">
              <w:rPr>
                <w:sz w:val="22"/>
                <w:szCs w:val="22"/>
              </w:rPr>
              <w:t xml:space="preserve">If </w:t>
            </w:r>
            <w:proofErr w:type="spellStart"/>
            <w:r w:rsidRPr="00316A60">
              <w:rPr>
                <w:sz w:val="22"/>
                <w:szCs w:val="22"/>
              </w:rPr>
              <w:t>diarrhoea</w:t>
            </w:r>
            <w:proofErr w:type="spellEnd"/>
            <w:r w:rsidRPr="00316A60">
              <w:rPr>
                <w:sz w:val="22"/>
                <w:szCs w:val="22"/>
              </w:rPr>
              <w:t xml:space="preserve"> develops during treatment, the possibility of pseudomembranous colitis </w:t>
            </w:r>
            <w:r w:rsidRPr="00316A60">
              <w:rPr>
                <w:sz w:val="22"/>
                <w:szCs w:val="22"/>
              </w:rPr>
              <w:lastRenderedPageBreak/>
              <w:t>should be considered (see section 4.4).</w:t>
            </w:r>
          </w:p>
        </w:tc>
        <w:tc>
          <w:tcPr>
            <w:tcW w:w="780" w:type="pct"/>
            <w:tcBorders>
              <w:top w:val="outset" w:sz="6" w:space="0" w:color="auto"/>
              <w:left w:val="outset" w:sz="6" w:space="0" w:color="auto"/>
              <w:bottom w:val="outset" w:sz="6" w:space="0" w:color="auto"/>
              <w:right w:val="outset" w:sz="6" w:space="0" w:color="auto"/>
            </w:tcBorders>
            <w:hideMark/>
          </w:tcPr>
          <w:p w14:paraId="0A6DF5AB" w14:textId="77777777" w:rsidR="00316A60" w:rsidRPr="00316A60" w:rsidRDefault="00316A60" w:rsidP="00016076">
            <w:pPr>
              <w:pStyle w:val="BodyTextSMPC"/>
              <w:spacing w:after="0"/>
              <w:ind w:left="0"/>
              <w:jc w:val="center"/>
              <w:rPr>
                <w:sz w:val="22"/>
                <w:szCs w:val="22"/>
              </w:rPr>
            </w:pPr>
            <w:proofErr w:type="spellStart"/>
            <w:r w:rsidRPr="00316A60">
              <w:rPr>
                <w:sz w:val="22"/>
                <w:szCs w:val="22"/>
              </w:rPr>
              <w:lastRenderedPageBreak/>
              <w:t>Diarrhoea</w:t>
            </w:r>
            <w:proofErr w:type="spellEnd"/>
            <w:r w:rsidRPr="00316A60">
              <w:rPr>
                <w:sz w:val="22"/>
                <w:szCs w:val="22"/>
              </w:rPr>
              <w:t xml:space="preserve"> caused by </w:t>
            </w:r>
            <w:r w:rsidRPr="00316A60">
              <w:rPr>
                <w:i/>
                <w:iCs/>
                <w:sz w:val="22"/>
                <w:szCs w:val="22"/>
              </w:rPr>
              <w:t>Clostridium difficile</w:t>
            </w:r>
          </w:p>
        </w:tc>
        <w:tc>
          <w:tcPr>
            <w:tcW w:w="860" w:type="pct"/>
            <w:tcBorders>
              <w:top w:val="outset" w:sz="6" w:space="0" w:color="auto"/>
              <w:left w:val="outset" w:sz="6" w:space="0" w:color="auto"/>
              <w:bottom w:val="outset" w:sz="6" w:space="0" w:color="auto"/>
              <w:right w:val="outset" w:sz="6" w:space="0" w:color="auto"/>
            </w:tcBorders>
            <w:hideMark/>
          </w:tcPr>
          <w:p w14:paraId="37766010" w14:textId="77777777" w:rsidR="00316A60" w:rsidRPr="00316A60" w:rsidRDefault="00316A60" w:rsidP="00016076">
            <w:pPr>
              <w:pStyle w:val="BodyTextSMPC"/>
              <w:spacing w:after="0"/>
              <w:ind w:left="0"/>
              <w:jc w:val="center"/>
              <w:rPr>
                <w:sz w:val="22"/>
                <w:szCs w:val="22"/>
              </w:rPr>
            </w:pPr>
          </w:p>
        </w:tc>
        <w:tc>
          <w:tcPr>
            <w:tcW w:w="859" w:type="pct"/>
            <w:tcBorders>
              <w:top w:val="outset" w:sz="6" w:space="0" w:color="auto"/>
              <w:left w:val="outset" w:sz="6" w:space="0" w:color="auto"/>
              <w:bottom w:val="outset" w:sz="6" w:space="0" w:color="auto"/>
              <w:right w:val="outset" w:sz="6" w:space="0" w:color="auto"/>
            </w:tcBorders>
            <w:hideMark/>
          </w:tcPr>
          <w:p w14:paraId="53500F77" w14:textId="77777777" w:rsidR="00316A60" w:rsidRPr="00316A60" w:rsidRDefault="00316A60" w:rsidP="00016076">
            <w:pPr>
              <w:pStyle w:val="BodyTextSMPC"/>
              <w:spacing w:after="0"/>
              <w:ind w:left="0"/>
              <w:jc w:val="center"/>
              <w:rPr>
                <w:sz w:val="22"/>
                <w:szCs w:val="22"/>
              </w:rPr>
            </w:pPr>
          </w:p>
        </w:tc>
      </w:tr>
      <w:tr w:rsidR="00316A60" w:rsidRPr="00316A60" w14:paraId="19D0B020" w14:textId="77777777" w:rsidTr="00016076">
        <w:trPr>
          <w:tblCellSpacing w:w="0" w:type="dxa"/>
        </w:trPr>
        <w:tc>
          <w:tcPr>
            <w:tcW w:w="859" w:type="pct"/>
            <w:tcBorders>
              <w:top w:val="outset" w:sz="6" w:space="0" w:color="auto"/>
              <w:left w:val="outset" w:sz="6" w:space="0" w:color="auto"/>
              <w:bottom w:val="outset" w:sz="6" w:space="0" w:color="auto"/>
              <w:right w:val="outset" w:sz="6" w:space="0" w:color="auto"/>
            </w:tcBorders>
            <w:hideMark/>
          </w:tcPr>
          <w:p w14:paraId="3C4B599D" w14:textId="77777777" w:rsidR="00316A60" w:rsidRPr="00316A60" w:rsidRDefault="00316A60" w:rsidP="00016076">
            <w:pPr>
              <w:pStyle w:val="BodyTextSMPC"/>
              <w:spacing w:after="0"/>
              <w:ind w:left="0"/>
              <w:jc w:val="center"/>
              <w:rPr>
                <w:sz w:val="22"/>
                <w:szCs w:val="22"/>
              </w:rPr>
            </w:pPr>
            <w:r w:rsidRPr="00316A60">
              <w:rPr>
                <w:b/>
                <w:bCs/>
                <w:i/>
                <w:iCs/>
                <w:sz w:val="22"/>
                <w:szCs w:val="22"/>
              </w:rPr>
              <w:t>Hepatobiliary disorders</w:t>
            </w:r>
          </w:p>
        </w:tc>
        <w:tc>
          <w:tcPr>
            <w:tcW w:w="859" w:type="pct"/>
            <w:tcBorders>
              <w:top w:val="outset" w:sz="6" w:space="0" w:color="auto"/>
              <w:left w:val="outset" w:sz="6" w:space="0" w:color="auto"/>
              <w:bottom w:val="outset" w:sz="6" w:space="0" w:color="auto"/>
              <w:right w:val="outset" w:sz="6" w:space="0" w:color="auto"/>
            </w:tcBorders>
            <w:hideMark/>
          </w:tcPr>
          <w:p w14:paraId="31B9A611" w14:textId="77777777" w:rsidR="00316A60" w:rsidRPr="00316A60" w:rsidRDefault="00316A60" w:rsidP="00016076">
            <w:pPr>
              <w:pStyle w:val="BodyTextSMPC"/>
              <w:spacing w:after="0"/>
              <w:ind w:left="0"/>
              <w:jc w:val="center"/>
              <w:rPr>
                <w:sz w:val="22"/>
                <w:szCs w:val="22"/>
              </w:rPr>
            </w:pPr>
          </w:p>
        </w:tc>
        <w:tc>
          <w:tcPr>
            <w:tcW w:w="782" w:type="pct"/>
            <w:tcBorders>
              <w:top w:val="outset" w:sz="6" w:space="0" w:color="auto"/>
              <w:left w:val="outset" w:sz="6" w:space="0" w:color="auto"/>
              <w:bottom w:val="outset" w:sz="6" w:space="0" w:color="auto"/>
              <w:right w:val="outset" w:sz="6" w:space="0" w:color="auto"/>
            </w:tcBorders>
            <w:hideMark/>
          </w:tcPr>
          <w:p w14:paraId="3A249F56" w14:textId="77777777" w:rsidR="00316A60" w:rsidRPr="00316A60" w:rsidRDefault="00316A60" w:rsidP="00016076">
            <w:pPr>
              <w:pStyle w:val="BodyTextSMPC"/>
              <w:spacing w:after="0"/>
              <w:ind w:left="0"/>
              <w:jc w:val="center"/>
              <w:rPr>
                <w:sz w:val="22"/>
                <w:szCs w:val="22"/>
              </w:rPr>
            </w:pPr>
          </w:p>
        </w:tc>
        <w:tc>
          <w:tcPr>
            <w:tcW w:w="780" w:type="pct"/>
            <w:tcBorders>
              <w:top w:val="outset" w:sz="6" w:space="0" w:color="auto"/>
              <w:left w:val="outset" w:sz="6" w:space="0" w:color="auto"/>
              <w:bottom w:val="outset" w:sz="6" w:space="0" w:color="auto"/>
              <w:right w:val="outset" w:sz="6" w:space="0" w:color="auto"/>
            </w:tcBorders>
            <w:hideMark/>
          </w:tcPr>
          <w:p w14:paraId="2A0172D2" w14:textId="77777777" w:rsidR="00316A60" w:rsidRPr="00316A60" w:rsidRDefault="00316A60" w:rsidP="00016076">
            <w:pPr>
              <w:pStyle w:val="BodyTextSMPC"/>
              <w:spacing w:after="0"/>
              <w:ind w:left="0"/>
              <w:jc w:val="center"/>
              <w:rPr>
                <w:sz w:val="22"/>
                <w:szCs w:val="22"/>
              </w:rPr>
            </w:pPr>
          </w:p>
        </w:tc>
        <w:tc>
          <w:tcPr>
            <w:tcW w:w="860" w:type="pct"/>
            <w:tcBorders>
              <w:top w:val="outset" w:sz="6" w:space="0" w:color="auto"/>
              <w:left w:val="outset" w:sz="6" w:space="0" w:color="auto"/>
              <w:bottom w:val="outset" w:sz="6" w:space="0" w:color="auto"/>
              <w:right w:val="outset" w:sz="6" w:space="0" w:color="auto"/>
            </w:tcBorders>
            <w:hideMark/>
          </w:tcPr>
          <w:p w14:paraId="149EAE32" w14:textId="77777777" w:rsidR="00316A60" w:rsidRPr="00316A60" w:rsidRDefault="00316A60" w:rsidP="00016076">
            <w:pPr>
              <w:pStyle w:val="BodyTextSMPC"/>
              <w:spacing w:after="0"/>
              <w:ind w:left="0"/>
              <w:jc w:val="center"/>
              <w:rPr>
                <w:sz w:val="22"/>
                <w:szCs w:val="22"/>
              </w:rPr>
            </w:pPr>
          </w:p>
        </w:tc>
        <w:tc>
          <w:tcPr>
            <w:tcW w:w="859" w:type="pct"/>
            <w:tcBorders>
              <w:top w:val="outset" w:sz="6" w:space="0" w:color="auto"/>
              <w:left w:val="outset" w:sz="6" w:space="0" w:color="auto"/>
              <w:bottom w:val="outset" w:sz="6" w:space="0" w:color="auto"/>
              <w:right w:val="outset" w:sz="6" w:space="0" w:color="auto"/>
            </w:tcBorders>
            <w:hideMark/>
          </w:tcPr>
          <w:p w14:paraId="268D67B7" w14:textId="77777777" w:rsidR="00316A60" w:rsidRPr="00316A60" w:rsidRDefault="00316A60" w:rsidP="00016076">
            <w:pPr>
              <w:pStyle w:val="BodyTextSMPC"/>
              <w:spacing w:after="0"/>
              <w:ind w:left="0"/>
              <w:jc w:val="center"/>
              <w:rPr>
                <w:sz w:val="22"/>
                <w:szCs w:val="22"/>
              </w:rPr>
            </w:pPr>
            <w:r w:rsidRPr="00316A60">
              <w:rPr>
                <w:sz w:val="22"/>
                <w:szCs w:val="22"/>
              </w:rPr>
              <w:t>Hepatitis, cholestasis</w:t>
            </w:r>
          </w:p>
        </w:tc>
      </w:tr>
      <w:tr w:rsidR="00316A60" w:rsidRPr="00316A60" w14:paraId="7F6D0FBA" w14:textId="77777777" w:rsidTr="00016076">
        <w:trPr>
          <w:tblCellSpacing w:w="0" w:type="dxa"/>
        </w:trPr>
        <w:tc>
          <w:tcPr>
            <w:tcW w:w="859" w:type="pct"/>
            <w:tcBorders>
              <w:top w:val="outset" w:sz="6" w:space="0" w:color="auto"/>
              <w:left w:val="outset" w:sz="6" w:space="0" w:color="auto"/>
              <w:bottom w:val="outset" w:sz="6" w:space="0" w:color="auto"/>
              <w:right w:val="outset" w:sz="6" w:space="0" w:color="auto"/>
            </w:tcBorders>
            <w:hideMark/>
          </w:tcPr>
          <w:p w14:paraId="76016A87" w14:textId="77777777" w:rsidR="00316A60" w:rsidRPr="00316A60" w:rsidRDefault="00316A60" w:rsidP="00016076">
            <w:pPr>
              <w:pStyle w:val="BodyTextSMPC"/>
              <w:spacing w:after="0"/>
              <w:ind w:left="0"/>
              <w:jc w:val="center"/>
              <w:rPr>
                <w:sz w:val="22"/>
                <w:szCs w:val="22"/>
              </w:rPr>
            </w:pPr>
            <w:r w:rsidRPr="00316A60">
              <w:rPr>
                <w:b/>
                <w:bCs/>
                <w:i/>
                <w:iCs/>
                <w:sz w:val="22"/>
                <w:szCs w:val="22"/>
              </w:rPr>
              <w:t>Skin and subcutaneous tissue disorders</w:t>
            </w:r>
          </w:p>
        </w:tc>
        <w:tc>
          <w:tcPr>
            <w:tcW w:w="859" w:type="pct"/>
            <w:tcBorders>
              <w:top w:val="outset" w:sz="6" w:space="0" w:color="auto"/>
              <w:left w:val="outset" w:sz="6" w:space="0" w:color="auto"/>
              <w:bottom w:val="outset" w:sz="6" w:space="0" w:color="auto"/>
              <w:right w:val="outset" w:sz="6" w:space="0" w:color="auto"/>
            </w:tcBorders>
            <w:hideMark/>
          </w:tcPr>
          <w:p w14:paraId="2F60B202" w14:textId="77777777" w:rsidR="00316A60" w:rsidRPr="00316A60" w:rsidRDefault="00316A60" w:rsidP="00016076">
            <w:pPr>
              <w:pStyle w:val="BodyTextSMPC"/>
              <w:spacing w:after="0"/>
              <w:ind w:left="0"/>
              <w:jc w:val="center"/>
              <w:rPr>
                <w:sz w:val="22"/>
                <w:szCs w:val="22"/>
              </w:rPr>
            </w:pPr>
          </w:p>
        </w:tc>
        <w:tc>
          <w:tcPr>
            <w:tcW w:w="782" w:type="pct"/>
            <w:tcBorders>
              <w:top w:val="outset" w:sz="6" w:space="0" w:color="auto"/>
              <w:left w:val="outset" w:sz="6" w:space="0" w:color="auto"/>
              <w:bottom w:val="outset" w:sz="6" w:space="0" w:color="auto"/>
              <w:right w:val="outset" w:sz="6" w:space="0" w:color="auto"/>
            </w:tcBorders>
            <w:hideMark/>
          </w:tcPr>
          <w:p w14:paraId="2B99BF09" w14:textId="77777777" w:rsidR="00316A60" w:rsidRPr="00316A60" w:rsidRDefault="00316A60" w:rsidP="00016076">
            <w:pPr>
              <w:pStyle w:val="BodyTextSMPC"/>
              <w:spacing w:after="0"/>
              <w:ind w:left="0"/>
              <w:jc w:val="center"/>
              <w:rPr>
                <w:sz w:val="22"/>
                <w:szCs w:val="22"/>
              </w:rPr>
            </w:pPr>
          </w:p>
        </w:tc>
        <w:tc>
          <w:tcPr>
            <w:tcW w:w="780" w:type="pct"/>
            <w:tcBorders>
              <w:top w:val="outset" w:sz="6" w:space="0" w:color="auto"/>
              <w:left w:val="outset" w:sz="6" w:space="0" w:color="auto"/>
              <w:bottom w:val="outset" w:sz="6" w:space="0" w:color="auto"/>
              <w:right w:val="outset" w:sz="6" w:space="0" w:color="auto"/>
            </w:tcBorders>
            <w:hideMark/>
          </w:tcPr>
          <w:p w14:paraId="44427A9C" w14:textId="77777777" w:rsidR="00316A60" w:rsidRPr="00316A60" w:rsidRDefault="00316A60" w:rsidP="00016076">
            <w:pPr>
              <w:pStyle w:val="BodyTextSMPC"/>
              <w:spacing w:after="0"/>
              <w:ind w:left="0"/>
              <w:jc w:val="center"/>
              <w:rPr>
                <w:sz w:val="22"/>
                <w:szCs w:val="22"/>
              </w:rPr>
            </w:pPr>
          </w:p>
        </w:tc>
        <w:tc>
          <w:tcPr>
            <w:tcW w:w="860" w:type="pct"/>
            <w:tcBorders>
              <w:top w:val="outset" w:sz="6" w:space="0" w:color="auto"/>
              <w:left w:val="outset" w:sz="6" w:space="0" w:color="auto"/>
              <w:bottom w:val="outset" w:sz="6" w:space="0" w:color="auto"/>
              <w:right w:val="outset" w:sz="6" w:space="0" w:color="auto"/>
            </w:tcBorders>
            <w:hideMark/>
          </w:tcPr>
          <w:p w14:paraId="4566914E" w14:textId="77777777" w:rsidR="00316A60" w:rsidRPr="00316A60" w:rsidRDefault="00316A60" w:rsidP="00016076">
            <w:pPr>
              <w:pStyle w:val="BodyTextSMPC"/>
              <w:spacing w:after="0"/>
              <w:ind w:left="0"/>
              <w:jc w:val="center"/>
              <w:rPr>
                <w:sz w:val="22"/>
                <w:szCs w:val="22"/>
              </w:rPr>
            </w:pPr>
          </w:p>
        </w:tc>
        <w:tc>
          <w:tcPr>
            <w:tcW w:w="859" w:type="pct"/>
            <w:tcBorders>
              <w:top w:val="outset" w:sz="6" w:space="0" w:color="auto"/>
              <w:left w:val="outset" w:sz="6" w:space="0" w:color="auto"/>
              <w:bottom w:val="outset" w:sz="6" w:space="0" w:color="auto"/>
              <w:right w:val="outset" w:sz="6" w:space="0" w:color="auto"/>
            </w:tcBorders>
            <w:hideMark/>
          </w:tcPr>
          <w:p w14:paraId="0AE146FD" w14:textId="77777777" w:rsidR="00316A60" w:rsidRPr="00316A60" w:rsidRDefault="00316A60" w:rsidP="00016076">
            <w:pPr>
              <w:pStyle w:val="BodyTextSMPC"/>
              <w:spacing w:after="0"/>
              <w:ind w:left="0"/>
              <w:jc w:val="center"/>
              <w:rPr>
                <w:sz w:val="22"/>
                <w:szCs w:val="22"/>
              </w:rPr>
            </w:pPr>
            <w:r w:rsidRPr="00316A60">
              <w:rPr>
                <w:sz w:val="22"/>
                <w:szCs w:val="22"/>
              </w:rPr>
              <w:t xml:space="preserve">Pemphigoid, acute </w:t>
            </w:r>
            <w:proofErr w:type="spellStart"/>
            <w:r w:rsidRPr="00316A60">
              <w:rPr>
                <w:sz w:val="22"/>
                <w:szCs w:val="22"/>
              </w:rPr>
              <w:t>generalised</w:t>
            </w:r>
            <w:proofErr w:type="spellEnd"/>
            <w:r w:rsidRPr="00316A60">
              <w:rPr>
                <w:sz w:val="22"/>
                <w:szCs w:val="22"/>
              </w:rPr>
              <w:t xml:space="preserve"> </w:t>
            </w:r>
            <w:proofErr w:type="spellStart"/>
            <w:r w:rsidRPr="00316A60">
              <w:rPr>
                <w:sz w:val="22"/>
                <w:szCs w:val="22"/>
              </w:rPr>
              <w:t>exanthematous</w:t>
            </w:r>
            <w:proofErr w:type="spellEnd"/>
            <w:r w:rsidRPr="00316A60">
              <w:rPr>
                <w:sz w:val="22"/>
                <w:szCs w:val="22"/>
              </w:rPr>
              <w:t xml:space="preserve"> pustulosis (AGEP), pruritus, maculo-papular rash, rash morbilliform, erythema.</w:t>
            </w:r>
          </w:p>
        </w:tc>
      </w:tr>
      <w:tr w:rsidR="00316A60" w:rsidRPr="00316A60" w14:paraId="0AB185F7" w14:textId="77777777" w:rsidTr="00016076">
        <w:trPr>
          <w:tblCellSpacing w:w="0" w:type="dxa"/>
        </w:trPr>
        <w:tc>
          <w:tcPr>
            <w:tcW w:w="859" w:type="pct"/>
            <w:tcBorders>
              <w:top w:val="outset" w:sz="6" w:space="0" w:color="auto"/>
              <w:left w:val="outset" w:sz="6" w:space="0" w:color="auto"/>
              <w:bottom w:val="outset" w:sz="6" w:space="0" w:color="auto"/>
              <w:right w:val="outset" w:sz="6" w:space="0" w:color="auto"/>
            </w:tcBorders>
            <w:hideMark/>
          </w:tcPr>
          <w:p w14:paraId="16015F23" w14:textId="77777777" w:rsidR="00316A60" w:rsidRPr="00316A60" w:rsidRDefault="00316A60" w:rsidP="00016076">
            <w:pPr>
              <w:pStyle w:val="BodyTextSMPC"/>
              <w:spacing w:after="0"/>
              <w:ind w:left="0"/>
              <w:jc w:val="center"/>
              <w:rPr>
                <w:sz w:val="22"/>
                <w:szCs w:val="22"/>
              </w:rPr>
            </w:pPr>
            <w:r w:rsidRPr="00316A60">
              <w:rPr>
                <w:b/>
                <w:bCs/>
                <w:i/>
                <w:iCs/>
                <w:sz w:val="22"/>
                <w:szCs w:val="22"/>
              </w:rPr>
              <w:t>Renal and urinary disorders</w:t>
            </w:r>
          </w:p>
        </w:tc>
        <w:tc>
          <w:tcPr>
            <w:tcW w:w="859" w:type="pct"/>
            <w:tcBorders>
              <w:top w:val="outset" w:sz="6" w:space="0" w:color="auto"/>
              <w:left w:val="outset" w:sz="6" w:space="0" w:color="auto"/>
              <w:bottom w:val="outset" w:sz="6" w:space="0" w:color="auto"/>
              <w:right w:val="outset" w:sz="6" w:space="0" w:color="auto"/>
            </w:tcBorders>
            <w:hideMark/>
          </w:tcPr>
          <w:p w14:paraId="4DAB9243" w14:textId="77777777" w:rsidR="00316A60" w:rsidRPr="00316A60" w:rsidRDefault="00316A60" w:rsidP="00016076">
            <w:pPr>
              <w:pStyle w:val="BodyTextSMPC"/>
              <w:spacing w:after="0"/>
              <w:ind w:left="0"/>
              <w:jc w:val="center"/>
              <w:rPr>
                <w:sz w:val="22"/>
                <w:szCs w:val="22"/>
              </w:rPr>
            </w:pPr>
          </w:p>
        </w:tc>
        <w:tc>
          <w:tcPr>
            <w:tcW w:w="782" w:type="pct"/>
            <w:tcBorders>
              <w:top w:val="outset" w:sz="6" w:space="0" w:color="auto"/>
              <w:left w:val="outset" w:sz="6" w:space="0" w:color="auto"/>
              <w:bottom w:val="outset" w:sz="6" w:space="0" w:color="auto"/>
              <w:right w:val="outset" w:sz="6" w:space="0" w:color="auto"/>
            </w:tcBorders>
            <w:hideMark/>
          </w:tcPr>
          <w:p w14:paraId="4A16F84B" w14:textId="77777777" w:rsidR="00316A60" w:rsidRPr="00316A60" w:rsidRDefault="00316A60" w:rsidP="00016076">
            <w:pPr>
              <w:pStyle w:val="BodyTextSMPC"/>
              <w:spacing w:after="0"/>
              <w:ind w:left="0"/>
              <w:jc w:val="center"/>
              <w:rPr>
                <w:sz w:val="22"/>
                <w:szCs w:val="22"/>
              </w:rPr>
            </w:pPr>
          </w:p>
        </w:tc>
        <w:tc>
          <w:tcPr>
            <w:tcW w:w="780" w:type="pct"/>
            <w:tcBorders>
              <w:top w:val="outset" w:sz="6" w:space="0" w:color="auto"/>
              <w:left w:val="outset" w:sz="6" w:space="0" w:color="auto"/>
              <w:bottom w:val="outset" w:sz="6" w:space="0" w:color="auto"/>
              <w:right w:val="outset" w:sz="6" w:space="0" w:color="auto"/>
            </w:tcBorders>
            <w:hideMark/>
          </w:tcPr>
          <w:p w14:paraId="6E403AEC" w14:textId="77777777" w:rsidR="00316A60" w:rsidRPr="00316A60" w:rsidRDefault="00316A60" w:rsidP="00016076">
            <w:pPr>
              <w:pStyle w:val="BodyTextSMPC"/>
              <w:spacing w:after="0"/>
              <w:ind w:left="0"/>
              <w:jc w:val="center"/>
              <w:rPr>
                <w:sz w:val="22"/>
                <w:szCs w:val="22"/>
              </w:rPr>
            </w:pPr>
            <w:r w:rsidRPr="00316A60">
              <w:rPr>
                <w:sz w:val="22"/>
                <w:szCs w:val="22"/>
              </w:rPr>
              <w:t xml:space="preserve">Nephropathy (after intravenous administration of more than 6000mg Benzylpenicillin albuminuria, </w:t>
            </w:r>
            <w:proofErr w:type="spellStart"/>
            <w:r w:rsidRPr="00316A60">
              <w:rPr>
                <w:sz w:val="22"/>
                <w:szCs w:val="22"/>
              </w:rPr>
              <w:t>cylindruria</w:t>
            </w:r>
            <w:proofErr w:type="spellEnd"/>
            <w:r w:rsidRPr="00316A60">
              <w:rPr>
                <w:sz w:val="22"/>
                <w:szCs w:val="22"/>
              </w:rPr>
              <w:t xml:space="preserve"> and </w:t>
            </w:r>
            <w:proofErr w:type="spellStart"/>
            <w:r w:rsidRPr="00316A60">
              <w:rPr>
                <w:sz w:val="22"/>
                <w:szCs w:val="22"/>
              </w:rPr>
              <w:t>haematuria</w:t>
            </w:r>
            <w:proofErr w:type="spellEnd"/>
          </w:p>
          <w:p w14:paraId="31215C3B" w14:textId="77777777" w:rsidR="00316A60" w:rsidRPr="00316A60" w:rsidRDefault="00316A60" w:rsidP="00016076">
            <w:pPr>
              <w:pStyle w:val="BodyTextSMPC"/>
              <w:spacing w:after="0"/>
              <w:ind w:left="0"/>
              <w:jc w:val="center"/>
              <w:rPr>
                <w:sz w:val="22"/>
                <w:szCs w:val="22"/>
              </w:rPr>
            </w:pPr>
            <w:r w:rsidRPr="00316A60">
              <w:rPr>
                <w:sz w:val="22"/>
                <w:szCs w:val="22"/>
              </w:rPr>
              <w:t>Oliguria or anuria, which can rarely occur during high-dose penicillin therapy, generally disappears within 48 hours upon discontinuation of treatment. Diuresis can also be stimulated with 10% mannitol solution.</w:t>
            </w:r>
          </w:p>
        </w:tc>
        <w:tc>
          <w:tcPr>
            <w:tcW w:w="860" w:type="pct"/>
            <w:tcBorders>
              <w:top w:val="outset" w:sz="6" w:space="0" w:color="auto"/>
              <w:left w:val="outset" w:sz="6" w:space="0" w:color="auto"/>
              <w:bottom w:val="outset" w:sz="6" w:space="0" w:color="auto"/>
              <w:right w:val="outset" w:sz="6" w:space="0" w:color="auto"/>
            </w:tcBorders>
            <w:hideMark/>
          </w:tcPr>
          <w:p w14:paraId="67DC1DDF" w14:textId="77777777" w:rsidR="00316A60" w:rsidRPr="00316A60" w:rsidRDefault="00316A60" w:rsidP="00016076">
            <w:pPr>
              <w:pStyle w:val="BodyTextSMPC"/>
              <w:spacing w:after="0"/>
              <w:ind w:left="0"/>
              <w:jc w:val="center"/>
              <w:rPr>
                <w:sz w:val="22"/>
                <w:szCs w:val="22"/>
              </w:rPr>
            </w:pPr>
          </w:p>
        </w:tc>
        <w:tc>
          <w:tcPr>
            <w:tcW w:w="859" w:type="pct"/>
            <w:tcBorders>
              <w:top w:val="outset" w:sz="6" w:space="0" w:color="auto"/>
              <w:left w:val="outset" w:sz="6" w:space="0" w:color="auto"/>
              <w:bottom w:val="outset" w:sz="6" w:space="0" w:color="auto"/>
              <w:right w:val="outset" w:sz="6" w:space="0" w:color="auto"/>
            </w:tcBorders>
            <w:hideMark/>
          </w:tcPr>
          <w:p w14:paraId="0272D712" w14:textId="77777777" w:rsidR="00316A60" w:rsidRPr="00316A60" w:rsidRDefault="00316A60" w:rsidP="00016076">
            <w:pPr>
              <w:pStyle w:val="BodyTextSMPC"/>
              <w:spacing w:after="0"/>
              <w:ind w:left="0"/>
              <w:jc w:val="center"/>
              <w:rPr>
                <w:sz w:val="22"/>
                <w:szCs w:val="22"/>
              </w:rPr>
            </w:pPr>
          </w:p>
        </w:tc>
      </w:tr>
      <w:tr w:rsidR="00316A60" w:rsidRPr="00316A60" w14:paraId="0873B6F7" w14:textId="77777777" w:rsidTr="00016076">
        <w:trPr>
          <w:tblCellSpacing w:w="0" w:type="dxa"/>
        </w:trPr>
        <w:tc>
          <w:tcPr>
            <w:tcW w:w="859" w:type="pct"/>
            <w:tcBorders>
              <w:top w:val="outset" w:sz="6" w:space="0" w:color="auto"/>
              <w:left w:val="outset" w:sz="6" w:space="0" w:color="auto"/>
              <w:bottom w:val="outset" w:sz="6" w:space="0" w:color="auto"/>
              <w:right w:val="outset" w:sz="6" w:space="0" w:color="auto"/>
            </w:tcBorders>
            <w:hideMark/>
          </w:tcPr>
          <w:p w14:paraId="576CFF97" w14:textId="77777777" w:rsidR="00316A60" w:rsidRPr="00316A60" w:rsidRDefault="00316A60" w:rsidP="00016076">
            <w:pPr>
              <w:pStyle w:val="BodyTextSMPC"/>
              <w:spacing w:after="0"/>
              <w:ind w:left="0"/>
              <w:jc w:val="center"/>
              <w:rPr>
                <w:sz w:val="22"/>
                <w:szCs w:val="22"/>
              </w:rPr>
            </w:pPr>
            <w:r w:rsidRPr="00316A60">
              <w:rPr>
                <w:b/>
                <w:bCs/>
                <w:i/>
                <w:iCs/>
                <w:sz w:val="22"/>
                <w:szCs w:val="22"/>
              </w:rPr>
              <w:lastRenderedPageBreak/>
              <w:t>General disorders and administration site conditions</w:t>
            </w:r>
          </w:p>
        </w:tc>
        <w:tc>
          <w:tcPr>
            <w:tcW w:w="859" w:type="pct"/>
            <w:tcBorders>
              <w:top w:val="outset" w:sz="6" w:space="0" w:color="auto"/>
              <w:left w:val="outset" w:sz="6" w:space="0" w:color="auto"/>
              <w:bottom w:val="outset" w:sz="6" w:space="0" w:color="auto"/>
              <w:right w:val="outset" w:sz="6" w:space="0" w:color="auto"/>
            </w:tcBorders>
            <w:hideMark/>
          </w:tcPr>
          <w:p w14:paraId="0B9630CC" w14:textId="77777777" w:rsidR="00316A60" w:rsidRPr="00316A60" w:rsidRDefault="00316A60" w:rsidP="00016076">
            <w:pPr>
              <w:pStyle w:val="BodyTextSMPC"/>
              <w:spacing w:after="0"/>
              <w:ind w:left="0"/>
              <w:jc w:val="center"/>
              <w:rPr>
                <w:sz w:val="22"/>
                <w:szCs w:val="22"/>
              </w:rPr>
            </w:pPr>
          </w:p>
        </w:tc>
        <w:tc>
          <w:tcPr>
            <w:tcW w:w="782" w:type="pct"/>
            <w:tcBorders>
              <w:top w:val="outset" w:sz="6" w:space="0" w:color="auto"/>
              <w:left w:val="outset" w:sz="6" w:space="0" w:color="auto"/>
              <w:bottom w:val="outset" w:sz="6" w:space="0" w:color="auto"/>
              <w:right w:val="outset" w:sz="6" w:space="0" w:color="auto"/>
            </w:tcBorders>
            <w:hideMark/>
          </w:tcPr>
          <w:p w14:paraId="1BDAAA59" w14:textId="77777777" w:rsidR="00316A60" w:rsidRPr="00316A60" w:rsidRDefault="00316A60" w:rsidP="00016076">
            <w:pPr>
              <w:pStyle w:val="BodyTextSMPC"/>
              <w:spacing w:after="0"/>
              <w:ind w:left="0"/>
              <w:jc w:val="center"/>
              <w:rPr>
                <w:sz w:val="22"/>
                <w:szCs w:val="22"/>
              </w:rPr>
            </w:pPr>
          </w:p>
        </w:tc>
        <w:tc>
          <w:tcPr>
            <w:tcW w:w="780" w:type="pct"/>
            <w:tcBorders>
              <w:top w:val="outset" w:sz="6" w:space="0" w:color="auto"/>
              <w:left w:val="outset" w:sz="6" w:space="0" w:color="auto"/>
              <w:bottom w:val="outset" w:sz="6" w:space="0" w:color="auto"/>
              <w:right w:val="outset" w:sz="6" w:space="0" w:color="auto"/>
            </w:tcBorders>
            <w:hideMark/>
          </w:tcPr>
          <w:p w14:paraId="2EC5E090" w14:textId="77777777" w:rsidR="00316A60" w:rsidRPr="00316A60" w:rsidRDefault="00316A60" w:rsidP="00016076">
            <w:pPr>
              <w:pStyle w:val="BodyTextSMPC"/>
              <w:spacing w:after="0"/>
              <w:ind w:left="0"/>
              <w:jc w:val="center"/>
              <w:rPr>
                <w:sz w:val="22"/>
                <w:szCs w:val="22"/>
              </w:rPr>
            </w:pPr>
            <w:r w:rsidRPr="00316A60">
              <w:rPr>
                <w:sz w:val="22"/>
                <w:szCs w:val="22"/>
              </w:rPr>
              <w:t>Severe local reactions during intramuscular administration to infants.</w:t>
            </w:r>
          </w:p>
        </w:tc>
        <w:tc>
          <w:tcPr>
            <w:tcW w:w="860" w:type="pct"/>
            <w:tcBorders>
              <w:top w:val="outset" w:sz="6" w:space="0" w:color="auto"/>
              <w:left w:val="outset" w:sz="6" w:space="0" w:color="auto"/>
              <w:bottom w:val="outset" w:sz="6" w:space="0" w:color="auto"/>
              <w:right w:val="outset" w:sz="6" w:space="0" w:color="auto"/>
            </w:tcBorders>
            <w:hideMark/>
          </w:tcPr>
          <w:p w14:paraId="7844D20B" w14:textId="77777777" w:rsidR="00316A60" w:rsidRPr="00316A60" w:rsidRDefault="00316A60" w:rsidP="00016076">
            <w:pPr>
              <w:pStyle w:val="BodyTextSMPC"/>
              <w:spacing w:after="0"/>
              <w:ind w:left="0"/>
              <w:jc w:val="center"/>
              <w:rPr>
                <w:sz w:val="22"/>
                <w:szCs w:val="22"/>
              </w:rPr>
            </w:pPr>
          </w:p>
        </w:tc>
        <w:tc>
          <w:tcPr>
            <w:tcW w:w="859" w:type="pct"/>
            <w:tcBorders>
              <w:top w:val="outset" w:sz="6" w:space="0" w:color="auto"/>
              <w:left w:val="outset" w:sz="6" w:space="0" w:color="auto"/>
              <w:bottom w:val="outset" w:sz="6" w:space="0" w:color="auto"/>
              <w:right w:val="outset" w:sz="6" w:space="0" w:color="auto"/>
            </w:tcBorders>
            <w:hideMark/>
          </w:tcPr>
          <w:p w14:paraId="033AF91E" w14:textId="77777777" w:rsidR="00316A60" w:rsidRPr="00316A60" w:rsidRDefault="00316A60" w:rsidP="00016076">
            <w:pPr>
              <w:pStyle w:val="BodyTextSMPC"/>
              <w:spacing w:after="0"/>
              <w:ind w:left="0"/>
              <w:jc w:val="center"/>
              <w:rPr>
                <w:sz w:val="22"/>
                <w:szCs w:val="22"/>
              </w:rPr>
            </w:pPr>
          </w:p>
        </w:tc>
      </w:tr>
      <w:tr w:rsidR="00316A60" w:rsidRPr="00316A60" w14:paraId="08448C9D" w14:textId="77777777" w:rsidTr="00016076">
        <w:trPr>
          <w:tblCellSpacing w:w="0" w:type="dxa"/>
        </w:trPr>
        <w:tc>
          <w:tcPr>
            <w:tcW w:w="859" w:type="pct"/>
            <w:tcBorders>
              <w:top w:val="outset" w:sz="6" w:space="0" w:color="auto"/>
              <w:left w:val="outset" w:sz="6" w:space="0" w:color="auto"/>
              <w:bottom w:val="outset" w:sz="6" w:space="0" w:color="auto"/>
              <w:right w:val="outset" w:sz="6" w:space="0" w:color="auto"/>
            </w:tcBorders>
            <w:hideMark/>
          </w:tcPr>
          <w:p w14:paraId="5A3EC4A6" w14:textId="77777777" w:rsidR="00316A60" w:rsidRPr="00316A60" w:rsidRDefault="00316A60" w:rsidP="00016076">
            <w:pPr>
              <w:pStyle w:val="BodyTextSMPC"/>
              <w:spacing w:after="0"/>
              <w:ind w:left="0"/>
              <w:jc w:val="center"/>
              <w:rPr>
                <w:sz w:val="22"/>
                <w:szCs w:val="22"/>
              </w:rPr>
            </w:pPr>
            <w:r w:rsidRPr="00316A60">
              <w:rPr>
                <w:b/>
                <w:bCs/>
                <w:i/>
                <w:iCs/>
                <w:sz w:val="22"/>
                <w:szCs w:val="22"/>
              </w:rPr>
              <w:t>Investigations</w:t>
            </w:r>
          </w:p>
        </w:tc>
        <w:tc>
          <w:tcPr>
            <w:tcW w:w="859" w:type="pct"/>
            <w:tcBorders>
              <w:top w:val="outset" w:sz="6" w:space="0" w:color="auto"/>
              <w:left w:val="outset" w:sz="6" w:space="0" w:color="auto"/>
              <w:bottom w:val="outset" w:sz="6" w:space="0" w:color="auto"/>
              <w:right w:val="outset" w:sz="6" w:space="0" w:color="auto"/>
            </w:tcBorders>
            <w:hideMark/>
          </w:tcPr>
          <w:p w14:paraId="350AF780" w14:textId="77777777" w:rsidR="00316A60" w:rsidRPr="00316A60" w:rsidRDefault="00316A60" w:rsidP="00016076">
            <w:pPr>
              <w:pStyle w:val="BodyTextSMPC"/>
              <w:spacing w:after="0"/>
              <w:ind w:left="0"/>
              <w:jc w:val="center"/>
              <w:rPr>
                <w:sz w:val="22"/>
                <w:szCs w:val="22"/>
              </w:rPr>
            </w:pPr>
            <w:r w:rsidRPr="00316A60">
              <w:rPr>
                <w:sz w:val="22"/>
                <w:szCs w:val="22"/>
              </w:rPr>
              <w:t xml:space="preserve">• positive direct </w:t>
            </w:r>
            <w:proofErr w:type="spellStart"/>
            <w:r w:rsidRPr="00316A60">
              <w:rPr>
                <w:sz w:val="22"/>
                <w:szCs w:val="22"/>
              </w:rPr>
              <w:t>Coombs'</w:t>
            </w:r>
            <w:proofErr w:type="spellEnd"/>
            <w:r w:rsidRPr="00316A60">
              <w:rPr>
                <w:sz w:val="22"/>
                <w:szCs w:val="22"/>
              </w:rPr>
              <w:t xml:space="preserve"> test</w:t>
            </w:r>
          </w:p>
          <w:p w14:paraId="00C5C6F1" w14:textId="77777777" w:rsidR="00316A60" w:rsidRPr="00316A60" w:rsidRDefault="00316A60" w:rsidP="00016076">
            <w:pPr>
              <w:pStyle w:val="BodyTextSMPC"/>
              <w:spacing w:after="0"/>
              <w:ind w:left="0"/>
              <w:jc w:val="center"/>
              <w:rPr>
                <w:sz w:val="22"/>
                <w:szCs w:val="22"/>
              </w:rPr>
            </w:pPr>
            <w:r w:rsidRPr="00316A60">
              <w:rPr>
                <w:sz w:val="22"/>
                <w:szCs w:val="22"/>
              </w:rPr>
              <w:t>• false-positive urinary protein determination using precipitation techniques (Folin-</w:t>
            </w:r>
            <w:proofErr w:type="spellStart"/>
            <w:r w:rsidRPr="00316A60">
              <w:rPr>
                <w:sz w:val="22"/>
                <w:szCs w:val="22"/>
              </w:rPr>
              <w:t>Ciocalteu</w:t>
            </w:r>
            <w:proofErr w:type="spellEnd"/>
            <w:r w:rsidRPr="00316A60">
              <w:rPr>
                <w:sz w:val="22"/>
                <w:szCs w:val="22"/>
              </w:rPr>
              <w:t>-Lowry method, Biuret method)</w:t>
            </w:r>
          </w:p>
          <w:p w14:paraId="3E6DAC12" w14:textId="77777777" w:rsidR="00316A60" w:rsidRPr="00316A60" w:rsidRDefault="00316A60" w:rsidP="00016076">
            <w:pPr>
              <w:pStyle w:val="BodyTextSMPC"/>
              <w:spacing w:after="0"/>
              <w:ind w:left="0"/>
              <w:jc w:val="center"/>
              <w:rPr>
                <w:sz w:val="22"/>
                <w:szCs w:val="22"/>
              </w:rPr>
            </w:pPr>
            <w:r w:rsidRPr="00316A60">
              <w:rPr>
                <w:sz w:val="22"/>
                <w:szCs w:val="22"/>
              </w:rPr>
              <w:t>• false-positive urinary amino acid determination (ninhydrin method)</w:t>
            </w:r>
          </w:p>
          <w:p w14:paraId="106F01F0" w14:textId="77777777" w:rsidR="00316A60" w:rsidRPr="00316A60" w:rsidRDefault="00316A60" w:rsidP="00016076">
            <w:pPr>
              <w:pStyle w:val="BodyTextSMPC"/>
              <w:spacing w:after="0"/>
              <w:ind w:left="0"/>
              <w:jc w:val="center"/>
              <w:rPr>
                <w:sz w:val="22"/>
                <w:szCs w:val="22"/>
              </w:rPr>
            </w:pPr>
            <w:r w:rsidRPr="00316A60">
              <w:rPr>
                <w:sz w:val="22"/>
                <w:szCs w:val="22"/>
              </w:rPr>
              <w:t xml:space="preserve">• falsification of </w:t>
            </w:r>
            <w:proofErr w:type="spellStart"/>
            <w:r w:rsidRPr="00316A60">
              <w:rPr>
                <w:sz w:val="22"/>
                <w:szCs w:val="22"/>
              </w:rPr>
              <w:t>pseudobisalbuminaemia</w:t>
            </w:r>
            <w:proofErr w:type="spellEnd"/>
            <w:r w:rsidRPr="00316A60">
              <w:rPr>
                <w:sz w:val="22"/>
                <w:szCs w:val="22"/>
              </w:rPr>
              <w:t xml:space="preserve"> when using electrophoresis methods to determine albumin.</w:t>
            </w:r>
          </w:p>
          <w:p w14:paraId="0DAA1980" w14:textId="77777777" w:rsidR="00316A60" w:rsidRPr="00316A60" w:rsidRDefault="00316A60" w:rsidP="00016076">
            <w:pPr>
              <w:pStyle w:val="BodyTextSMPC"/>
              <w:spacing w:after="0"/>
              <w:ind w:left="0"/>
              <w:jc w:val="center"/>
              <w:rPr>
                <w:sz w:val="22"/>
                <w:szCs w:val="22"/>
              </w:rPr>
            </w:pPr>
            <w:r w:rsidRPr="00316A60">
              <w:rPr>
                <w:sz w:val="22"/>
                <w:szCs w:val="22"/>
              </w:rPr>
              <w:t>• false-positive non-enzymatic urinary glucose detection and urobilinogen detection</w:t>
            </w:r>
          </w:p>
          <w:p w14:paraId="51A0F7A6" w14:textId="77777777" w:rsidR="00316A60" w:rsidRPr="00316A60" w:rsidRDefault="00316A60" w:rsidP="00016076">
            <w:pPr>
              <w:pStyle w:val="BodyTextSMPC"/>
              <w:spacing w:after="0"/>
              <w:ind w:left="0"/>
              <w:jc w:val="center"/>
              <w:rPr>
                <w:sz w:val="22"/>
                <w:szCs w:val="22"/>
              </w:rPr>
            </w:pPr>
            <w:r w:rsidRPr="00316A60">
              <w:rPr>
                <w:sz w:val="22"/>
                <w:szCs w:val="22"/>
              </w:rPr>
              <w:t>• increased values when determining 17-ketosteroids in urine (using the Zimmermann reaction) (see section 4.5)</w:t>
            </w:r>
          </w:p>
        </w:tc>
        <w:tc>
          <w:tcPr>
            <w:tcW w:w="782" w:type="pct"/>
            <w:tcBorders>
              <w:top w:val="outset" w:sz="6" w:space="0" w:color="auto"/>
              <w:left w:val="outset" w:sz="6" w:space="0" w:color="auto"/>
              <w:bottom w:val="outset" w:sz="6" w:space="0" w:color="auto"/>
              <w:right w:val="outset" w:sz="6" w:space="0" w:color="auto"/>
            </w:tcBorders>
            <w:hideMark/>
          </w:tcPr>
          <w:p w14:paraId="27498554" w14:textId="77777777" w:rsidR="00316A60" w:rsidRPr="00316A60" w:rsidRDefault="00316A60" w:rsidP="00016076">
            <w:pPr>
              <w:pStyle w:val="BodyTextSMPC"/>
              <w:spacing w:after="0"/>
              <w:ind w:left="0"/>
              <w:jc w:val="center"/>
              <w:rPr>
                <w:sz w:val="22"/>
                <w:szCs w:val="22"/>
              </w:rPr>
            </w:pPr>
          </w:p>
        </w:tc>
        <w:tc>
          <w:tcPr>
            <w:tcW w:w="780" w:type="pct"/>
            <w:tcBorders>
              <w:top w:val="outset" w:sz="6" w:space="0" w:color="auto"/>
              <w:left w:val="outset" w:sz="6" w:space="0" w:color="auto"/>
              <w:bottom w:val="outset" w:sz="6" w:space="0" w:color="auto"/>
              <w:right w:val="outset" w:sz="6" w:space="0" w:color="auto"/>
            </w:tcBorders>
            <w:hideMark/>
          </w:tcPr>
          <w:p w14:paraId="4A8CC22E" w14:textId="77777777" w:rsidR="00316A60" w:rsidRPr="00316A60" w:rsidRDefault="00316A60" w:rsidP="00016076">
            <w:pPr>
              <w:pStyle w:val="BodyTextSMPC"/>
              <w:spacing w:after="0"/>
              <w:ind w:left="0"/>
              <w:jc w:val="center"/>
              <w:rPr>
                <w:sz w:val="22"/>
                <w:szCs w:val="22"/>
              </w:rPr>
            </w:pPr>
          </w:p>
        </w:tc>
        <w:tc>
          <w:tcPr>
            <w:tcW w:w="860" w:type="pct"/>
            <w:tcBorders>
              <w:top w:val="outset" w:sz="6" w:space="0" w:color="auto"/>
              <w:left w:val="outset" w:sz="6" w:space="0" w:color="auto"/>
              <w:bottom w:val="outset" w:sz="6" w:space="0" w:color="auto"/>
              <w:right w:val="outset" w:sz="6" w:space="0" w:color="auto"/>
            </w:tcBorders>
            <w:hideMark/>
          </w:tcPr>
          <w:p w14:paraId="15023050" w14:textId="77777777" w:rsidR="00316A60" w:rsidRPr="00316A60" w:rsidRDefault="00316A60" w:rsidP="00016076">
            <w:pPr>
              <w:pStyle w:val="BodyTextSMPC"/>
              <w:spacing w:after="0"/>
              <w:ind w:left="0"/>
              <w:jc w:val="center"/>
              <w:rPr>
                <w:sz w:val="22"/>
                <w:szCs w:val="22"/>
              </w:rPr>
            </w:pPr>
          </w:p>
        </w:tc>
        <w:tc>
          <w:tcPr>
            <w:tcW w:w="859" w:type="pct"/>
            <w:tcBorders>
              <w:top w:val="outset" w:sz="6" w:space="0" w:color="auto"/>
              <w:left w:val="outset" w:sz="6" w:space="0" w:color="auto"/>
              <w:bottom w:val="outset" w:sz="6" w:space="0" w:color="auto"/>
              <w:right w:val="outset" w:sz="6" w:space="0" w:color="auto"/>
            </w:tcBorders>
            <w:hideMark/>
          </w:tcPr>
          <w:p w14:paraId="10041920" w14:textId="77777777" w:rsidR="00316A60" w:rsidRPr="00316A60" w:rsidRDefault="00316A60" w:rsidP="00016076">
            <w:pPr>
              <w:pStyle w:val="BodyTextSMPC"/>
              <w:spacing w:after="0"/>
              <w:ind w:left="0"/>
              <w:jc w:val="center"/>
              <w:rPr>
                <w:sz w:val="22"/>
                <w:szCs w:val="22"/>
              </w:rPr>
            </w:pPr>
          </w:p>
        </w:tc>
      </w:tr>
    </w:tbl>
    <w:p w14:paraId="7EF9FD5F" w14:textId="43D6F54A" w:rsidR="00774F68" w:rsidRDefault="00774F68" w:rsidP="00774F68">
      <w:pPr>
        <w:pStyle w:val="BodyTextSMPC"/>
        <w:spacing w:before="240"/>
      </w:pPr>
      <w:r>
        <w:t>Description of selected adverse reactions</w:t>
      </w:r>
    </w:p>
    <w:p w14:paraId="7C0AD192" w14:textId="288CFB50" w:rsidR="0062302F" w:rsidRPr="0062302F" w:rsidRDefault="00774F68" w:rsidP="00774F68">
      <w:pPr>
        <w:pStyle w:val="BodyTextSMPC"/>
      </w:pPr>
      <w:r>
        <w:lastRenderedPageBreak/>
        <w:t xml:space="preserve">Severe cutaneous adverse reactions SCARs (Stevens-Johnson syndrome, toxic epidermal necrolysis, drug reaction with eosinophilia and systemic symptoms, acute </w:t>
      </w:r>
      <w:proofErr w:type="spellStart"/>
      <w:r>
        <w:t>generalised</w:t>
      </w:r>
      <w:proofErr w:type="spellEnd"/>
      <w:r>
        <w:t xml:space="preserve"> </w:t>
      </w:r>
      <w:proofErr w:type="spellStart"/>
      <w:r>
        <w:t>exanthematous</w:t>
      </w:r>
      <w:proofErr w:type="spellEnd"/>
      <w:r>
        <w:t xml:space="preserve"> pustulosis) have been reported with beta-lactam antibiotics, including </w:t>
      </w:r>
      <w:proofErr w:type="spellStart"/>
      <w:r>
        <w:t>penicillins</w:t>
      </w:r>
      <w:proofErr w:type="spellEnd"/>
      <w:r>
        <w:t xml:space="preserve"> (see section 4.4).</w:t>
      </w:r>
    </w:p>
    <w:p w14:paraId="6D003B03" w14:textId="40865229" w:rsidR="00227FD4" w:rsidRPr="008F5678" w:rsidRDefault="00000000" w:rsidP="00415AF9">
      <w:pPr>
        <w:pStyle w:val="BodyTextSMPC"/>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779748E9" w14:textId="6F9ED405" w:rsidR="00227FD4" w:rsidRPr="001A39AF" w:rsidRDefault="00016076" w:rsidP="001A39AF">
      <w:pPr>
        <w:pStyle w:val="BodyTextSMPC"/>
      </w:pPr>
      <w:r w:rsidRPr="00016076">
        <w:t xml:space="preserve">Increased neuromuscular hyperexcitability or susceptibility to cerebral seizures can be anticipated in the event of an overdose. Countermeasures: discontinuation, clinical surveillance and symptomatic treatment, if required. Benzylpenicillin can be </w:t>
      </w:r>
      <w:proofErr w:type="spellStart"/>
      <w:r w:rsidRPr="00016076">
        <w:t>hemodialysed</w:t>
      </w:r>
      <w:proofErr w:type="spellEnd"/>
      <w:r w:rsidR="00D5236F" w:rsidRPr="00D5236F">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5F67A114" w14:textId="53A6D3C8" w:rsidR="006224A3" w:rsidRDefault="006224A3" w:rsidP="006224A3">
      <w:pPr>
        <w:pStyle w:val="BodyTextSMPC"/>
      </w:pPr>
      <w:r>
        <w:t>Pharmacotherapeutic group</w:t>
      </w:r>
    </w:p>
    <w:p w14:paraId="568795D8" w14:textId="42178C14" w:rsidR="006224A3" w:rsidRDefault="006224A3" w:rsidP="006224A3">
      <w:pPr>
        <w:pStyle w:val="BodyTextSMPC"/>
      </w:pPr>
      <w:r>
        <w:t>Benzylpenicillin (penicillin G) is a semi-synthetic, beta-lactamase-sensitive, beta-lactam antibiotic.</w:t>
      </w:r>
    </w:p>
    <w:p w14:paraId="697B2D21" w14:textId="1C65AEBD" w:rsidR="006224A3" w:rsidRDefault="006224A3" w:rsidP="006224A3">
      <w:pPr>
        <w:pStyle w:val="BodyTextSMPC"/>
      </w:pPr>
      <w:r>
        <w:t>ATC code: J01CE01</w:t>
      </w:r>
    </w:p>
    <w:p w14:paraId="6EFE8DC6" w14:textId="03ED497A" w:rsidR="006224A3" w:rsidRPr="006224A3" w:rsidRDefault="006224A3" w:rsidP="006224A3">
      <w:pPr>
        <w:pStyle w:val="BodyTextSMPC"/>
        <w:rPr>
          <w:b/>
          <w:bCs/>
        </w:rPr>
      </w:pPr>
      <w:r w:rsidRPr="006224A3">
        <w:rPr>
          <w:b/>
          <w:bCs/>
        </w:rPr>
        <w:t>Mechanism of action</w:t>
      </w:r>
    </w:p>
    <w:p w14:paraId="1292233F" w14:textId="4128855E" w:rsidR="006224A3" w:rsidRDefault="006224A3" w:rsidP="006224A3">
      <w:pPr>
        <w:pStyle w:val="BodyTextSMPC"/>
      </w:pPr>
      <w:r>
        <w:t>For benzylpenicillin, the mechanism of action is based on inhibition of bacterial cell wall synthesis (during the growth phase) through a blockade of penicillin-binding proteins (PBPs) such as transpeptidases. This results in a bactericidal action.</w:t>
      </w:r>
    </w:p>
    <w:p w14:paraId="5359D634" w14:textId="4A913BE4" w:rsidR="006224A3" w:rsidRPr="006224A3" w:rsidRDefault="006224A3" w:rsidP="006224A3">
      <w:pPr>
        <w:pStyle w:val="BodyTextSMPC"/>
        <w:rPr>
          <w:b/>
          <w:bCs/>
        </w:rPr>
      </w:pPr>
      <w:r w:rsidRPr="006224A3">
        <w:rPr>
          <w:b/>
          <w:bCs/>
        </w:rPr>
        <w:t>Pharmacokinetic/pharmacodynamic relationship</w:t>
      </w:r>
    </w:p>
    <w:p w14:paraId="7192C593" w14:textId="40B38460" w:rsidR="006224A3" w:rsidRDefault="006224A3" w:rsidP="006224A3">
      <w:pPr>
        <w:pStyle w:val="BodyTextSMPC"/>
      </w:pPr>
      <w:r>
        <w:lastRenderedPageBreak/>
        <w:t>Efficacy largely depends on the length of time that the active substance level remains above the pathogen's MIC.</w:t>
      </w:r>
    </w:p>
    <w:p w14:paraId="2C926443" w14:textId="41EA3BF4" w:rsidR="006224A3" w:rsidRPr="006224A3" w:rsidRDefault="006224A3" w:rsidP="006224A3">
      <w:pPr>
        <w:pStyle w:val="BodyTextSMPC"/>
        <w:rPr>
          <w:b/>
          <w:bCs/>
        </w:rPr>
      </w:pPr>
      <w:r w:rsidRPr="006224A3">
        <w:rPr>
          <w:b/>
          <w:bCs/>
        </w:rPr>
        <w:t>Resistance mechanisms</w:t>
      </w:r>
    </w:p>
    <w:p w14:paraId="03E4D236" w14:textId="520ADAC1" w:rsidR="006224A3" w:rsidRDefault="006224A3" w:rsidP="006224A3">
      <w:pPr>
        <w:pStyle w:val="BodyTextSMPC"/>
      </w:pPr>
      <w:r>
        <w:t>Resistance to benzylpenicillin can be due to the following mechanisms:</w:t>
      </w:r>
    </w:p>
    <w:p w14:paraId="31FA7C55" w14:textId="0576F329" w:rsidR="006224A3" w:rsidRDefault="006224A3" w:rsidP="006224A3">
      <w:pPr>
        <w:pStyle w:val="BodyTextSMPC"/>
      </w:pPr>
      <w:r>
        <w:t>- Inactivation by beta-lactamases: Benzylpenicillin is sensitive to beta-lactamase and is therefore inactive against beta-lactamase-producing bacteria (e.g. staphylococci or gonococci).</w:t>
      </w:r>
    </w:p>
    <w:p w14:paraId="6F4B3A60" w14:textId="3F5B2597" w:rsidR="006224A3" w:rsidRDefault="006224A3" w:rsidP="006224A3">
      <w:pPr>
        <w:pStyle w:val="BodyTextSMPC"/>
      </w:pPr>
      <w:r>
        <w:t>- Reduced affinity of PBPs for benzylpenicillin: The acquired resistance in pneumococci and a few other streptococci to benzylpenicillin is due to modifications of existing PBPs as a result of a mutation. However, the formation of an additional PBP with reduced affinity for benzylpenicillin is responsible for resistance in methicillin (oxacillin)-resistant staphylococci.</w:t>
      </w:r>
    </w:p>
    <w:p w14:paraId="3407EF80" w14:textId="26BDE674" w:rsidR="006224A3" w:rsidRDefault="006224A3" w:rsidP="006224A3">
      <w:pPr>
        <w:pStyle w:val="BodyTextSMPC"/>
      </w:pPr>
      <w:r>
        <w:t>- In Gram-negative bacteria, inadequate penetration of benzylpenicillin through the outer cell wall can lead to an insufficient inhibition of PBPs.</w:t>
      </w:r>
    </w:p>
    <w:p w14:paraId="3BA920A7" w14:textId="5E3EA663" w:rsidR="006224A3" w:rsidRDefault="006224A3" w:rsidP="006224A3">
      <w:pPr>
        <w:pStyle w:val="BodyTextSMPC"/>
      </w:pPr>
      <w:r>
        <w:t>- Benzylpenicillin can be actively transported from the cell by efflux pumps.</w:t>
      </w:r>
    </w:p>
    <w:p w14:paraId="29174939" w14:textId="2482114A" w:rsidR="006224A3" w:rsidRDefault="006224A3" w:rsidP="006224A3">
      <w:pPr>
        <w:pStyle w:val="BodyTextSMPC"/>
      </w:pPr>
      <w:r>
        <w:t xml:space="preserve">- Benzylpenicillin is partially or completely cross-resistant to other </w:t>
      </w:r>
      <w:proofErr w:type="spellStart"/>
      <w:r>
        <w:t>penicillins</w:t>
      </w:r>
      <w:proofErr w:type="spellEnd"/>
      <w:r>
        <w:t xml:space="preserve"> and cephalosporins.</w:t>
      </w:r>
    </w:p>
    <w:p w14:paraId="0720B1BD" w14:textId="2CDDF7E2" w:rsidR="006224A3" w:rsidRPr="006224A3" w:rsidRDefault="006224A3" w:rsidP="006224A3">
      <w:pPr>
        <w:pStyle w:val="BodyTextSMPC"/>
        <w:rPr>
          <w:b/>
          <w:bCs/>
        </w:rPr>
      </w:pPr>
      <w:r w:rsidRPr="006224A3">
        <w:rPr>
          <w:b/>
          <w:bCs/>
        </w:rPr>
        <w:t>Breakpoints</w:t>
      </w:r>
    </w:p>
    <w:p w14:paraId="58B408B7" w14:textId="5A7B7530" w:rsidR="006224A3" w:rsidRDefault="006224A3" w:rsidP="006224A3">
      <w:pPr>
        <w:pStyle w:val="BodyTextSMPC"/>
      </w:pPr>
      <w:r>
        <w:t>Testing of benzylpenicillin is performed using the standard dilution series. Results are evaluated on the basis of breakpoints for benzylpenicillin. The following minimum inhibitory concentrations have been established for susceptible and resistant germs:</w:t>
      </w:r>
    </w:p>
    <w:p w14:paraId="4E0A1CCE" w14:textId="77777777" w:rsidR="006224A3" w:rsidRDefault="006224A3" w:rsidP="006224A3">
      <w:pPr>
        <w:pStyle w:val="BodyTextSMPC"/>
      </w:pPr>
      <w:r>
        <w:t>EUCAST (European Committee on Antimicrobial Susceptibility Testing) breakpoints (version 10.0)</w:t>
      </w:r>
    </w:p>
    <w:tbl>
      <w:tblPr>
        <w:tblW w:w="8080" w:type="dxa"/>
        <w:tblCellSpacing w:w="0" w:type="dxa"/>
        <w:tblInd w:w="843"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979"/>
        <w:gridCol w:w="2409"/>
        <w:gridCol w:w="2692"/>
      </w:tblGrid>
      <w:tr w:rsidR="007A70CC" w:rsidRPr="007A70CC" w14:paraId="0BC0E12B" w14:textId="77777777" w:rsidTr="007A70CC">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hideMark/>
          </w:tcPr>
          <w:p w14:paraId="1D978530" w14:textId="77777777" w:rsidR="007A70CC" w:rsidRPr="007A70CC" w:rsidRDefault="007A70CC" w:rsidP="007A70CC">
            <w:pPr>
              <w:pStyle w:val="BodyTextSMPC"/>
              <w:spacing w:after="0"/>
              <w:ind w:left="0"/>
              <w:jc w:val="left"/>
            </w:pPr>
            <w:r w:rsidRPr="007A70CC">
              <w:rPr>
                <w:b/>
                <w:bCs/>
              </w:rPr>
              <w:t>PATHOGEN</w:t>
            </w:r>
          </w:p>
        </w:tc>
        <w:tc>
          <w:tcPr>
            <w:tcW w:w="1491" w:type="pct"/>
            <w:tcBorders>
              <w:top w:val="outset" w:sz="6" w:space="0" w:color="auto"/>
              <w:left w:val="outset" w:sz="6" w:space="0" w:color="auto"/>
              <w:bottom w:val="outset" w:sz="6" w:space="0" w:color="auto"/>
              <w:right w:val="outset" w:sz="6" w:space="0" w:color="auto"/>
            </w:tcBorders>
            <w:shd w:val="clear" w:color="auto" w:fill="FFFFFF"/>
            <w:hideMark/>
          </w:tcPr>
          <w:p w14:paraId="58DD571B" w14:textId="77777777" w:rsidR="007A70CC" w:rsidRPr="007A70CC" w:rsidRDefault="007A70CC" w:rsidP="007A70CC">
            <w:pPr>
              <w:pStyle w:val="BodyTextSMPC"/>
              <w:spacing w:after="0"/>
              <w:ind w:left="0"/>
            </w:pPr>
            <w:r w:rsidRPr="007A70CC">
              <w:rPr>
                <w:b/>
                <w:bCs/>
              </w:rPr>
              <w:t>SUSCEPTIBLE</w:t>
            </w:r>
          </w:p>
        </w:tc>
        <w:tc>
          <w:tcPr>
            <w:tcW w:w="1666" w:type="pct"/>
            <w:tcBorders>
              <w:top w:val="outset" w:sz="6" w:space="0" w:color="auto"/>
              <w:left w:val="outset" w:sz="6" w:space="0" w:color="auto"/>
              <w:bottom w:val="outset" w:sz="6" w:space="0" w:color="auto"/>
              <w:right w:val="outset" w:sz="6" w:space="0" w:color="auto"/>
            </w:tcBorders>
            <w:shd w:val="clear" w:color="auto" w:fill="FFFFFF"/>
            <w:hideMark/>
          </w:tcPr>
          <w:p w14:paraId="3E638A64" w14:textId="77777777" w:rsidR="007A70CC" w:rsidRPr="007A70CC" w:rsidRDefault="007A70CC" w:rsidP="007A70CC">
            <w:pPr>
              <w:pStyle w:val="BodyTextSMPC"/>
              <w:spacing w:after="0"/>
              <w:ind w:left="0"/>
            </w:pPr>
            <w:r w:rsidRPr="007A70CC">
              <w:rPr>
                <w:b/>
                <w:bCs/>
              </w:rPr>
              <w:t>RESISTANT</w:t>
            </w:r>
          </w:p>
        </w:tc>
      </w:tr>
      <w:tr w:rsidR="007A70CC" w:rsidRPr="007A70CC" w14:paraId="0CB5FBFD" w14:textId="77777777" w:rsidTr="007A70CC">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18AE300" w14:textId="77777777" w:rsidR="007A70CC" w:rsidRPr="007A70CC" w:rsidRDefault="007A70CC" w:rsidP="007A70CC">
            <w:pPr>
              <w:pStyle w:val="BodyTextSMPC"/>
              <w:spacing w:after="0"/>
              <w:ind w:left="0"/>
              <w:jc w:val="left"/>
            </w:pPr>
            <w:r w:rsidRPr="007A70CC">
              <w:rPr>
                <w:b/>
                <w:bCs/>
              </w:rPr>
              <w:t>Staphylococcus </w:t>
            </w:r>
            <w:r w:rsidRPr="007A70CC">
              <w:rPr>
                <w:b/>
                <w:bCs/>
                <w:i/>
                <w:iCs/>
              </w:rPr>
              <w:t>aureus</w:t>
            </w:r>
          </w:p>
        </w:tc>
        <w:tc>
          <w:tcPr>
            <w:tcW w:w="149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332934" w14:textId="77777777" w:rsidR="007A70CC" w:rsidRPr="007A70CC" w:rsidRDefault="007A70CC" w:rsidP="007A70CC">
            <w:pPr>
              <w:pStyle w:val="BodyTextSMPC"/>
              <w:spacing w:after="0"/>
              <w:ind w:left="0"/>
            </w:pPr>
            <w:r w:rsidRPr="007A70CC">
              <w:t>≤ 0.125 mg/L</w:t>
            </w:r>
          </w:p>
        </w:tc>
        <w:tc>
          <w:tcPr>
            <w:tcW w:w="16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C07E30" w14:textId="77777777" w:rsidR="007A70CC" w:rsidRPr="007A70CC" w:rsidRDefault="007A70CC" w:rsidP="007A70CC">
            <w:pPr>
              <w:pStyle w:val="BodyTextSMPC"/>
              <w:spacing w:after="0"/>
              <w:ind w:left="0"/>
            </w:pPr>
            <w:r w:rsidRPr="007A70CC">
              <w:t>&gt; 0.125 mg/L</w:t>
            </w:r>
          </w:p>
        </w:tc>
      </w:tr>
      <w:tr w:rsidR="007A70CC" w:rsidRPr="007A70CC" w14:paraId="26F2A7C7" w14:textId="77777777" w:rsidTr="007A70CC">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90D8D3" w14:textId="77777777" w:rsidR="007A70CC" w:rsidRPr="007A70CC" w:rsidRDefault="007A70CC" w:rsidP="007A70CC">
            <w:pPr>
              <w:pStyle w:val="BodyTextSMPC"/>
              <w:spacing w:after="0"/>
              <w:ind w:left="0"/>
              <w:jc w:val="left"/>
            </w:pPr>
            <w:r w:rsidRPr="007A70CC">
              <w:rPr>
                <w:b/>
                <w:bCs/>
              </w:rPr>
              <w:t>Streptococcus</w:t>
            </w:r>
            <w:r w:rsidRPr="007A70CC">
              <w:rPr>
                <w:b/>
                <w:bCs/>
                <w:i/>
                <w:iCs/>
              </w:rPr>
              <w:t> spp.</w:t>
            </w:r>
          </w:p>
          <w:p w14:paraId="1BDAEE2C" w14:textId="77777777" w:rsidR="007A70CC" w:rsidRPr="007A70CC" w:rsidRDefault="007A70CC" w:rsidP="007A70CC">
            <w:pPr>
              <w:pStyle w:val="BodyTextSMPC"/>
              <w:spacing w:after="0"/>
              <w:ind w:left="0"/>
              <w:jc w:val="left"/>
            </w:pPr>
            <w:r w:rsidRPr="007A70CC">
              <w:rPr>
                <w:b/>
                <w:bCs/>
                <w:i/>
                <w:iCs/>
              </w:rPr>
              <w:t>(Groups A, B, C, G)</w:t>
            </w:r>
          </w:p>
        </w:tc>
        <w:tc>
          <w:tcPr>
            <w:tcW w:w="149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EFC775" w14:textId="77777777" w:rsidR="007A70CC" w:rsidRPr="007A70CC" w:rsidRDefault="007A70CC" w:rsidP="007A70CC">
            <w:pPr>
              <w:pStyle w:val="BodyTextSMPC"/>
              <w:spacing w:after="0"/>
              <w:ind w:left="0"/>
            </w:pPr>
            <w:r w:rsidRPr="007A70CC">
              <w:t>≤ 0.25 mg/L</w:t>
            </w:r>
          </w:p>
        </w:tc>
        <w:tc>
          <w:tcPr>
            <w:tcW w:w="16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C39331" w14:textId="77777777" w:rsidR="007A70CC" w:rsidRPr="007A70CC" w:rsidRDefault="007A70CC" w:rsidP="007A70CC">
            <w:pPr>
              <w:pStyle w:val="BodyTextSMPC"/>
              <w:spacing w:after="0"/>
              <w:ind w:left="0"/>
            </w:pPr>
            <w:r w:rsidRPr="007A70CC">
              <w:t>&gt; 0.25 mg/L</w:t>
            </w:r>
          </w:p>
        </w:tc>
      </w:tr>
      <w:tr w:rsidR="007A70CC" w:rsidRPr="007A70CC" w14:paraId="18347FF0" w14:textId="77777777" w:rsidTr="007A70CC">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1B4320" w14:textId="77777777" w:rsidR="007A70CC" w:rsidRPr="007A70CC" w:rsidRDefault="007A70CC" w:rsidP="007A70CC">
            <w:pPr>
              <w:pStyle w:val="BodyTextSMPC"/>
              <w:spacing w:after="0"/>
              <w:ind w:left="0"/>
              <w:jc w:val="left"/>
            </w:pPr>
            <w:r w:rsidRPr="007A70CC">
              <w:rPr>
                <w:b/>
                <w:bCs/>
              </w:rPr>
              <w:lastRenderedPageBreak/>
              <w:t>Streptococcus pneumoniae</w:t>
            </w:r>
          </w:p>
          <w:p w14:paraId="1EEB078E" w14:textId="77777777" w:rsidR="007A70CC" w:rsidRPr="007A70CC" w:rsidRDefault="007A70CC" w:rsidP="007A70CC">
            <w:pPr>
              <w:pStyle w:val="BodyTextSMPC"/>
              <w:spacing w:after="0"/>
              <w:ind w:left="0"/>
              <w:jc w:val="left"/>
            </w:pPr>
            <w:r w:rsidRPr="007A70CC">
              <w:t>(indications other than meningitis)</w:t>
            </w:r>
          </w:p>
        </w:tc>
        <w:tc>
          <w:tcPr>
            <w:tcW w:w="149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8D9FC3" w14:textId="77777777" w:rsidR="007A70CC" w:rsidRPr="007A70CC" w:rsidRDefault="007A70CC" w:rsidP="007A70CC">
            <w:pPr>
              <w:pStyle w:val="BodyTextSMPC"/>
              <w:spacing w:after="0"/>
              <w:ind w:left="0"/>
            </w:pPr>
            <w:r w:rsidRPr="007A70CC">
              <w:t>≤ 0.06 mg/L</w:t>
            </w:r>
          </w:p>
        </w:tc>
        <w:tc>
          <w:tcPr>
            <w:tcW w:w="16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36D921" w14:textId="77777777" w:rsidR="007A70CC" w:rsidRPr="007A70CC" w:rsidRDefault="007A70CC" w:rsidP="007A70CC">
            <w:pPr>
              <w:pStyle w:val="BodyTextSMPC"/>
              <w:spacing w:after="0"/>
              <w:ind w:left="0"/>
            </w:pPr>
            <w:r w:rsidRPr="007A70CC">
              <w:t>&gt; 2 mg/L</w:t>
            </w:r>
          </w:p>
        </w:tc>
      </w:tr>
      <w:tr w:rsidR="007A70CC" w:rsidRPr="007A70CC" w14:paraId="16AF94CA" w14:textId="77777777" w:rsidTr="007A70CC">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1CCF76" w14:textId="77777777" w:rsidR="007A70CC" w:rsidRPr="007A70CC" w:rsidRDefault="007A70CC" w:rsidP="007A70CC">
            <w:pPr>
              <w:pStyle w:val="BodyTextSMPC"/>
              <w:spacing w:after="0"/>
              <w:ind w:left="0"/>
              <w:jc w:val="left"/>
            </w:pPr>
            <w:r w:rsidRPr="007A70CC">
              <w:rPr>
                <w:b/>
                <w:bCs/>
                <w:i/>
                <w:iCs/>
              </w:rPr>
              <w:t>Streptococcus pneumoniae </w:t>
            </w:r>
            <w:r w:rsidRPr="007A70CC">
              <w:t>(meningitis)</w:t>
            </w:r>
          </w:p>
        </w:tc>
        <w:tc>
          <w:tcPr>
            <w:tcW w:w="149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4FC154" w14:textId="77777777" w:rsidR="007A70CC" w:rsidRPr="007A70CC" w:rsidRDefault="007A70CC" w:rsidP="007A70CC">
            <w:pPr>
              <w:pStyle w:val="BodyTextSMPC"/>
              <w:spacing w:after="0"/>
              <w:ind w:left="0"/>
            </w:pPr>
            <w:r w:rsidRPr="007A70CC">
              <w:t>≤ 0.06 mg/L</w:t>
            </w:r>
          </w:p>
        </w:tc>
        <w:tc>
          <w:tcPr>
            <w:tcW w:w="16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B876BA" w14:textId="77777777" w:rsidR="007A70CC" w:rsidRPr="007A70CC" w:rsidRDefault="007A70CC" w:rsidP="007A70CC">
            <w:pPr>
              <w:pStyle w:val="BodyTextSMPC"/>
              <w:spacing w:after="0"/>
              <w:ind w:left="0"/>
            </w:pPr>
            <w:r w:rsidRPr="007A70CC">
              <w:t>&gt; 0.06 mg/L</w:t>
            </w:r>
          </w:p>
        </w:tc>
      </w:tr>
      <w:tr w:rsidR="007A70CC" w:rsidRPr="007A70CC" w14:paraId="5D3CB881" w14:textId="77777777" w:rsidTr="007A70CC">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EBCD57" w14:textId="77777777" w:rsidR="007A70CC" w:rsidRPr="007A70CC" w:rsidRDefault="007A70CC" w:rsidP="007A70CC">
            <w:pPr>
              <w:pStyle w:val="BodyTextSMPC"/>
              <w:spacing w:after="0"/>
              <w:ind w:left="0"/>
              <w:jc w:val="left"/>
            </w:pPr>
            <w:r w:rsidRPr="007A70CC">
              <w:rPr>
                <w:b/>
                <w:bCs/>
                <w:i/>
                <w:iCs/>
              </w:rPr>
              <w:t xml:space="preserve">Streptococci of the “ </w:t>
            </w:r>
            <w:proofErr w:type="spellStart"/>
            <w:r w:rsidRPr="007A70CC">
              <w:rPr>
                <w:b/>
                <w:bCs/>
                <w:i/>
                <w:iCs/>
              </w:rPr>
              <w:t>Viridans</w:t>
            </w:r>
            <w:proofErr w:type="spellEnd"/>
            <w:r w:rsidRPr="007A70CC">
              <w:rPr>
                <w:b/>
                <w:bCs/>
                <w:i/>
                <w:iCs/>
              </w:rPr>
              <w:t>” group</w:t>
            </w:r>
          </w:p>
        </w:tc>
        <w:tc>
          <w:tcPr>
            <w:tcW w:w="149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317925" w14:textId="77777777" w:rsidR="007A70CC" w:rsidRPr="007A70CC" w:rsidRDefault="007A70CC" w:rsidP="007A70CC">
            <w:pPr>
              <w:pStyle w:val="BodyTextSMPC"/>
              <w:spacing w:after="0"/>
              <w:ind w:left="0"/>
            </w:pPr>
            <w:r w:rsidRPr="007A70CC">
              <w:t>≤ 0.25 mg/L</w:t>
            </w:r>
          </w:p>
        </w:tc>
        <w:tc>
          <w:tcPr>
            <w:tcW w:w="16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01418E" w14:textId="77777777" w:rsidR="007A70CC" w:rsidRPr="007A70CC" w:rsidRDefault="007A70CC" w:rsidP="007A70CC">
            <w:pPr>
              <w:pStyle w:val="BodyTextSMPC"/>
              <w:spacing w:after="0"/>
              <w:ind w:left="0"/>
            </w:pPr>
            <w:r w:rsidRPr="007A70CC">
              <w:t>&gt; 2 mg/L</w:t>
            </w:r>
          </w:p>
        </w:tc>
      </w:tr>
      <w:tr w:rsidR="007A70CC" w:rsidRPr="007A70CC" w14:paraId="600CEA46" w14:textId="77777777" w:rsidTr="007A70CC">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7F177C" w14:textId="77777777" w:rsidR="007A70CC" w:rsidRPr="007A70CC" w:rsidRDefault="007A70CC" w:rsidP="007A70CC">
            <w:pPr>
              <w:pStyle w:val="BodyTextSMPC"/>
              <w:spacing w:after="0"/>
              <w:ind w:left="0"/>
              <w:jc w:val="left"/>
            </w:pPr>
            <w:r w:rsidRPr="007A70CC">
              <w:rPr>
                <w:b/>
                <w:bCs/>
                <w:i/>
                <w:iCs/>
              </w:rPr>
              <w:t>Neisseria gonorrhoeae</w:t>
            </w:r>
          </w:p>
        </w:tc>
        <w:tc>
          <w:tcPr>
            <w:tcW w:w="149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B4DC19" w14:textId="77777777" w:rsidR="007A70CC" w:rsidRPr="007A70CC" w:rsidRDefault="007A70CC" w:rsidP="007A70CC">
            <w:pPr>
              <w:pStyle w:val="BodyTextSMPC"/>
              <w:spacing w:after="0"/>
              <w:ind w:left="0"/>
            </w:pPr>
            <w:r w:rsidRPr="007A70CC">
              <w:t>≤ 0.06 mg/L</w:t>
            </w:r>
          </w:p>
        </w:tc>
        <w:tc>
          <w:tcPr>
            <w:tcW w:w="16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6C5BDD" w14:textId="77777777" w:rsidR="007A70CC" w:rsidRPr="007A70CC" w:rsidRDefault="007A70CC" w:rsidP="007A70CC">
            <w:pPr>
              <w:pStyle w:val="BodyTextSMPC"/>
              <w:spacing w:after="0"/>
              <w:ind w:left="0"/>
            </w:pPr>
            <w:r w:rsidRPr="007A70CC">
              <w:t>&gt; 1 mg/L</w:t>
            </w:r>
          </w:p>
        </w:tc>
      </w:tr>
      <w:tr w:rsidR="007A70CC" w:rsidRPr="007A70CC" w14:paraId="44F11AD6" w14:textId="77777777" w:rsidTr="007A70CC">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847A16" w14:textId="77777777" w:rsidR="007A70CC" w:rsidRPr="007A70CC" w:rsidRDefault="007A70CC" w:rsidP="007A70CC">
            <w:pPr>
              <w:pStyle w:val="BodyTextSMPC"/>
              <w:spacing w:after="0"/>
              <w:ind w:left="0"/>
              <w:jc w:val="left"/>
            </w:pPr>
            <w:r w:rsidRPr="007A70CC">
              <w:rPr>
                <w:b/>
                <w:bCs/>
              </w:rPr>
              <w:t>Neisseria meningitidis</w:t>
            </w:r>
          </w:p>
        </w:tc>
        <w:tc>
          <w:tcPr>
            <w:tcW w:w="149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4C8517" w14:textId="77777777" w:rsidR="007A70CC" w:rsidRPr="007A70CC" w:rsidRDefault="007A70CC" w:rsidP="007A70CC">
            <w:pPr>
              <w:pStyle w:val="BodyTextSMPC"/>
              <w:spacing w:after="0"/>
              <w:ind w:left="0"/>
            </w:pPr>
            <w:r w:rsidRPr="007A70CC">
              <w:t>≤ 0.06 mg/L</w:t>
            </w:r>
          </w:p>
        </w:tc>
        <w:tc>
          <w:tcPr>
            <w:tcW w:w="16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9AC129" w14:textId="77777777" w:rsidR="007A70CC" w:rsidRPr="007A70CC" w:rsidRDefault="007A70CC" w:rsidP="007A70CC">
            <w:pPr>
              <w:pStyle w:val="BodyTextSMPC"/>
              <w:spacing w:after="0"/>
              <w:ind w:left="0"/>
            </w:pPr>
            <w:r w:rsidRPr="007A70CC">
              <w:t>&gt; 0.25 mg/L</w:t>
            </w:r>
          </w:p>
        </w:tc>
      </w:tr>
      <w:tr w:rsidR="007A70CC" w:rsidRPr="007A70CC" w14:paraId="114D5EA1" w14:textId="77777777" w:rsidTr="007A70CC">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9F4E85" w14:textId="77777777" w:rsidR="007A70CC" w:rsidRPr="007A70CC" w:rsidRDefault="007A70CC" w:rsidP="007A70CC">
            <w:pPr>
              <w:pStyle w:val="BodyTextSMPC"/>
              <w:spacing w:after="0"/>
              <w:ind w:left="0"/>
              <w:jc w:val="left"/>
            </w:pPr>
            <w:r w:rsidRPr="007A70CC">
              <w:rPr>
                <w:b/>
                <w:bCs/>
                <w:i/>
                <w:iCs/>
              </w:rPr>
              <w:t>Gram-positive anaerobes</w:t>
            </w:r>
          </w:p>
        </w:tc>
        <w:tc>
          <w:tcPr>
            <w:tcW w:w="149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9428CC" w14:textId="77777777" w:rsidR="007A70CC" w:rsidRPr="007A70CC" w:rsidRDefault="007A70CC" w:rsidP="007A70CC">
            <w:pPr>
              <w:pStyle w:val="BodyTextSMPC"/>
              <w:spacing w:after="0"/>
              <w:ind w:left="0"/>
            </w:pPr>
            <w:r w:rsidRPr="007A70CC">
              <w:t>≤ 0.25 mg/L</w:t>
            </w:r>
          </w:p>
        </w:tc>
        <w:tc>
          <w:tcPr>
            <w:tcW w:w="16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EDE3EB" w14:textId="77777777" w:rsidR="007A70CC" w:rsidRPr="007A70CC" w:rsidRDefault="007A70CC" w:rsidP="007A70CC">
            <w:pPr>
              <w:pStyle w:val="BodyTextSMPC"/>
              <w:spacing w:after="0"/>
              <w:ind w:left="0"/>
            </w:pPr>
            <w:r w:rsidRPr="007A70CC">
              <w:t>&gt; 0.5 mg/L</w:t>
            </w:r>
          </w:p>
        </w:tc>
      </w:tr>
      <w:tr w:rsidR="007A70CC" w:rsidRPr="007A70CC" w14:paraId="457B52FE" w14:textId="77777777" w:rsidTr="007A70CC">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33F910" w14:textId="77777777" w:rsidR="007A70CC" w:rsidRPr="007A70CC" w:rsidRDefault="007A70CC" w:rsidP="007A70CC">
            <w:pPr>
              <w:pStyle w:val="BodyTextSMPC"/>
              <w:spacing w:after="0"/>
              <w:ind w:left="0"/>
              <w:jc w:val="left"/>
            </w:pPr>
            <w:r w:rsidRPr="007A70CC">
              <w:rPr>
                <w:b/>
                <w:bCs/>
                <w:i/>
                <w:iCs/>
              </w:rPr>
              <w:t>Gram-negative anaerobes</w:t>
            </w:r>
          </w:p>
        </w:tc>
        <w:tc>
          <w:tcPr>
            <w:tcW w:w="149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E6CBF4" w14:textId="77777777" w:rsidR="007A70CC" w:rsidRPr="007A70CC" w:rsidRDefault="007A70CC" w:rsidP="007A70CC">
            <w:pPr>
              <w:pStyle w:val="BodyTextSMPC"/>
              <w:spacing w:after="0"/>
              <w:ind w:left="0"/>
            </w:pPr>
            <w:r w:rsidRPr="007A70CC">
              <w:t>≤ 0.25 mg/L</w:t>
            </w:r>
          </w:p>
        </w:tc>
        <w:tc>
          <w:tcPr>
            <w:tcW w:w="16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2B341E" w14:textId="77777777" w:rsidR="007A70CC" w:rsidRPr="007A70CC" w:rsidRDefault="007A70CC" w:rsidP="007A70CC">
            <w:pPr>
              <w:pStyle w:val="BodyTextSMPC"/>
              <w:spacing w:after="0"/>
              <w:ind w:left="0"/>
            </w:pPr>
            <w:r w:rsidRPr="007A70CC">
              <w:t>&gt; 0.5 mg/L</w:t>
            </w:r>
          </w:p>
        </w:tc>
      </w:tr>
      <w:tr w:rsidR="007A70CC" w:rsidRPr="007A70CC" w14:paraId="4E1ACC97" w14:textId="77777777" w:rsidTr="007A70CC">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2BA9ED" w14:textId="77777777" w:rsidR="007A70CC" w:rsidRPr="007A70CC" w:rsidRDefault="007A70CC" w:rsidP="007A70CC">
            <w:pPr>
              <w:pStyle w:val="BodyTextSMPC"/>
              <w:spacing w:after="0"/>
              <w:ind w:left="0"/>
              <w:jc w:val="left"/>
            </w:pPr>
            <w:r w:rsidRPr="007A70CC">
              <w:rPr>
                <w:b/>
                <w:bCs/>
                <w:i/>
                <w:iCs/>
              </w:rPr>
              <w:t>Listeria monocytogenes</w:t>
            </w:r>
          </w:p>
        </w:tc>
        <w:tc>
          <w:tcPr>
            <w:tcW w:w="149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229FCB" w14:textId="77777777" w:rsidR="007A70CC" w:rsidRPr="007A70CC" w:rsidRDefault="007A70CC" w:rsidP="007A70CC">
            <w:pPr>
              <w:pStyle w:val="BodyTextSMPC"/>
              <w:spacing w:after="0"/>
              <w:ind w:left="0"/>
            </w:pPr>
            <w:r w:rsidRPr="007A70CC">
              <w:t>≤ 1 mg/L</w:t>
            </w:r>
          </w:p>
        </w:tc>
        <w:tc>
          <w:tcPr>
            <w:tcW w:w="16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591F84" w14:textId="77777777" w:rsidR="007A70CC" w:rsidRPr="007A70CC" w:rsidRDefault="007A70CC" w:rsidP="007A70CC">
            <w:pPr>
              <w:pStyle w:val="BodyTextSMPC"/>
              <w:spacing w:after="0"/>
              <w:ind w:left="0"/>
            </w:pPr>
            <w:r w:rsidRPr="007A70CC">
              <w:t>&gt; 1 mg/L</w:t>
            </w:r>
          </w:p>
        </w:tc>
      </w:tr>
      <w:tr w:rsidR="007A70CC" w:rsidRPr="007A70CC" w14:paraId="604CC8FB" w14:textId="77777777" w:rsidTr="007A70CC">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279B30" w14:textId="77777777" w:rsidR="007A70CC" w:rsidRPr="007A70CC" w:rsidRDefault="007A70CC" w:rsidP="007A70CC">
            <w:pPr>
              <w:pStyle w:val="BodyTextSMPC"/>
              <w:spacing w:after="0"/>
              <w:ind w:left="0"/>
              <w:jc w:val="left"/>
            </w:pPr>
            <w:r w:rsidRPr="007A70CC">
              <w:rPr>
                <w:b/>
                <w:bCs/>
                <w:i/>
                <w:iCs/>
              </w:rPr>
              <w:t xml:space="preserve">Pasteurella </w:t>
            </w:r>
            <w:proofErr w:type="spellStart"/>
            <w:r w:rsidRPr="007A70CC">
              <w:rPr>
                <w:b/>
                <w:bCs/>
                <w:i/>
                <w:iCs/>
              </w:rPr>
              <w:t>multocida</w:t>
            </w:r>
            <w:proofErr w:type="spellEnd"/>
          </w:p>
        </w:tc>
        <w:tc>
          <w:tcPr>
            <w:tcW w:w="149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797494" w14:textId="77777777" w:rsidR="007A70CC" w:rsidRPr="007A70CC" w:rsidRDefault="007A70CC" w:rsidP="007A70CC">
            <w:pPr>
              <w:pStyle w:val="BodyTextSMPC"/>
              <w:spacing w:after="0"/>
              <w:ind w:left="0"/>
            </w:pPr>
            <w:r w:rsidRPr="007A70CC">
              <w:t>≤ 0.5 mg/L</w:t>
            </w:r>
          </w:p>
        </w:tc>
        <w:tc>
          <w:tcPr>
            <w:tcW w:w="16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7A1A39" w14:textId="77777777" w:rsidR="007A70CC" w:rsidRPr="007A70CC" w:rsidRDefault="007A70CC" w:rsidP="007A70CC">
            <w:pPr>
              <w:pStyle w:val="BodyTextSMPC"/>
              <w:spacing w:after="0"/>
              <w:ind w:left="0"/>
            </w:pPr>
            <w:r w:rsidRPr="007A70CC">
              <w:t>&gt; 0.5 mg/L</w:t>
            </w:r>
          </w:p>
        </w:tc>
      </w:tr>
      <w:tr w:rsidR="007A70CC" w:rsidRPr="007A70CC" w14:paraId="31298536" w14:textId="77777777" w:rsidTr="007A70CC">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C741F0" w14:textId="77777777" w:rsidR="007A70CC" w:rsidRPr="007A70CC" w:rsidRDefault="007A70CC" w:rsidP="007A70CC">
            <w:pPr>
              <w:pStyle w:val="BodyTextSMPC"/>
              <w:spacing w:after="0"/>
              <w:ind w:left="0"/>
              <w:jc w:val="left"/>
            </w:pPr>
            <w:r w:rsidRPr="007A70CC">
              <w:rPr>
                <w:b/>
                <w:bCs/>
                <w:i/>
                <w:iCs/>
              </w:rPr>
              <w:t>Corynebacterium </w:t>
            </w:r>
            <w:r w:rsidRPr="007A70CC">
              <w:rPr>
                <w:b/>
                <w:bCs/>
              </w:rPr>
              <w:t>spp.</w:t>
            </w:r>
          </w:p>
        </w:tc>
        <w:tc>
          <w:tcPr>
            <w:tcW w:w="149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397E97" w14:textId="77777777" w:rsidR="007A70CC" w:rsidRPr="007A70CC" w:rsidRDefault="007A70CC" w:rsidP="007A70CC">
            <w:pPr>
              <w:pStyle w:val="BodyTextSMPC"/>
              <w:spacing w:after="0"/>
              <w:ind w:left="0"/>
            </w:pPr>
            <w:r w:rsidRPr="007A70CC">
              <w:t>≤ 0.125 mg/L</w:t>
            </w:r>
          </w:p>
        </w:tc>
        <w:tc>
          <w:tcPr>
            <w:tcW w:w="16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BA17A2" w14:textId="77777777" w:rsidR="007A70CC" w:rsidRPr="007A70CC" w:rsidRDefault="007A70CC" w:rsidP="007A70CC">
            <w:pPr>
              <w:pStyle w:val="BodyTextSMPC"/>
              <w:spacing w:after="0"/>
              <w:ind w:left="0"/>
            </w:pPr>
            <w:r w:rsidRPr="007A70CC">
              <w:t>&gt; 0.125 mg/L</w:t>
            </w:r>
          </w:p>
        </w:tc>
      </w:tr>
      <w:tr w:rsidR="007A70CC" w:rsidRPr="007A70CC" w14:paraId="18E58751" w14:textId="77777777" w:rsidTr="007A70CC">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E82D8E" w14:textId="77777777" w:rsidR="007A70CC" w:rsidRPr="007A70CC" w:rsidRDefault="007A70CC" w:rsidP="007A70CC">
            <w:pPr>
              <w:pStyle w:val="BodyTextSMPC"/>
              <w:spacing w:after="0"/>
              <w:ind w:left="0"/>
              <w:jc w:val="left"/>
            </w:pPr>
            <w:proofErr w:type="spellStart"/>
            <w:r w:rsidRPr="007A70CC">
              <w:rPr>
                <w:b/>
                <w:bCs/>
                <w:i/>
                <w:iCs/>
              </w:rPr>
              <w:t>Aerococcus</w:t>
            </w:r>
            <w:proofErr w:type="spellEnd"/>
            <w:r w:rsidRPr="007A70CC">
              <w:rPr>
                <w:b/>
                <w:bCs/>
                <w:i/>
                <w:iCs/>
              </w:rPr>
              <w:t xml:space="preserve"> </w:t>
            </w:r>
            <w:proofErr w:type="spellStart"/>
            <w:r w:rsidRPr="007A70CC">
              <w:rPr>
                <w:b/>
                <w:bCs/>
                <w:i/>
                <w:iCs/>
              </w:rPr>
              <w:t>sanguinicola</w:t>
            </w:r>
            <w:proofErr w:type="spellEnd"/>
            <w:r w:rsidRPr="007A70CC">
              <w:rPr>
                <w:b/>
                <w:bCs/>
                <w:i/>
                <w:iCs/>
              </w:rPr>
              <w:t xml:space="preserve"> and </w:t>
            </w:r>
            <w:proofErr w:type="spellStart"/>
            <w:r w:rsidRPr="007A70CC">
              <w:rPr>
                <w:b/>
                <w:bCs/>
                <w:i/>
                <w:iCs/>
              </w:rPr>
              <w:t>urinae</w:t>
            </w:r>
            <w:proofErr w:type="spellEnd"/>
          </w:p>
        </w:tc>
        <w:tc>
          <w:tcPr>
            <w:tcW w:w="149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285843" w14:textId="77777777" w:rsidR="007A70CC" w:rsidRPr="007A70CC" w:rsidRDefault="007A70CC" w:rsidP="007A70CC">
            <w:pPr>
              <w:pStyle w:val="BodyTextSMPC"/>
              <w:spacing w:after="0"/>
              <w:ind w:left="0"/>
            </w:pPr>
            <w:r w:rsidRPr="007A70CC">
              <w:t>≤ 0.125 mg/L</w:t>
            </w:r>
          </w:p>
        </w:tc>
        <w:tc>
          <w:tcPr>
            <w:tcW w:w="16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CEB43E" w14:textId="77777777" w:rsidR="007A70CC" w:rsidRPr="007A70CC" w:rsidRDefault="007A70CC" w:rsidP="007A70CC">
            <w:pPr>
              <w:pStyle w:val="BodyTextSMPC"/>
              <w:spacing w:after="0"/>
              <w:ind w:left="0"/>
            </w:pPr>
            <w:r w:rsidRPr="007A70CC">
              <w:t>&gt; 0.125 mg/L</w:t>
            </w:r>
          </w:p>
        </w:tc>
      </w:tr>
      <w:tr w:rsidR="007A70CC" w:rsidRPr="007A70CC" w14:paraId="62EA4675" w14:textId="77777777" w:rsidTr="007A70CC">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84EB45" w14:textId="77777777" w:rsidR="007A70CC" w:rsidRPr="007A70CC" w:rsidRDefault="007A70CC" w:rsidP="007A70CC">
            <w:pPr>
              <w:pStyle w:val="BodyTextSMPC"/>
              <w:spacing w:after="0"/>
              <w:ind w:left="0"/>
              <w:jc w:val="left"/>
            </w:pPr>
            <w:proofErr w:type="spellStart"/>
            <w:r w:rsidRPr="007A70CC">
              <w:rPr>
                <w:b/>
                <w:bCs/>
                <w:i/>
                <w:iCs/>
              </w:rPr>
              <w:t>Kingella</w:t>
            </w:r>
            <w:proofErr w:type="spellEnd"/>
            <w:r w:rsidRPr="007A70CC">
              <w:rPr>
                <w:b/>
                <w:bCs/>
                <w:i/>
                <w:iCs/>
              </w:rPr>
              <w:t xml:space="preserve"> </w:t>
            </w:r>
            <w:proofErr w:type="spellStart"/>
            <w:r w:rsidRPr="007A70CC">
              <w:rPr>
                <w:b/>
                <w:bCs/>
                <w:i/>
                <w:iCs/>
              </w:rPr>
              <w:t>kingae</w:t>
            </w:r>
            <w:proofErr w:type="spellEnd"/>
          </w:p>
        </w:tc>
        <w:tc>
          <w:tcPr>
            <w:tcW w:w="149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427C6C" w14:textId="77777777" w:rsidR="007A70CC" w:rsidRPr="007A70CC" w:rsidRDefault="007A70CC" w:rsidP="007A70CC">
            <w:pPr>
              <w:pStyle w:val="BodyTextSMPC"/>
              <w:spacing w:after="0"/>
              <w:ind w:left="0"/>
            </w:pPr>
            <w:r w:rsidRPr="007A70CC">
              <w:t>≤ 0.03 mg/L</w:t>
            </w:r>
          </w:p>
        </w:tc>
        <w:tc>
          <w:tcPr>
            <w:tcW w:w="16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AC2A94" w14:textId="77777777" w:rsidR="007A70CC" w:rsidRPr="007A70CC" w:rsidRDefault="007A70CC" w:rsidP="007A70CC">
            <w:pPr>
              <w:pStyle w:val="BodyTextSMPC"/>
              <w:spacing w:after="0"/>
              <w:ind w:left="0"/>
            </w:pPr>
            <w:r w:rsidRPr="007A70CC">
              <w:t>&gt; 0.03 mg/L</w:t>
            </w:r>
          </w:p>
        </w:tc>
      </w:tr>
      <w:tr w:rsidR="007A70CC" w:rsidRPr="007A70CC" w14:paraId="17B46DBF" w14:textId="77777777" w:rsidTr="007A70CC">
        <w:trPr>
          <w:tblCellSpacing w:w="0" w:type="dxa"/>
        </w:trPr>
        <w:tc>
          <w:tcPr>
            <w:tcW w:w="18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9DD669" w14:textId="77777777" w:rsidR="007A70CC" w:rsidRPr="007A70CC" w:rsidRDefault="007A70CC" w:rsidP="007A70CC">
            <w:pPr>
              <w:pStyle w:val="BodyTextSMPC"/>
              <w:spacing w:after="0"/>
              <w:ind w:left="0"/>
              <w:jc w:val="left"/>
            </w:pPr>
            <w:r w:rsidRPr="007A70CC">
              <w:rPr>
                <w:b/>
                <w:bCs/>
                <w:i/>
                <w:iCs/>
              </w:rPr>
              <w:t>PK/PD (Non-species-related)breakpoints*</w:t>
            </w:r>
          </w:p>
        </w:tc>
        <w:tc>
          <w:tcPr>
            <w:tcW w:w="149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37672A" w14:textId="77777777" w:rsidR="007A70CC" w:rsidRPr="007A70CC" w:rsidRDefault="007A70CC" w:rsidP="007A70CC">
            <w:pPr>
              <w:pStyle w:val="BodyTextSMPC"/>
              <w:spacing w:after="0"/>
              <w:ind w:left="0"/>
            </w:pPr>
            <w:r w:rsidRPr="007A70CC">
              <w:t>≤ 0.25 mg/L</w:t>
            </w:r>
          </w:p>
        </w:tc>
        <w:tc>
          <w:tcPr>
            <w:tcW w:w="16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7D9B1D" w14:textId="77777777" w:rsidR="007A70CC" w:rsidRPr="007A70CC" w:rsidRDefault="007A70CC" w:rsidP="007A70CC">
            <w:pPr>
              <w:pStyle w:val="BodyTextSMPC"/>
              <w:spacing w:after="0"/>
              <w:ind w:left="0"/>
            </w:pPr>
            <w:r w:rsidRPr="007A70CC">
              <w:t>&gt; 2 mg/L</w:t>
            </w:r>
          </w:p>
        </w:tc>
      </w:tr>
    </w:tbl>
    <w:p w14:paraId="2F059951" w14:textId="77F72863" w:rsidR="00227FD4" w:rsidRDefault="00227FD4" w:rsidP="00254057">
      <w:pPr>
        <w:pStyle w:val="BodyTextSMPC"/>
      </w:pPr>
    </w:p>
    <w:p w14:paraId="5CD76463" w14:textId="4CD8BCD5" w:rsidR="007A70CC" w:rsidRDefault="007A70CC" w:rsidP="007A70CC">
      <w:pPr>
        <w:pStyle w:val="BodyTextSMPC"/>
      </w:pPr>
      <w:r>
        <w:t>Prevalence of acquired resistance</w:t>
      </w:r>
    </w:p>
    <w:p w14:paraId="18B809E5" w14:textId="31D117AA" w:rsidR="007A70CC" w:rsidRDefault="007A70CC" w:rsidP="007A70CC">
      <w:pPr>
        <w:pStyle w:val="BodyTextSMPC"/>
      </w:pPr>
      <w:r>
        <w:t>The prevalence of acquired resistance in individual species may vary geographically and over time. Thus, local information on the resistance situation is required, particularly for the adequate treatment of severe infections. If, based on the local resistance situation, the efficacy of benzylpenicillin is questionable, expert therapeutic advice should be sought. Particularly in cases of serious infection or unsuccessful therapy, a microbiological diagnosis should be sought, with the detection of the pathogen and its susceptibility to benzylpenicillin.</w:t>
      </w:r>
    </w:p>
    <w:p w14:paraId="5B4428C1" w14:textId="67605893" w:rsidR="007A70CC" w:rsidRDefault="007A70CC" w:rsidP="007A70CC">
      <w:pPr>
        <w:pStyle w:val="BodyTextSMPC"/>
      </w:pPr>
      <w:r>
        <w:t>Prevalence of acquired resistance based on data from the past 5 years from national resistance monitoring projects and studies (version: April 2019):</w:t>
      </w:r>
    </w:p>
    <w:tbl>
      <w:tblPr>
        <w:tblW w:w="7938" w:type="dxa"/>
        <w:tblCellSpacing w:w="0" w:type="dxa"/>
        <w:tblInd w:w="843"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7938"/>
      </w:tblGrid>
      <w:tr w:rsidR="007A70CC" w:rsidRPr="007A70CC" w14:paraId="0C44103F"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53D0CC8D" w14:textId="77777777" w:rsidR="007A70CC" w:rsidRPr="007A70CC" w:rsidRDefault="007A70CC" w:rsidP="007A70CC">
            <w:pPr>
              <w:pStyle w:val="BodyTextSMPC"/>
              <w:spacing w:after="120"/>
              <w:ind w:left="0"/>
              <w:jc w:val="left"/>
            </w:pPr>
            <w:r w:rsidRPr="007A70CC">
              <w:rPr>
                <w:b/>
                <w:bCs/>
              </w:rPr>
              <w:lastRenderedPageBreak/>
              <w:t>Commonly susceptible species</w:t>
            </w:r>
          </w:p>
        </w:tc>
      </w:tr>
      <w:tr w:rsidR="007A70CC" w:rsidRPr="007A70CC" w14:paraId="0E39D464"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2A2FFE41" w14:textId="77777777" w:rsidR="007A70CC" w:rsidRPr="007A70CC" w:rsidRDefault="007A70CC" w:rsidP="007A70CC">
            <w:pPr>
              <w:pStyle w:val="BodyTextSMPC"/>
              <w:spacing w:after="120"/>
              <w:ind w:left="0"/>
              <w:jc w:val="left"/>
            </w:pPr>
            <w:r w:rsidRPr="007A70CC">
              <w:rPr>
                <w:b/>
                <w:bCs/>
                <w:i/>
                <w:iCs/>
              </w:rPr>
              <w:t>Aerobic Gram-positive micro-organisms</w:t>
            </w:r>
          </w:p>
        </w:tc>
      </w:tr>
      <w:tr w:rsidR="007A70CC" w:rsidRPr="007A70CC" w14:paraId="1806042F"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5B95AC76" w14:textId="77777777" w:rsidR="007A70CC" w:rsidRPr="007A70CC" w:rsidRDefault="007A70CC" w:rsidP="007A70CC">
            <w:pPr>
              <w:pStyle w:val="BodyTextSMPC"/>
              <w:spacing w:after="120"/>
              <w:ind w:left="0"/>
              <w:jc w:val="left"/>
            </w:pPr>
            <w:r w:rsidRPr="007A70CC">
              <w:rPr>
                <w:i/>
                <w:iCs/>
              </w:rPr>
              <w:t xml:space="preserve">Actinomyces </w:t>
            </w:r>
            <w:proofErr w:type="spellStart"/>
            <w:r w:rsidRPr="007A70CC">
              <w:rPr>
                <w:i/>
                <w:iCs/>
              </w:rPr>
              <w:t>israelii</w:t>
            </w:r>
            <w:proofErr w:type="spellEnd"/>
            <w:r w:rsidRPr="007A70CC">
              <w:rPr>
                <w:i/>
                <w:iCs/>
              </w:rPr>
              <w:t xml:space="preserve"> °</w:t>
            </w:r>
          </w:p>
        </w:tc>
      </w:tr>
      <w:tr w:rsidR="007A70CC" w:rsidRPr="007A70CC" w14:paraId="2C25FAC1"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39DB4655" w14:textId="77777777" w:rsidR="007A70CC" w:rsidRPr="007A70CC" w:rsidRDefault="007A70CC" w:rsidP="007A70CC">
            <w:pPr>
              <w:pStyle w:val="BodyTextSMPC"/>
              <w:spacing w:after="120"/>
              <w:ind w:left="0"/>
              <w:jc w:val="left"/>
            </w:pPr>
            <w:r w:rsidRPr="007A70CC">
              <w:rPr>
                <w:i/>
                <w:iCs/>
              </w:rPr>
              <w:t>Corynebacterium diphtheriae °</w:t>
            </w:r>
          </w:p>
        </w:tc>
      </w:tr>
      <w:tr w:rsidR="007A70CC" w:rsidRPr="007A70CC" w14:paraId="63DD15E2"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481189B7" w14:textId="77777777" w:rsidR="007A70CC" w:rsidRPr="007A70CC" w:rsidRDefault="007A70CC" w:rsidP="007A70CC">
            <w:pPr>
              <w:pStyle w:val="BodyTextSMPC"/>
              <w:spacing w:after="120"/>
              <w:ind w:left="0"/>
              <w:jc w:val="left"/>
            </w:pPr>
            <w:proofErr w:type="spellStart"/>
            <w:r w:rsidRPr="007A70CC">
              <w:rPr>
                <w:i/>
                <w:iCs/>
              </w:rPr>
              <w:t>Erysipelothrix</w:t>
            </w:r>
            <w:proofErr w:type="spellEnd"/>
            <w:r w:rsidRPr="007A70CC">
              <w:rPr>
                <w:i/>
                <w:iCs/>
              </w:rPr>
              <w:t xml:space="preserve"> </w:t>
            </w:r>
            <w:proofErr w:type="spellStart"/>
            <w:r w:rsidRPr="007A70CC">
              <w:rPr>
                <w:i/>
                <w:iCs/>
              </w:rPr>
              <w:t>rhusiopathiae</w:t>
            </w:r>
            <w:proofErr w:type="spellEnd"/>
            <w:r w:rsidRPr="007A70CC">
              <w:rPr>
                <w:i/>
                <w:iCs/>
              </w:rPr>
              <w:t xml:space="preserve"> °</w:t>
            </w:r>
          </w:p>
        </w:tc>
      </w:tr>
      <w:tr w:rsidR="007A70CC" w:rsidRPr="007A70CC" w14:paraId="38B44CD7"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339D683A" w14:textId="77777777" w:rsidR="007A70CC" w:rsidRPr="007A70CC" w:rsidRDefault="007A70CC" w:rsidP="007A70CC">
            <w:pPr>
              <w:pStyle w:val="BodyTextSMPC"/>
              <w:spacing w:after="120"/>
              <w:ind w:left="0"/>
              <w:jc w:val="left"/>
            </w:pPr>
            <w:r w:rsidRPr="007A70CC">
              <w:rPr>
                <w:i/>
                <w:iCs/>
              </w:rPr>
              <w:t>Gardnerella vaginalis °</w:t>
            </w:r>
          </w:p>
        </w:tc>
      </w:tr>
      <w:tr w:rsidR="007A70CC" w:rsidRPr="007A70CC" w14:paraId="012F29AD"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7F4B0CA" w14:textId="77777777" w:rsidR="007A70CC" w:rsidRPr="007A70CC" w:rsidRDefault="007A70CC" w:rsidP="007A70CC">
            <w:pPr>
              <w:pStyle w:val="BodyTextSMPC"/>
              <w:spacing w:after="120"/>
              <w:ind w:left="0"/>
              <w:jc w:val="left"/>
            </w:pPr>
            <w:r w:rsidRPr="007A70CC">
              <w:rPr>
                <w:i/>
                <w:iCs/>
              </w:rPr>
              <w:t>Streptococcus agalactiae</w:t>
            </w:r>
          </w:p>
        </w:tc>
      </w:tr>
      <w:tr w:rsidR="007A70CC" w:rsidRPr="007A70CC" w14:paraId="09A39909"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095E81BB" w14:textId="77777777" w:rsidR="007A70CC" w:rsidRPr="007A70CC" w:rsidRDefault="007A70CC" w:rsidP="007A70CC">
            <w:pPr>
              <w:pStyle w:val="BodyTextSMPC"/>
              <w:spacing w:after="120"/>
              <w:ind w:left="0"/>
              <w:jc w:val="left"/>
            </w:pPr>
            <w:r w:rsidRPr="007A70CC">
              <w:rPr>
                <w:i/>
                <w:iCs/>
              </w:rPr>
              <w:t>Streptococcus pneumoniae</w:t>
            </w:r>
          </w:p>
        </w:tc>
      </w:tr>
      <w:tr w:rsidR="007A70CC" w:rsidRPr="007A70CC" w14:paraId="0801E0A4"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6432B2CA" w14:textId="77777777" w:rsidR="007A70CC" w:rsidRPr="007A70CC" w:rsidRDefault="007A70CC" w:rsidP="007A70CC">
            <w:pPr>
              <w:pStyle w:val="BodyTextSMPC"/>
              <w:spacing w:after="120"/>
              <w:ind w:left="0"/>
              <w:jc w:val="left"/>
            </w:pPr>
            <w:r w:rsidRPr="007A70CC">
              <w:rPr>
                <w:i/>
                <w:iCs/>
              </w:rPr>
              <w:t>Streptococcus pyogenes</w:t>
            </w:r>
          </w:p>
        </w:tc>
      </w:tr>
      <w:tr w:rsidR="007A70CC" w:rsidRPr="007A70CC" w14:paraId="78EA6421"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4B13A8ED" w14:textId="77777777" w:rsidR="007A70CC" w:rsidRPr="007A70CC" w:rsidRDefault="007A70CC" w:rsidP="007A70CC">
            <w:pPr>
              <w:pStyle w:val="BodyTextSMPC"/>
              <w:spacing w:after="120"/>
              <w:ind w:left="0"/>
              <w:jc w:val="left"/>
            </w:pPr>
            <w:r w:rsidRPr="007A70CC">
              <w:rPr>
                <w:i/>
                <w:iCs/>
              </w:rPr>
              <w:t xml:space="preserve">Streptococcus </w:t>
            </w:r>
            <w:proofErr w:type="spellStart"/>
            <w:r w:rsidRPr="007A70CC">
              <w:rPr>
                <w:i/>
                <w:iCs/>
              </w:rPr>
              <w:t>dysgalactiae</w:t>
            </w:r>
            <w:proofErr w:type="spellEnd"/>
            <w:r w:rsidRPr="007A70CC">
              <w:t> subsp. </w:t>
            </w:r>
            <w:proofErr w:type="spellStart"/>
            <w:r w:rsidRPr="007A70CC">
              <w:rPr>
                <w:i/>
                <w:iCs/>
              </w:rPr>
              <w:t>equisimilis</w:t>
            </w:r>
            <w:proofErr w:type="spellEnd"/>
          </w:p>
          <w:p w14:paraId="4C447286" w14:textId="77777777" w:rsidR="007A70CC" w:rsidRPr="007A70CC" w:rsidRDefault="007A70CC" w:rsidP="007A70CC">
            <w:pPr>
              <w:pStyle w:val="BodyTextSMPC"/>
              <w:spacing w:after="120"/>
              <w:ind w:left="0"/>
              <w:jc w:val="left"/>
            </w:pPr>
            <w:r w:rsidRPr="007A70CC">
              <w:t>(Group C &amp; G streptococci )</w:t>
            </w:r>
          </w:p>
        </w:tc>
      </w:tr>
      <w:tr w:rsidR="007A70CC" w:rsidRPr="007A70CC" w14:paraId="320B5B6E"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531043F1" w14:textId="77777777" w:rsidR="007A70CC" w:rsidRPr="007A70CC" w:rsidRDefault="007A70CC" w:rsidP="007A70CC">
            <w:pPr>
              <w:pStyle w:val="BodyTextSMPC"/>
              <w:spacing w:after="120"/>
              <w:ind w:left="0"/>
              <w:jc w:val="left"/>
            </w:pPr>
            <w:r w:rsidRPr="007A70CC">
              <w:t xml:space="preserve">Streptococci of the “ </w:t>
            </w:r>
            <w:proofErr w:type="spellStart"/>
            <w:r w:rsidRPr="007A70CC">
              <w:t>Viridans</w:t>
            </w:r>
            <w:proofErr w:type="spellEnd"/>
            <w:r w:rsidRPr="007A70CC">
              <w:t>” group ° </w:t>
            </w:r>
            <w:r w:rsidRPr="007A70CC">
              <w:rPr>
                <w:vertAlign w:val="superscript"/>
              </w:rPr>
              <w:t>^</w:t>
            </w:r>
          </w:p>
        </w:tc>
      </w:tr>
      <w:tr w:rsidR="007A70CC" w:rsidRPr="007A70CC" w14:paraId="5E0CE65D"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8BF4D7E" w14:textId="77777777" w:rsidR="007A70CC" w:rsidRPr="007A70CC" w:rsidRDefault="007A70CC" w:rsidP="007A70CC">
            <w:pPr>
              <w:pStyle w:val="BodyTextSMPC"/>
              <w:spacing w:after="120"/>
              <w:ind w:left="0"/>
              <w:jc w:val="left"/>
            </w:pPr>
            <w:r w:rsidRPr="007A70CC">
              <w:rPr>
                <w:b/>
                <w:bCs/>
                <w:i/>
                <w:iCs/>
              </w:rPr>
              <w:t>Aerobic Gram-negative micro-organisms</w:t>
            </w:r>
          </w:p>
        </w:tc>
      </w:tr>
      <w:tr w:rsidR="007A70CC" w:rsidRPr="007A70CC" w14:paraId="67EECC6A"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2FEE66E9" w14:textId="77777777" w:rsidR="007A70CC" w:rsidRPr="007A70CC" w:rsidRDefault="007A70CC" w:rsidP="007A70CC">
            <w:pPr>
              <w:pStyle w:val="BodyTextSMPC"/>
              <w:spacing w:after="120"/>
              <w:ind w:left="0"/>
              <w:jc w:val="left"/>
            </w:pPr>
            <w:r w:rsidRPr="007A70CC">
              <w:rPr>
                <w:i/>
                <w:iCs/>
              </w:rPr>
              <w:t>Borrelia burgdorferi </w:t>
            </w:r>
            <w:r w:rsidRPr="007A70CC">
              <w:t>°</w:t>
            </w:r>
          </w:p>
        </w:tc>
      </w:tr>
      <w:tr w:rsidR="007A70CC" w:rsidRPr="007A70CC" w14:paraId="53F9DB17"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4F24DB32" w14:textId="77777777" w:rsidR="007A70CC" w:rsidRPr="007A70CC" w:rsidRDefault="007A70CC" w:rsidP="007A70CC">
            <w:pPr>
              <w:pStyle w:val="BodyTextSMPC"/>
              <w:spacing w:after="120"/>
              <w:ind w:left="0"/>
              <w:jc w:val="left"/>
            </w:pPr>
            <w:proofErr w:type="spellStart"/>
            <w:r w:rsidRPr="007A70CC">
              <w:rPr>
                <w:i/>
                <w:iCs/>
              </w:rPr>
              <w:t>Eikenella</w:t>
            </w:r>
            <w:proofErr w:type="spellEnd"/>
            <w:r w:rsidRPr="007A70CC">
              <w:rPr>
                <w:i/>
                <w:iCs/>
              </w:rPr>
              <w:t xml:space="preserve"> </w:t>
            </w:r>
            <w:proofErr w:type="spellStart"/>
            <w:r w:rsidRPr="007A70CC">
              <w:rPr>
                <w:i/>
                <w:iCs/>
              </w:rPr>
              <w:t>corrodens</w:t>
            </w:r>
            <w:proofErr w:type="spellEnd"/>
            <w:r w:rsidRPr="007A70CC">
              <w:rPr>
                <w:i/>
                <w:iCs/>
              </w:rPr>
              <w:t> </w:t>
            </w:r>
            <w:r w:rsidRPr="007A70CC">
              <w:t>° </w:t>
            </w:r>
            <w:r w:rsidRPr="007A70CC">
              <w:rPr>
                <w:vertAlign w:val="superscript"/>
              </w:rPr>
              <w:t>$</w:t>
            </w:r>
          </w:p>
        </w:tc>
      </w:tr>
      <w:tr w:rsidR="007A70CC" w:rsidRPr="007A70CC" w14:paraId="2599E50C"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3356D799" w14:textId="77777777" w:rsidR="007A70CC" w:rsidRPr="007A70CC" w:rsidRDefault="007A70CC" w:rsidP="007A70CC">
            <w:pPr>
              <w:pStyle w:val="BodyTextSMPC"/>
              <w:spacing w:after="120"/>
              <w:ind w:left="0"/>
              <w:jc w:val="left"/>
            </w:pPr>
            <w:proofErr w:type="spellStart"/>
            <w:r w:rsidRPr="007A70CC">
              <w:rPr>
                <w:i/>
                <w:iCs/>
              </w:rPr>
              <w:t>Haemophilus</w:t>
            </w:r>
            <w:proofErr w:type="spellEnd"/>
            <w:r w:rsidRPr="007A70CC">
              <w:rPr>
                <w:i/>
                <w:iCs/>
              </w:rPr>
              <w:t xml:space="preserve"> influenzae </w:t>
            </w:r>
            <w:r w:rsidRPr="007A70CC">
              <w:t>° </w:t>
            </w:r>
            <w:r w:rsidRPr="007A70CC">
              <w:rPr>
                <w:vertAlign w:val="superscript"/>
              </w:rPr>
              <w:t>$</w:t>
            </w:r>
          </w:p>
        </w:tc>
      </w:tr>
      <w:tr w:rsidR="007A70CC" w:rsidRPr="007A70CC" w14:paraId="160589D9"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1BF4B662" w14:textId="77777777" w:rsidR="007A70CC" w:rsidRPr="007A70CC" w:rsidRDefault="007A70CC" w:rsidP="007A70CC">
            <w:pPr>
              <w:pStyle w:val="BodyTextSMPC"/>
              <w:spacing w:after="120"/>
              <w:ind w:left="0"/>
              <w:jc w:val="left"/>
            </w:pPr>
            <w:r w:rsidRPr="007A70CC">
              <w:rPr>
                <w:i/>
                <w:iCs/>
              </w:rPr>
              <w:t>Neisseria meningitidis °</w:t>
            </w:r>
          </w:p>
        </w:tc>
      </w:tr>
      <w:tr w:rsidR="007A70CC" w:rsidRPr="007A70CC" w14:paraId="488D0EC9"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6D85FECE" w14:textId="77777777" w:rsidR="007A70CC" w:rsidRPr="007A70CC" w:rsidRDefault="007A70CC" w:rsidP="007A70CC">
            <w:pPr>
              <w:pStyle w:val="BodyTextSMPC"/>
              <w:spacing w:after="120"/>
              <w:ind w:left="0"/>
              <w:jc w:val="left"/>
            </w:pPr>
            <w:r w:rsidRPr="007A70CC">
              <w:rPr>
                <w:b/>
                <w:bCs/>
                <w:i/>
                <w:iCs/>
              </w:rPr>
              <w:t>Anaerobic micro-organisms</w:t>
            </w:r>
          </w:p>
        </w:tc>
      </w:tr>
      <w:tr w:rsidR="007A70CC" w:rsidRPr="007A70CC" w14:paraId="65C9E9F0"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667D08DD" w14:textId="77777777" w:rsidR="007A70CC" w:rsidRPr="007A70CC" w:rsidRDefault="007A70CC" w:rsidP="007A70CC">
            <w:pPr>
              <w:pStyle w:val="BodyTextSMPC"/>
              <w:spacing w:after="120"/>
              <w:ind w:left="0"/>
              <w:jc w:val="left"/>
            </w:pPr>
            <w:r w:rsidRPr="007A70CC">
              <w:rPr>
                <w:i/>
                <w:iCs/>
              </w:rPr>
              <w:t>Clostridium perfringens °</w:t>
            </w:r>
          </w:p>
        </w:tc>
      </w:tr>
      <w:tr w:rsidR="007A70CC" w:rsidRPr="007A70CC" w14:paraId="11B555AE"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0E208C5C" w14:textId="77777777" w:rsidR="007A70CC" w:rsidRPr="007A70CC" w:rsidRDefault="007A70CC" w:rsidP="007A70CC">
            <w:pPr>
              <w:pStyle w:val="BodyTextSMPC"/>
              <w:spacing w:after="120"/>
              <w:ind w:left="0"/>
              <w:jc w:val="left"/>
            </w:pPr>
            <w:r w:rsidRPr="007A70CC">
              <w:rPr>
                <w:i/>
                <w:iCs/>
              </w:rPr>
              <w:t>Clostridium tetani °</w:t>
            </w:r>
          </w:p>
        </w:tc>
      </w:tr>
      <w:tr w:rsidR="007A70CC" w:rsidRPr="007A70CC" w14:paraId="6B9F5E29"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4A4A6C9" w14:textId="77777777" w:rsidR="007A70CC" w:rsidRPr="007A70CC" w:rsidRDefault="007A70CC" w:rsidP="007A70CC">
            <w:pPr>
              <w:pStyle w:val="BodyTextSMPC"/>
              <w:spacing w:after="120"/>
              <w:ind w:left="0"/>
              <w:jc w:val="left"/>
            </w:pPr>
            <w:r w:rsidRPr="007A70CC">
              <w:rPr>
                <w:i/>
                <w:iCs/>
              </w:rPr>
              <w:t>Fusobacterium</w:t>
            </w:r>
            <w:r w:rsidRPr="007A70CC">
              <w:t> spp. °</w:t>
            </w:r>
          </w:p>
        </w:tc>
      </w:tr>
      <w:tr w:rsidR="007A70CC" w:rsidRPr="007A70CC" w14:paraId="0EE7FF6D"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5BEC2F86" w14:textId="77777777" w:rsidR="007A70CC" w:rsidRPr="007A70CC" w:rsidRDefault="007A70CC" w:rsidP="007A70CC">
            <w:pPr>
              <w:pStyle w:val="BodyTextSMPC"/>
              <w:spacing w:after="120"/>
              <w:ind w:left="0"/>
              <w:jc w:val="left"/>
            </w:pPr>
            <w:proofErr w:type="spellStart"/>
            <w:r w:rsidRPr="007A70CC">
              <w:rPr>
                <w:i/>
                <w:iCs/>
              </w:rPr>
              <w:t>Peptoniphilus</w:t>
            </w:r>
            <w:proofErr w:type="spellEnd"/>
            <w:r w:rsidRPr="007A70CC">
              <w:t> spp. °</w:t>
            </w:r>
          </w:p>
        </w:tc>
      </w:tr>
      <w:tr w:rsidR="007A70CC" w:rsidRPr="007A70CC" w14:paraId="7EA45A5C"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53EA09B" w14:textId="77777777" w:rsidR="007A70CC" w:rsidRPr="007A70CC" w:rsidRDefault="007A70CC" w:rsidP="007A70CC">
            <w:pPr>
              <w:pStyle w:val="BodyTextSMPC"/>
              <w:spacing w:after="120"/>
              <w:ind w:left="0"/>
              <w:jc w:val="left"/>
            </w:pPr>
            <w:proofErr w:type="spellStart"/>
            <w:r w:rsidRPr="007A70CC">
              <w:rPr>
                <w:i/>
                <w:iCs/>
              </w:rPr>
              <w:t>Peptostreptococcus</w:t>
            </w:r>
            <w:proofErr w:type="spellEnd"/>
            <w:r w:rsidRPr="007A70CC">
              <w:t> spp. °</w:t>
            </w:r>
          </w:p>
        </w:tc>
      </w:tr>
      <w:tr w:rsidR="007A70CC" w:rsidRPr="007A70CC" w14:paraId="55E560E4"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022B6599" w14:textId="77777777" w:rsidR="007A70CC" w:rsidRPr="007A70CC" w:rsidRDefault="007A70CC" w:rsidP="007A70CC">
            <w:pPr>
              <w:pStyle w:val="BodyTextSMPC"/>
              <w:spacing w:after="120"/>
              <w:ind w:left="0"/>
              <w:jc w:val="left"/>
            </w:pPr>
            <w:proofErr w:type="spellStart"/>
            <w:r w:rsidRPr="007A70CC">
              <w:rPr>
                <w:i/>
                <w:iCs/>
              </w:rPr>
              <w:t>Veillonella</w:t>
            </w:r>
            <w:proofErr w:type="spellEnd"/>
            <w:r w:rsidRPr="007A70CC">
              <w:rPr>
                <w:i/>
                <w:iCs/>
              </w:rPr>
              <w:t xml:space="preserve"> </w:t>
            </w:r>
            <w:proofErr w:type="spellStart"/>
            <w:r w:rsidRPr="007A70CC">
              <w:rPr>
                <w:i/>
                <w:iCs/>
              </w:rPr>
              <w:t>parvula</w:t>
            </w:r>
            <w:proofErr w:type="spellEnd"/>
            <w:r w:rsidRPr="007A70CC">
              <w:rPr>
                <w:i/>
                <w:iCs/>
              </w:rPr>
              <w:t xml:space="preserve"> °</w:t>
            </w:r>
          </w:p>
        </w:tc>
      </w:tr>
      <w:tr w:rsidR="007A70CC" w:rsidRPr="007A70CC" w14:paraId="631E0B01"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5BC30184" w14:textId="77777777" w:rsidR="007A70CC" w:rsidRPr="007A70CC" w:rsidRDefault="007A70CC" w:rsidP="007A70CC">
            <w:pPr>
              <w:pStyle w:val="BodyTextSMPC"/>
              <w:spacing w:after="120"/>
              <w:ind w:left="0"/>
              <w:jc w:val="left"/>
            </w:pPr>
            <w:r w:rsidRPr="007A70CC">
              <w:rPr>
                <w:b/>
                <w:bCs/>
                <w:i/>
                <w:iCs/>
              </w:rPr>
              <w:lastRenderedPageBreak/>
              <w:t>Other micro-organisms</w:t>
            </w:r>
          </w:p>
        </w:tc>
      </w:tr>
      <w:tr w:rsidR="007A70CC" w:rsidRPr="007A70CC" w14:paraId="14C7E571"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12990E57" w14:textId="77777777" w:rsidR="007A70CC" w:rsidRPr="007A70CC" w:rsidRDefault="007A70CC" w:rsidP="007A70CC">
            <w:pPr>
              <w:pStyle w:val="BodyTextSMPC"/>
              <w:spacing w:after="120"/>
              <w:ind w:left="0"/>
              <w:jc w:val="left"/>
            </w:pPr>
            <w:r w:rsidRPr="007A70CC">
              <w:rPr>
                <w:i/>
                <w:iCs/>
              </w:rPr>
              <w:t>Treponema pallidum °</w:t>
            </w:r>
          </w:p>
        </w:tc>
      </w:tr>
      <w:tr w:rsidR="007A70CC" w:rsidRPr="007A70CC" w14:paraId="1C9E2094"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53B9DE9D" w14:textId="77777777" w:rsidR="007A70CC" w:rsidRPr="007A70CC" w:rsidRDefault="007A70CC" w:rsidP="007A70CC">
            <w:pPr>
              <w:pStyle w:val="BodyTextSMPC"/>
              <w:spacing w:after="120"/>
              <w:ind w:left="0"/>
              <w:jc w:val="left"/>
            </w:pPr>
            <w:r w:rsidRPr="007A70CC">
              <w:rPr>
                <w:b/>
                <w:bCs/>
              </w:rPr>
              <w:t>Species in which acquired resistance may pose a problem during use</w:t>
            </w:r>
          </w:p>
        </w:tc>
      </w:tr>
      <w:tr w:rsidR="007A70CC" w:rsidRPr="007A70CC" w14:paraId="3A73333F"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95484AF" w14:textId="77777777" w:rsidR="007A70CC" w:rsidRPr="007A70CC" w:rsidRDefault="007A70CC" w:rsidP="007A70CC">
            <w:pPr>
              <w:pStyle w:val="BodyTextSMPC"/>
              <w:spacing w:after="120"/>
              <w:ind w:left="0"/>
              <w:jc w:val="left"/>
            </w:pPr>
            <w:r w:rsidRPr="007A70CC">
              <w:rPr>
                <w:b/>
                <w:bCs/>
                <w:i/>
                <w:iCs/>
              </w:rPr>
              <w:t>Aerobic Gram-positive micro-organisms</w:t>
            </w:r>
          </w:p>
        </w:tc>
      </w:tr>
      <w:tr w:rsidR="007A70CC" w:rsidRPr="007A70CC" w14:paraId="3F9C9B24"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081D385" w14:textId="77777777" w:rsidR="007A70CC" w:rsidRPr="007A70CC" w:rsidRDefault="007A70CC" w:rsidP="007A70CC">
            <w:pPr>
              <w:pStyle w:val="BodyTextSMPC"/>
              <w:spacing w:after="120"/>
              <w:ind w:left="0"/>
              <w:jc w:val="left"/>
            </w:pPr>
            <w:r w:rsidRPr="007A70CC">
              <w:rPr>
                <w:i/>
                <w:iCs/>
              </w:rPr>
              <w:t>Enterococcus faecalis </w:t>
            </w:r>
            <w:r w:rsidRPr="007A70CC">
              <w:rPr>
                <w:vertAlign w:val="superscript"/>
              </w:rPr>
              <w:t>$</w:t>
            </w:r>
          </w:p>
        </w:tc>
      </w:tr>
      <w:tr w:rsidR="007A70CC" w:rsidRPr="007A70CC" w14:paraId="580AE8D7"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5F87770" w14:textId="77777777" w:rsidR="007A70CC" w:rsidRPr="007A70CC" w:rsidRDefault="007A70CC" w:rsidP="007A70CC">
            <w:pPr>
              <w:pStyle w:val="BodyTextSMPC"/>
              <w:spacing w:after="120"/>
              <w:ind w:left="0"/>
              <w:jc w:val="left"/>
            </w:pPr>
            <w:r w:rsidRPr="007A70CC">
              <w:rPr>
                <w:i/>
                <w:iCs/>
              </w:rPr>
              <w:t>Staphylococcus aureus </w:t>
            </w:r>
            <w:r w:rsidRPr="007A70CC">
              <w:rPr>
                <w:vertAlign w:val="superscript"/>
              </w:rPr>
              <w:t>+</w:t>
            </w:r>
          </w:p>
        </w:tc>
      </w:tr>
      <w:tr w:rsidR="007A70CC" w:rsidRPr="007A70CC" w14:paraId="72305C19"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35936256" w14:textId="77777777" w:rsidR="007A70CC" w:rsidRPr="007A70CC" w:rsidRDefault="007A70CC" w:rsidP="007A70CC">
            <w:pPr>
              <w:pStyle w:val="BodyTextSMPC"/>
              <w:spacing w:after="120"/>
              <w:ind w:left="0"/>
              <w:jc w:val="left"/>
            </w:pPr>
            <w:r w:rsidRPr="007A70CC">
              <w:rPr>
                <w:i/>
                <w:iCs/>
              </w:rPr>
              <w:t>Staphylococcus epidermidis </w:t>
            </w:r>
            <w:r w:rsidRPr="007A70CC">
              <w:rPr>
                <w:vertAlign w:val="superscript"/>
              </w:rPr>
              <w:t>+</w:t>
            </w:r>
          </w:p>
        </w:tc>
      </w:tr>
      <w:tr w:rsidR="007A70CC" w:rsidRPr="007A70CC" w14:paraId="6C2C241C"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444A29A3" w14:textId="77777777" w:rsidR="007A70CC" w:rsidRPr="007A70CC" w:rsidRDefault="007A70CC" w:rsidP="007A70CC">
            <w:pPr>
              <w:pStyle w:val="BodyTextSMPC"/>
              <w:spacing w:after="120"/>
              <w:ind w:left="0"/>
              <w:jc w:val="left"/>
            </w:pPr>
            <w:r w:rsidRPr="007A70CC">
              <w:rPr>
                <w:i/>
                <w:iCs/>
              </w:rPr>
              <w:t xml:space="preserve">Staphylococcus </w:t>
            </w:r>
            <w:proofErr w:type="spellStart"/>
            <w:r w:rsidRPr="007A70CC">
              <w:rPr>
                <w:i/>
                <w:iCs/>
              </w:rPr>
              <w:t>haemolyticus</w:t>
            </w:r>
            <w:proofErr w:type="spellEnd"/>
            <w:r w:rsidRPr="007A70CC">
              <w:rPr>
                <w:i/>
                <w:iCs/>
              </w:rPr>
              <w:t> </w:t>
            </w:r>
            <w:r w:rsidRPr="007A70CC">
              <w:rPr>
                <w:vertAlign w:val="superscript"/>
              </w:rPr>
              <w:t>+</w:t>
            </w:r>
          </w:p>
        </w:tc>
      </w:tr>
      <w:tr w:rsidR="007A70CC" w:rsidRPr="007A70CC" w14:paraId="5C53A174"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4723477" w14:textId="77777777" w:rsidR="007A70CC" w:rsidRPr="007A70CC" w:rsidRDefault="007A70CC" w:rsidP="007A70CC">
            <w:pPr>
              <w:pStyle w:val="BodyTextSMPC"/>
              <w:spacing w:after="120"/>
              <w:ind w:left="0"/>
              <w:jc w:val="left"/>
            </w:pPr>
            <w:r w:rsidRPr="007A70CC">
              <w:rPr>
                <w:i/>
                <w:iCs/>
              </w:rPr>
              <w:t>Staphylococcus hominis </w:t>
            </w:r>
            <w:r w:rsidRPr="007A70CC">
              <w:rPr>
                <w:vertAlign w:val="superscript"/>
              </w:rPr>
              <w:t>+</w:t>
            </w:r>
          </w:p>
        </w:tc>
      </w:tr>
      <w:tr w:rsidR="007A70CC" w:rsidRPr="007A70CC" w14:paraId="50479AE2"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0F65D275" w14:textId="77777777" w:rsidR="007A70CC" w:rsidRPr="007A70CC" w:rsidRDefault="007A70CC" w:rsidP="007A70CC">
            <w:pPr>
              <w:pStyle w:val="BodyTextSMPC"/>
              <w:spacing w:after="120"/>
              <w:ind w:left="0"/>
              <w:jc w:val="left"/>
            </w:pPr>
            <w:r w:rsidRPr="007A70CC">
              <w:rPr>
                <w:b/>
                <w:bCs/>
                <w:i/>
                <w:iCs/>
              </w:rPr>
              <w:t>Aerobic Gram-negative micro-organisms</w:t>
            </w:r>
          </w:p>
        </w:tc>
      </w:tr>
      <w:tr w:rsidR="007A70CC" w:rsidRPr="007A70CC" w14:paraId="37E97572"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660DBBC6" w14:textId="77777777" w:rsidR="007A70CC" w:rsidRPr="007A70CC" w:rsidRDefault="007A70CC" w:rsidP="007A70CC">
            <w:pPr>
              <w:pStyle w:val="BodyTextSMPC"/>
              <w:spacing w:after="120"/>
              <w:ind w:left="0"/>
              <w:jc w:val="left"/>
            </w:pPr>
            <w:r w:rsidRPr="007A70CC">
              <w:rPr>
                <w:i/>
                <w:iCs/>
              </w:rPr>
              <w:t>Neisseria gonorrhoeae </w:t>
            </w:r>
            <w:r w:rsidRPr="007A70CC">
              <w:rPr>
                <w:vertAlign w:val="superscript"/>
              </w:rPr>
              <w:t>$</w:t>
            </w:r>
          </w:p>
        </w:tc>
      </w:tr>
      <w:tr w:rsidR="007A70CC" w:rsidRPr="007A70CC" w14:paraId="6FCB6590"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124B5A14" w14:textId="77777777" w:rsidR="007A70CC" w:rsidRPr="007A70CC" w:rsidRDefault="007A70CC" w:rsidP="007A70CC">
            <w:pPr>
              <w:pStyle w:val="BodyTextSMPC"/>
              <w:spacing w:after="120"/>
              <w:ind w:left="0"/>
              <w:jc w:val="left"/>
            </w:pPr>
            <w:r w:rsidRPr="007A70CC">
              <w:rPr>
                <w:b/>
                <w:bCs/>
              </w:rPr>
              <w:t>Naturally resistant species</w:t>
            </w:r>
          </w:p>
        </w:tc>
      </w:tr>
      <w:tr w:rsidR="007A70CC" w:rsidRPr="007A70CC" w14:paraId="62AF78ED"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69043D45" w14:textId="77777777" w:rsidR="007A70CC" w:rsidRPr="007A70CC" w:rsidRDefault="007A70CC" w:rsidP="007A70CC">
            <w:pPr>
              <w:pStyle w:val="BodyTextSMPC"/>
              <w:spacing w:after="120"/>
              <w:ind w:left="0"/>
              <w:jc w:val="left"/>
            </w:pPr>
            <w:r w:rsidRPr="007A70CC">
              <w:rPr>
                <w:b/>
                <w:bCs/>
                <w:i/>
                <w:iCs/>
              </w:rPr>
              <w:t>Aerobic Gram-positive micro-organisms</w:t>
            </w:r>
          </w:p>
        </w:tc>
      </w:tr>
      <w:tr w:rsidR="007A70CC" w:rsidRPr="007A70CC" w14:paraId="38D9AAC4"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00BEF56B" w14:textId="77777777" w:rsidR="007A70CC" w:rsidRPr="007A70CC" w:rsidRDefault="007A70CC" w:rsidP="007A70CC">
            <w:pPr>
              <w:pStyle w:val="BodyTextSMPC"/>
              <w:spacing w:after="120"/>
              <w:ind w:left="0"/>
              <w:jc w:val="left"/>
            </w:pPr>
            <w:r w:rsidRPr="007A70CC">
              <w:rPr>
                <w:i/>
                <w:iCs/>
              </w:rPr>
              <w:t>Enterococcus faecium</w:t>
            </w:r>
          </w:p>
        </w:tc>
      </w:tr>
      <w:tr w:rsidR="007A70CC" w:rsidRPr="007A70CC" w14:paraId="67C56355"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1178F115" w14:textId="77777777" w:rsidR="007A70CC" w:rsidRPr="007A70CC" w:rsidRDefault="007A70CC" w:rsidP="007A70CC">
            <w:pPr>
              <w:pStyle w:val="BodyTextSMPC"/>
              <w:spacing w:after="120"/>
              <w:ind w:left="0"/>
              <w:jc w:val="left"/>
            </w:pPr>
            <w:r w:rsidRPr="007A70CC">
              <w:rPr>
                <w:i/>
                <w:iCs/>
              </w:rPr>
              <w:t xml:space="preserve">Nocardia </w:t>
            </w:r>
            <w:proofErr w:type="spellStart"/>
            <w:r w:rsidRPr="007A70CC">
              <w:rPr>
                <w:i/>
                <w:iCs/>
              </w:rPr>
              <w:t>asteroides</w:t>
            </w:r>
            <w:proofErr w:type="spellEnd"/>
          </w:p>
        </w:tc>
      </w:tr>
      <w:tr w:rsidR="007A70CC" w:rsidRPr="007A70CC" w14:paraId="512B591E"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1A809045" w14:textId="77777777" w:rsidR="007A70CC" w:rsidRPr="007A70CC" w:rsidRDefault="007A70CC" w:rsidP="007A70CC">
            <w:pPr>
              <w:pStyle w:val="BodyTextSMPC"/>
              <w:spacing w:after="120"/>
              <w:ind w:left="0"/>
              <w:jc w:val="left"/>
            </w:pPr>
            <w:r w:rsidRPr="007A70CC">
              <w:rPr>
                <w:b/>
                <w:bCs/>
                <w:i/>
                <w:iCs/>
              </w:rPr>
              <w:t>Aerobic Gram-negative micro-organisms</w:t>
            </w:r>
          </w:p>
        </w:tc>
      </w:tr>
      <w:tr w:rsidR="007A70CC" w:rsidRPr="007A70CC" w14:paraId="28326717"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0706BAA1" w14:textId="77777777" w:rsidR="007A70CC" w:rsidRPr="007A70CC" w:rsidRDefault="007A70CC" w:rsidP="007A70CC">
            <w:pPr>
              <w:pStyle w:val="BodyTextSMPC"/>
              <w:spacing w:after="120"/>
              <w:ind w:left="0"/>
              <w:jc w:val="left"/>
            </w:pPr>
            <w:r w:rsidRPr="007A70CC">
              <w:t>All </w:t>
            </w:r>
            <w:proofErr w:type="spellStart"/>
            <w:r w:rsidRPr="007A70CC">
              <w:rPr>
                <w:i/>
                <w:iCs/>
              </w:rPr>
              <w:t>Enterobacterales</w:t>
            </w:r>
            <w:proofErr w:type="spellEnd"/>
            <w:r w:rsidRPr="007A70CC">
              <w:rPr>
                <w:i/>
                <w:iCs/>
              </w:rPr>
              <w:t> </w:t>
            </w:r>
            <w:r w:rsidRPr="007A70CC">
              <w:t>species</w:t>
            </w:r>
          </w:p>
        </w:tc>
      </w:tr>
      <w:tr w:rsidR="007A70CC" w:rsidRPr="007A70CC" w14:paraId="77172B2A"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30A9A477" w14:textId="77777777" w:rsidR="007A70CC" w:rsidRPr="007A70CC" w:rsidRDefault="007A70CC" w:rsidP="007A70CC">
            <w:pPr>
              <w:pStyle w:val="BodyTextSMPC"/>
              <w:spacing w:after="120"/>
              <w:ind w:left="0"/>
              <w:jc w:val="left"/>
            </w:pPr>
            <w:r w:rsidRPr="007A70CC">
              <w:rPr>
                <w:i/>
                <w:iCs/>
              </w:rPr>
              <w:t>Legionella pneumophila</w:t>
            </w:r>
          </w:p>
        </w:tc>
      </w:tr>
      <w:tr w:rsidR="007A70CC" w:rsidRPr="007A70CC" w14:paraId="7E4C8CF5"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4EDFE477" w14:textId="77777777" w:rsidR="007A70CC" w:rsidRPr="007A70CC" w:rsidRDefault="007A70CC" w:rsidP="007A70CC">
            <w:pPr>
              <w:pStyle w:val="BodyTextSMPC"/>
              <w:spacing w:after="120"/>
              <w:ind w:left="0"/>
              <w:jc w:val="left"/>
            </w:pPr>
            <w:r w:rsidRPr="007A70CC">
              <w:rPr>
                <w:i/>
                <w:iCs/>
              </w:rPr>
              <w:t>Moraxella catarrhalis</w:t>
            </w:r>
          </w:p>
        </w:tc>
      </w:tr>
      <w:tr w:rsidR="007A70CC" w:rsidRPr="007A70CC" w14:paraId="7D6859B8"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59C88A23" w14:textId="77777777" w:rsidR="007A70CC" w:rsidRPr="007A70CC" w:rsidRDefault="007A70CC" w:rsidP="007A70CC">
            <w:pPr>
              <w:pStyle w:val="BodyTextSMPC"/>
              <w:spacing w:after="120"/>
              <w:ind w:left="0"/>
              <w:jc w:val="left"/>
            </w:pPr>
            <w:r w:rsidRPr="007A70CC">
              <w:rPr>
                <w:i/>
                <w:iCs/>
              </w:rPr>
              <w:t>Pseudomonas aeruginosa</w:t>
            </w:r>
          </w:p>
        </w:tc>
      </w:tr>
      <w:tr w:rsidR="007A70CC" w:rsidRPr="007A70CC" w14:paraId="68436F08"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2746F576" w14:textId="77777777" w:rsidR="007A70CC" w:rsidRPr="007A70CC" w:rsidRDefault="007A70CC" w:rsidP="007A70CC">
            <w:pPr>
              <w:pStyle w:val="BodyTextSMPC"/>
              <w:spacing w:after="120"/>
              <w:ind w:left="0"/>
              <w:jc w:val="left"/>
            </w:pPr>
            <w:r w:rsidRPr="007A70CC">
              <w:rPr>
                <w:b/>
                <w:bCs/>
                <w:i/>
                <w:iCs/>
              </w:rPr>
              <w:t>Anaerobic micro-organisms</w:t>
            </w:r>
          </w:p>
        </w:tc>
      </w:tr>
      <w:tr w:rsidR="007A70CC" w:rsidRPr="007A70CC" w14:paraId="7CA60BE8"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E076476" w14:textId="77777777" w:rsidR="007A70CC" w:rsidRPr="007A70CC" w:rsidRDefault="007A70CC" w:rsidP="007A70CC">
            <w:pPr>
              <w:pStyle w:val="BodyTextSMPC"/>
              <w:spacing w:after="120"/>
              <w:ind w:left="0"/>
              <w:jc w:val="left"/>
            </w:pPr>
            <w:r w:rsidRPr="007A70CC">
              <w:rPr>
                <w:i/>
                <w:iCs/>
              </w:rPr>
              <w:t>Bacteroides </w:t>
            </w:r>
            <w:r w:rsidRPr="007A70CC">
              <w:t>spp.</w:t>
            </w:r>
          </w:p>
        </w:tc>
      </w:tr>
      <w:tr w:rsidR="007A70CC" w:rsidRPr="007A70CC" w14:paraId="3D56EF0D"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0923CC07" w14:textId="77777777" w:rsidR="007A70CC" w:rsidRPr="007A70CC" w:rsidRDefault="007A70CC" w:rsidP="007A70CC">
            <w:pPr>
              <w:pStyle w:val="BodyTextSMPC"/>
              <w:spacing w:after="120"/>
              <w:ind w:left="0"/>
              <w:jc w:val="left"/>
            </w:pPr>
            <w:r w:rsidRPr="007A70CC">
              <w:rPr>
                <w:b/>
                <w:bCs/>
                <w:i/>
                <w:iCs/>
              </w:rPr>
              <w:t>Other micro-organisms</w:t>
            </w:r>
          </w:p>
        </w:tc>
      </w:tr>
      <w:tr w:rsidR="007A70CC" w:rsidRPr="007A70CC" w14:paraId="4A0F0E07"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4B1D9CA4" w14:textId="77777777" w:rsidR="007A70CC" w:rsidRPr="007A70CC" w:rsidRDefault="007A70CC" w:rsidP="007A70CC">
            <w:pPr>
              <w:pStyle w:val="BodyTextSMPC"/>
              <w:spacing w:after="120"/>
              <w:ind w:left="0"/>
              <w:jc w:val="left"/>
            </w:pPr>
            <w:r w:rsidRPr="007A70CC">
              <w:rPr>
                <w:i/>
                <w:iCs/>
              </w:rPr>
              <w:lastRenderedPageBreak/>
              <w:t>Chlamydia</w:t>
            </w:r>
            <w:r w:rsidRPr="007A70CC">
              <w:t> spp.</w:t>
            </w:r>
          </w:p>
        </w:tc>
      </w:tr>
      <w:tr w:rsidR="007A70CC" w:rsidRPr="007A70CC" w14:paraId="3579A181"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3E9A0333" w14:textId="77777777" w:rsidR="007A70CC" w:rsidRPr="007A70CC" w:rsidRDefault="007A70CC" w:rsidP="007A70CC">
            <w:pPr>
              <w:pStyle w:val="BodyTextSMPC"/>
              <w:spacing w:after="120"/>
              <w:ind w:left="0"/>
              <w:jc w:val="left"/>
            </w:pPr>
            <w:r w:rsidRPr="007A70CC">
              <w:rPr>
                <w:i/>
                <w:iCs/>
              </w:rPr>
              <w:t>Chlamydophila</w:t>
            </w:r>
            <w:r w:rsidRPr="007A70CC">
              <w:t> spp.</w:t>
            </w:r>
          </w:p>
        </w:tc>
      </w:tr>
      <w:tr w:rsidR="007A70CC" w:rsidRPr="007A70CC" w14:paraId="25423BF8" w14:textId="77777777" w:rsidTr="007A70C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1635B3DF" w14:textId="77777777" w:rsidR="007A70CC" w:rsidRPr="007A70CC" w:rsidRDefault="007A70CC" w:rsidP="007A70CC">
            <w:pPr>
              <w:pStyle w:val="BodyTextSMPC"/>
              <w:spacing w:after="120"/>
              <w:ind w:left="0"/>
              <w:jc w:val="left"/>
            </w:pPr>
            <w:r w:rsidRPr="007A70CC">
              <w:rPr>
                <w:i/>
                <w:iCs/>
              </w:rPr>
              <w:t>Mycoplasma </w:t>
            </w:r>
            <w:r w:rsidRPr="007A70CC">
              <w:t>spp.</w:t>
            </w:r>
          </w:p>
        </w:tc>
      </w:tr>
    </w:tbl>
    <w:p w14:paraId="3F6999D7" w14:textId="134B7341" w:rsidR="00C36E7B" w:rsidRDefault="00C36E7B" w:rsidP="00C36E7B">
      <w:pPr>
        <w:pStyle w:val="BodyTextSMPC"/>
        <w:spacing w:before="240"/>
      </w:pPr>
      <w:r>
        <w:t>° At the time of the publishing of the table, no current data were available. Susceptibility is assumed in the primary literature, standard works and therapeutic recommendations.</w:t>
      </w:r>
    </w:p>
    <w:p w14:paraId="1358D38D" w14:textId="50913A30" w:rsidR="00C36E7B" w:rsidRDefault="00C36E7B" w:rsidP="00C36E7B">
      <w:pPr>
        <w:pStyle w:val="BodyTextSMPC"/>
      </w:pPr>
      <w:r>
        <w:t>$ The natural susceptibility of most isolates is within the intermediate range.</w:t>
      </w:r>
    </w:p>
    <w:p w14:paraId="31456779" w14:textId="6E721867" w:rsidR="00C36E7B" w:rsidRDefault="00C36E7B" w:rsidP="00C36E7B">
      <w:pPr>
        <w:pStyle w:val="BodyTextSMPC"/>
      </w:pPr>
      <w:r>
        <w:t>+ In at least one region, the resistance rate is over 50%.</w:t>
      </w:r>
    </w:p>
    <w:p w14:paraId="4920FC70" w14:textId="4E9F4A06" w:rsidR="007A70CC" w:rsidRPr="00254057" w:rsidRDefault="00C36E7B" w:rsidP="00C36E7B">
      <w:pPr>
        <w:pStyle w:val="BodyTextSMPC"/>
      </w:pPr>
      <w:r>
        <w:t>^ Collective name for a heterogeneous group of streptococci species. The resistance rate can vary depending on the streptococci species present.</w:t>
      </w:r>
    </w:p>
    <w:p w14:paraId="04D77DAA" w14:textId="7BED606D" w:rsidR="00227FD4" w:rsidRPr="008F5678" w:rsidRDefault="00000000" w:rsidP="00671E86">
      <w:pPr>
        <w:pStyle w:val="SubHeafingSMPC"/>
      </w:pPr>
      <w:r w:rsidRPr="008F5678">
        <w:t xml:space="preserve">Pharmacokinetic properties </w:t>
      </w:r>
    </w:p>
    <w:p w14:paraId="2FE94D27" w14:textId="020ED474" w:rsidR="00C36E7B" w:rsidRPr="00C36E7B" w:rsidRDefault="00C36E7B" w:rsidP="00C36E7B">
      <w:pPr>
        <w:pStyle w:val="BodyTextSMPC"/>
        <w:rPr>
          <w:b/>
          <w:bCs/>
        </w:rPr>
      </w:pPr>
      <w:r w:rsidRPr="00C36E7B">
        <w:rPr>
          <w:b/>
          <w:bCs/>
        </w:rPr>
        <w:t>Absorption</w:t>
      </w:r>
    </w:p>
    <w:p w14:paraId="01F78F31" w14:textId="0DF91AAB" w:rsidR="00C36E7B" w:rsidRDefault="00C36E7B" w:rsidP="00C36E7B">
      <w:pPr>
        <w:pStyle w:val="BodyTextSMPC"/>
      </w:pPr>
      <w:r>
        <w:t>Benzylpenicillin is not acid-stable and can therefore only be administered parenterally.</w:t>
      </w:r>
    </w:p>
    <w:p w14:paraId="6DF08493" w14:textId="2880D244" w:rsidR="00C36E7B" w:rsidRDefault="00C36E7B" w:rsidP="00C36E7B">
      <w:pPr>
        <w:pStyle w:val="BodyTextSMPC"/>
      </w:pPr>
      <w:r>
        <w:t>The alkali salts of benzylpenicillin are rapidly and completely absorbed after IM injection.</w:t>
      </w:r>
    </w:p>
    <w:p w14:paraId="76F14DB0" w14:textId="3F1AEB45" w:rsidR="006D4823" w:rsidRPr="006D4823" w:rsidRDefault="00C36E7B" w:rsidP="00C36E7B">
      <w:pPr>
        <w:pStyle w:val="BodyTextSMPC"/>
      </w:pPr>
      <w:r>
        <w:t>Peak plasma levels of 0.09-0.12 mg/mL are reached 15 - 30 min. after IM injection of 6000 mg Benzylpenicillin. After a short infusion (30 min.), peak levels of up to 0.3 mg/mL may be reached. About 55% of the administered dose is bound to plasma proteins.</w:t>
      </w:r>
    </w:p>
    <w:p w14:paraId="48E0DA96" w14:textId="3DD1BEC3" w:rsidR="006D4823" w:rsidRPr="006D4823" w:rsidRDefault="006D4823" w:rsidP="006D4823">
      <w:pPr>
        <w:pStyle w:val="BodyTextSMPC"/>
      </w:pPr>
      <w:r w:rsidRPr="00C36E7B">
        <w:rPr>
          <w:b/>
          <w:bCs/>
        </w:rPr>
        <w:t>Distribution</w:t>
      </w:r>
    </w:p>
    <w:p w14:paraId="2862BE45" w14:textId="3290074C" w:rsidR="00C36E7B" w:rsidRDefault="00C36E7B" w:rsidP="00C36E7B">
      <w:pPr>
        <w:pStyle w:val="BodyTextSMPC"/>
      </w:pPr>
      <w:r>
        <w:t>When administering high-dose penicillin therapy, therapeutically effective concentrations are reached even in poorly accessible tissues such as cardiac valves, bone, cerebrospinal fluid or empyema, etc.</w:t>
      </w:r>
    </w:p>
    <w:p w14:paraId="15A4D3E4" w14:textId="6F2A1E1A" w:rsidR="006D4823" w:rsidRPr="006D4823" w:rsidRDefault="00C36E7B" w:rsidP="00C36E7B">
      <w:pPr>
        <w:pStyle w:val="BodyTextSMPC"/>
      </w:pPr>
      <w:r>
        <w:t xml:space="preserve">Benzylpenicillin crosses the placenta. 10-30% of maternal plasma concentrations are found in the </w:t>
      </w:r>
      <w:proofErr w:type="spellStart"/>
      <w:r>
        <w:t>foetal</w:t>
      </w:r>
      <w:proofErr w:type="spellEnd"/>
      <w:r>
        <w:t xml:space="preserve"> circulation. High concentrations are also attained in the amniotic fluid. On the other hand, passage into </w:t>
      </w:r>
      <w:r>
        <w:lastRenderedPageBreak/>
        <w:t>breast milk is low. The volume of distribution is about 0.3-0.4 l/kg; in children, about 0.75 l/kg. Plasma protein binding is approximately 55%.</w:t>
      </w:r>
    </w:p>
    <w:p w14:paraId="1C2D30D2" w14:textId="77777777" w:rsidR="00C36E7B" w:rsidRDefault="00C36E7B" w:rsidP="006D4823">
      <w:pPr>
        <w:pStyle w:val="BodyTextSMPC"/>
        <w:jc w:val="left"/>
        <w:rPr>
          <w:b/>
          <w:bCs/>
        </w:rPr>
      </w:pPr>
      <w:r w:rsidRPr="00C36E7B">
        <w:rPr>
          <w:b/>
          <w:bCs/>
        </w:rPr>
        <w:t>Biotransformation and elimination</w:t>
      </w:r>
    </w:p>
    <w:p w14:paraId="3C3E808B" w14:textId="7C2C9861" w:rsidR="00C36E7B" w:rsidRDefault="00C36E7B" w:rsidP="00C36E7B">
      <w:pPr>
        <w:pStyle w:val="BodyTextSMPC"/>
      </w:pPr>
      <w:r>
        <w:t>Elimination occurs largely (50 - 80%) as unchanged substance via the kidneys (85 – 95%) and, to a lesser degree, in active form with the bile (approximately 5%).</w:t>
      </w:r>
    </w:p>
    <w:p w14:paraId="6868E327" w14:textId="454D17FE" w:rsidR="00C36E7B" w:rsidRDefault="00C36E7B" w:rsidP="00C36E7B">
      <w:pPr>
        <w:pStyle w:val="BodyTextSMPC"/>
      </w:pPr>
      <w:r>
        <w:t>The plasma half-life is approximately 30 min. in adults with healthy kidneys.</w:t>
      </w:r>
    </w:p>
    <w:p w14:paraId="01541F73" w14:textId="399E38D3" w:rsidR="00C36E7B" w:rsidRPr="00C36E7B" w:rsidRDefault="00C36E7B" w:rsidP="00C36E7B">
      <w:pPr>
        <w:pStyle w:val="BodyTextSMPC"/>
        <w:rPr>
          <w:b/>
          <w:bCs/>
        </w:rPr>
      </w:pPr>
      <w:r w:rsidRPr="00C36E7B">
        <w:rPr>
          <w:b/>
          <w:bCs/>
        </w:rPr>
        <w:t>Kinetics of special patient groups</w:t>
      </w:r>
    </w:p>
    <w:p w14:paraId="2E17B103" w14:textId="05F6D06C" w:rsidR="00C36E7B" w:rsidRDefault="00C36E7B" w:rsidP="00C36E7B">
      <w:pPr>
        <w:pStyle w:val="BodyTextSMPC"/>
      </w:pPr>
      <w:r>
        <w:t>- Diabetics: Absorption from the intramuscular depot is likely to be delayed in diabetics.</w:t>
      </w:r>
    </w:p>
    <w:p w14:paraId="223447FF" w14:textId="68A66393" w:rsidR="00C36E7B" w:rsidRDefault="00C36E7B" w:rsidP="00C36E7B">
      <w:pPr>
        <w:pStyle w:val="BodyTextSMPC"/>
      </w:pPr>
      <w:r>
        <w:t>- Pre-term and newborn infants: Due to the immaturity of the kidney and liver at this age, the serum half-life can be up to three hours (or more). The dosing interval should therefore be no less than 8 - 12 hours (depending on maturity).</w:t>
      </w:r>
    </w:p>
    <w:p w14:paraId="492AD855" w14:textId="036F6DDD" w:rsidR="00227FD4" w:rsidRPr="008F5678" w:rsidRDefault="00C36E7B" w:rsidP="00C36E7B">
      <w:pPr>
        <w:pStyle w:val="BodyTextSMPC"/>
        <w:jc w:val="left"/>
      </w:pPr>
      <w:r>
        <w:t>- Elderly: Equally, elimination processes may be delayed with advanced age; the dosage should therefore be adjusted to renal function in each individual case.</w:t>
      </w:r>
      <w:r w:rsidR="006D4823"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4DA2C6DC" w:rsidR="00227FD4" w:rsidRPr="005574FA" w:rsidRDefault="007A4C62" w:rsidP="007A4C62">
      <w:pPr>
        <w:pStyle w:val="BodyTextSMPC"/>
      </w:pPr>
      <w:r w:rsidRPr="007A4C62">
        <w:t xml:space="preserve">Reproduction studies in mice, rats and rabbits have shown no negative effects on fertility or on the </w:t>
      </w:r>
      <w:proofErr w:type="spellStart"/>
      <w:r w:rsidRPr="007A4C62">
        <w:t>foetus</w:t>
      </w:r>
      <w:proofErr w:type="spellEnd"/>
      <w:r w:rsidRPr="007A4C62">
        <w:t>. There are no long-term studies available in laboratory animals with regard to carcinogenesis, mutagenesis or fertility.</w:t>
      </w:r>
      <w:r w:rsidR="001B1CB6" w:rsidRPr="005574FA">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4FC998A5" w14:textId="6AEC2DE8" w:rsidR="007A4C62" w:rsidRDefault="007A4C62" w:rsidP="007A4C62">
      <w:pPr>
        <w:pStyle w:val="BodyTextSMPC"/>
      </w:pPr>
      <w:r>
        <w:lastRenderedPageBreak/>
        <w:t>The contents of the vial should only be used in a solution with water for injections, 5% glucose solution or 0.9% sodium chloride, in order to avoid incompatibilities.</w:t>
      </w:r>
    </w:p>
    <w:p w14:paraId="6CD33875" w14:textId="01AA12B3" w:rsidR="007A4C62" w:rsidRDefault="007A4C62" w:rsidP="007A4C62">
      <w:pPr>
        <w:pStyle w:val="BodyTextSMPC"/>
      </w:pPr>
      <w:r>
        <w:t>In order to avoid undesirable chemical reactions or undesirable effects, the already dissolved vials should not be mixed with other mixed injections or infusions (e.g. Ringer's lactate solution etc.).</w:t>
      </w:r>
    </w:p>
    <w:p w14:paraId="2511CEC9" w14:textId="749C026A" w:rsidR="007A4C62" w:rsidRDefault="007A4C62" w:rsidP="007A4C62">
      <w:pPr>
        <w:pStyle w:val="BodyTextSMPC"/>
      </w:pPr>
      <w:proofErr w:type="spellStart"/>
      <w:r>
        <w:t>Oxidising</w:t>
      </w:r>
      <w:proofErr w:type="spellEnd"/>
      <w:r>
        <w:t xml:space="preserve"> and reducing substances, alcohol, glycerol, macrogols and other hydroxy compounds can inactivate benzylpenicillin.</w:t>
      </w:r>
    </w:p>
    <w:p w14:paraId="4912C8FA" w14:textId="20158EDA" w:rsidR="007A4C62" w:rsidRDefault="007A4C62" w:rsidP="007A4C62">
      <w:pPr>
        <w:pStyle w:val="BodyTextSMPC"/>
      </w:pPr>
      <w:r>
        <w:t>Benzylpenicillin solutions are most stable in the pH range 6 – 7 (optimum pH 6.8).</w:t>
      </w:r>
    </w:p>
    <w:p w14:paraId="6BCAE502" w14:textId="76160740" w:rsidR="007A4C62" w:rsidRDefault="007A4C62" w:rsidP="007A4C62">
      <w:pPr>
        <w:pStyle w:val="BodyTextSMPC"/>
      </w:pPr>
      <w:r>
        <w:t>Benzylpenicillin is incompatible in solution with the following:</w:t>
      </w:r>
    </w:p>
    <w:p w14:paraId="30B764B1" w14:textId="46211C15" w:rsidR="007A4C62" w:rsidRDefault="007A4C62" w:rsidP="007A4C62">
      <w:pPr>
        <w:pStyle w:val="BodyTextSMPC"/>
      </w:pPr>
      <w:r>
        <w:t>- cimetidine</w:t>
      </w:r>
    </w:p>
    <w:p w14:paraId="0FF34BF4" w14:textId="7F3F38F4" w:rsidR="007A4C62" w:rsidRDefault="007A4C62" w:rsidP="007A4C62">
      <w:pPr>
        <w:pStyle w:val="BodyTextSMPC"/>
      </w:pPr>
      <w:r>
        <w:t>- cytarabine</w:t>
      </w:r>
    </w:p>
    <w:p w14:paraId="67093555" w14:textId="3778D4FD" w:rsidR="007A4C62" w:rsidRDefault="007A4C62" w:rsidP="007A4C62">
      <w:pPr>
        <w:pStyle w:val="BodyTextSMPC"/>
      </w:pPr>
      <w:r>
        <w:t>- chlorpromazine hydrochloride</w:t>
      </w:r>
    </w:p>
    <w:p w14:paraId="01EA67C8" w14:textId="318FBA90" w:rsidR="007A4C62" w:rsidRDefault="007A4C62" w:rsidP="007A4C62">
      <w:pPr>
        <w:pStyle w:val="BodyTextSMPC"/>
      </w:pPr>
      <w:r>
        <w:t>- dopamine hydrochloride</w:t>
      </w:r>
    </w:p>
    <w:p w14:paraId="35673997" w14:textId="71F4F92E" w:rsidR="007A4C62" w:rsidRDefault="007A4C62" w:rsidP="007A4C62">
      <w:pPr>
        <w:pStyle w:val="BodyTextSMPC"/>
      </w:pPr>
      <w:r>
        <w:t>- heparin</w:t>
      </w:r>
    </w:p>
    <w:p w14:paraId="635EE752" w14:textId="5E0855DE" w:rsidR="007A4C62" w:rsidRDefault="007A4C62" w:rsidP="007A4C62">
      <w:pPr>
        <w:pStyle w:val="BodyTextSMPC"/>
      </w:pPr>
      <w:r>
        <w:t>- hydroxyzine hydrochloride</w:t>
      </w:r>
    </w:p>
    <w:p w14:paraId="1EF6F79C" w14:textId="00D2FEBE" w:rsidR="007A4C62" w:rsidRDefault="007A4C62" w:rsidP="007A4C62">
      <w:pPr>
        <w:pStyle w:val="BodyTextSMPC"/>
      </w:pPr>
      <w:r>
        <w:t>- lactate</w:t>
      </w:r>
    </w:p>
    <w:p w14:paraId="40C766B3" w14:textId="39837160" w:rsidR="007A4C62" w:rsidRDefault="007A4C62" w:rsidP="007A4C62">
      <w:pPr>
        <w:pStyle w:val="BodyTextSMPC"/>
      </w:pPr>
      <w:r>
        <w:t>- lincomycin hydrochloride</w:t>
      </w:r>
    </w:p>
    <w:p w14:paraId="08503015" w14:textId="02A14C1E" w:rsidR="007A4C62" w:rsidRDefault="007A4C62" w:rsidP="007A4C62">
      <w:pPr>
        <w:pStyle w:val="BodyTextSMPC"/>
      </w:pPr>
      <w:r>
        <w:t>- metaraminol</w:t>
      </w:r>
    </w:p>
    <w:p w14:paraId="56EC85C5" w14:textId="00F1CA7B" w:rsidR="007A4C62" w:rsidRDefault="007A4C62" w:rsidP="007A4C62">
      <w:pPr>
        <w:pStyle w:val="BodyTextSMPC"/>
      </w:pPr>
      <w:r>
        <w:t>- sodium hydrogen carbonate</w:t>
      </w:r>
    </w:p>
    <w:p w14:paraId="5D4F4E24" w14:textId="56F19146" w:rsidR="007A4C62" w:rsidRDefault="007A4C62" w:rsidP="007A4C62">
      <w:pPr>
        <w:pStyle w:val="BodyTextSMPC"/>
      </w:pPr>
      <w:r>
        <w:t>- oxytetracycline</w:t>
      </w:r>
    </w:p>
    <w:p w14:paraId="29547C3B" w14:textId="0C5F0AEF" w:rsidR="007A4C62" w:rsidRDefault="007A4C62" w:rsidP="007A4C62">
      <w:pPr>
        <w:pStyle w:val="BodyTextSMPC"/>
      </w:pPr>
      <w:r>
        <w:t>- pentobarbital</w:t>
      </w:r>
    </w:p>
    <w:p w14:paraId="0142768E" w14:textId="353337C2" w:rsidR="007A4C62" w:rsidRDefault="007A4C62" w:rsidP="007A4C62">
      <w:pPr>
        <w:pStyle w:val="BodyTextSMPC"/>
      </w:pPr>
      <w:r>
        <w:t>- tetracycline hydrochloride</w:t>
      </w:r>
    </w:p>
    <w:p w14:paraId="183B6068" w14:textId="283FDB7E" w:rsidR="007A4C62" w:rsidRDefault="007A4C62" w:rsidP="007A4C62">
      <w:pPr>
        <w:pStyle w:val="BodyTextSMPC"/>
      </w:pPr>
      <w:r>
        <w:t>- thiopental sodium</w:t>
      </w:r>
    </w:p>
    <w:p w14:paraId="22BA65C6" w14:textId="34D439C1" w:rsidR="007A4C62" w:rsidRDefault="007A4C62" w:rsidP="007A4C62">
      <w:pPr>
        <w:pStyle w:val="BodyTextSMPC"/>
      </w:pPr>
      <w:r>
        <w:lastRenderedPageBreak/>
        <w:t>- vancomycin</w:t>
      </w:r>
    </w:p>
    <w:p w14:paraId="2854C958" w14:textId="5BD8F9BE" w:rsidR="00227FD4" w:rsidRPr="006E7537" w:rsidRDefault="007A4C62" w:rsidP="007A4C62">
      <w:pPr>
        <w:pStyle w:val="BodyTextSMPC"/>
      </w:pPr>
      <w:r>
        <w:t>Benzylpenicillin is not compatible with vitamin-B-complex and ascorbic acid in mixed solutions.</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2CBDBF5B" w14:textId="282FFDF8" w:rsidR="007A4C62" w:rsidRDefault="007A4C62" w:rsidP="007A4C62">
      <w:pPr>
        <w:pStyle w:val="BodyTextSMPC"/>
      </w:pPr>
      <w:r>
        <w:t>In order to avoid hypersensitivity reactions caused by degradation products it is recommended to use the injection or infusion solution immediately after preparation. The administration should at least take place within the maximum recommended in-use shelf life (see section 6.3).</w:t>
      </w:r>
    </w:p>
    <w:p w14:paraId="18909F1C" w14:textId="542ED3D5" w:rsidR="007A4C62" w:rsidRDefault="007A4C62" w:rsidP="007A4C62">
      <w:pPr>
        <w:pStyle w:val="BodyTextSMPC"/>
      </w:pPr>
      <w:r>
        <w:t>Any unused medicinal product or waste material should be disposed of in accordance with local requirements.</w:t>
      </w:r>
    </w:p>
    <w:p w14:paraId="26138D7E" w14:textId="238169D3" w:rsidR="007A4C62" w:rsidRDefault="007A4C62" w:rsidP="007A4C62">
      <w:pPr>
        <w:pStyle w:val="BodyTextSMPC"/>
      </w:pPr>
      <w:r>
        <w:t>This medicinal product is for single use only.</w:t>
      </w:r>
    </w:p>
    <w:p w14:paraId="2D59BC56" w14:textId="36C57628" w:rsidR="007A4C62" w:rsidRDefault="007A4C62" w:rsidP="007A4C62">
      <w:pPr>
        <w:pStyle w:val="BodyTextSMPC"/>
      </w:pPr>
      <w:r>
        <w:t>Preparation of a solution for IV injection or infusion:</w:t>
      </w:r>
    </w:p>
    <w:p w14:paraId="63CC86E7" w14:textId="5052A057" w:rsidR="007A4C62" w:rsidRDefault="007A4C62" w:rsidP="007A4C62">
      <w:pPr>
        <w:pStyle w:val="BodyTextSMPC"/>
      </w:pPr>
      <w:r>
        <w:t>A solution for intravenous use can be prepared with the following solvents:</w:t>
      </w:r>
    </w:p>
    <w:p w14:paraId="602A2062" w14:textId="0CDE1235" w:rsidR="007A4C62" w:rsidRDefault="007A4C62" w:rsidP="007A4C62">
      <w:pPr>
        <w:pStyle w:val="BodyTextSMPC"/>
      </w:pPr>
      <w:r>
        <w:t>- water for injections (WFI)</w:t>
      </w:r>
    </w:p>
    <w:p w14:paraId="06135B1F" w14:textId="3E6D449C" w:rsidR="007A4C62" w:rsidRDefault="007A4C62" w:rsidP="007A4C62">
      <w:pPr>
        <w:pStyle w:val="BodyTextSMPC"/>
      </w:pPr>
      <w:r>
        <w:t>- 5% glucose solution</w:t>
      </w:r>
    </w:p>
    <w:p w14:paraId="78F0036E" w14:textId="00EDE7D9" w:rsidR="007A4C62" w:rsidRDefault="007A4C62" w:rsidP="007A4C62">
      <w:pPr>
        <w:pStyle w:val="BodyTextSMPC"/>
      </w:pPr>
      <w:r>
        <w:t>- 0.9% sodium chloride solution</w:t>
      </w:r>
    </w:p>
    <w:p w14:paraId="3975BD06" w14:textId="41E414C6" w:rsidR="007A4C62" w:rsidRDefault="007A4C62" w:rsidP="007A4C62">
      <w:pPr>
        <w:pStyle w:val="BodyTextSMPC"/>
      </w:pPr>
      <w:r>
        <w:t>The recommended concentration for intravenous use is 60 mg/ml .</w:t>
      </w:r>
    </w:p>
    <w:p w14:paraId="02E64044" w14:textId="65FDB876" w:rsidR="007A4C62" w:rsidRDefault="007A4C62" w:rsidP="007A4C62">
      <w:pPr>
        <w:pStyle w:val="BodyTextSMPC"/>
      </w:pPr>
      <w:r>
        <w:t xml:space="preserve">An isotonic solution is obtained when using WFI as solvent (osmolarity of 60 mg/ml in WFI is 337 </w:t>
      </w:r>
      <w:proofErr w:type="spellStart"/>
      <w:r>
        <w:t>mOsmol</w:t>
      </w:r>
      <w:proofErr w:type="spellEnd"/>
      <w:r>
        <w:t xml:space="preserve">/l). It should be taken in account that </w:t>
      </w:r>
      <w:r>
        <w:lastRenderedPageBreak/>
        <w:t>more concentrated solutions and solutions in 5% glucose or 0.9% sodium chloride are hypertonic and that the use of 0.9% sodium chloride leads to an additional supply of electrolytes.</w:t>
      </w:r>
    </w:p>
    <w:p w14:paraId="5A78DF13" w14:textId="519A6593" w:rsidR="007A4C62" w:rsidRDefault="007A4C62" w:rsidP="007A4C62">
      <w:pPr>
        <w:pStyle w:val="BodyTextSMPC"/>
      </w:pPr>
      <w:r>
        <w:t>For Benzylpenicillin Sodium 600 mg powder for solution for injection / infusion a two-step preparation is required, i.e. reconstitution in the original vial followed by dilution of the concentrated solution in another container.</w:t>
      </w:r>
    </w:p>
    <w:p w14:paraId="115BFEE2" w14:textId="77777777" w:rsidR="007A4C62" w:rsidRDefault="007A4C62" w:rsidP="007A4C62">
      <w:pPr>
        <w:pStyle w:val="BodyTextSMPC"/>
        <w:rPr>
          <w:color w:val="FF0000"/>
        </w:rPr>
      </w:pPr>
      <w:r>
        <w:t>The reconstitution and dilution instructions in the table underneath result in an IV injection / infusion of 60 mg/ml.</w:t>
      </w:r>
      <w:r>
        <w:rPr>
          <w:color w:val="FF0000"/>
        </w:rPr>
        <w:t xml:space="preserve"> </w:t>
      </w:r>
    </w:p>
    <w:tbl>
      <w:tblPr>
        <w:tblW w:w="8222"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830"/>
        <w:gridCol w:w="1490"/>
        <w:gridCol w:w="1770"/>
        <w:gridCol w:w="1361"/>
        <w:gridCol w:w="1771"/>
      </w:tblGrid>
      <w:tr w:rsidR="00A068D5" w:rsidRPr="00A068D5" w14:paraId="694C7448" w14:textId="77777777" w:rsidTr="00A068D5">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14:paraId="13316716" w14:textId="77777777" w:rsidR="00A068D5" w:rsidRPr="00A068D5" w:rsidRDefault="00A068D5" w:rsidP="00A068D5">
            <w:pPr>
              <w:pStyle w:val="BodyTextSMPC"/>
              <w:spacing w:after="0"/>
              <w:ind w:left="0"/>
              <w:rPr>
                <w:sz w:val="24"/>
                <w:szCs w:val="24"/>
              </w:rPr>
            </w:pPr>
            <w:r w:rsidRPr="00A068D5">
              <w:rPr>
                <w:b/>
                <w:bCs/>
                <w:sz w:val="24"/>
                <w:szCs w:val="24"/>
              </w:rPr>
              <w:t>Reconstitution and dilution instructions for IV injection / infusion</w:t>
            </w:r>
          </w:p>
        </w:tc>
      </w:tr>
      <w:tr w:rsidR="00A068D5" w:rsidRPr="00A068D5" w14:paraId="05DBB802" w14:textId="77777777" w:rsidTr="00A068D5">
        <w:trPr>
          <w:tblCellSpacing w:w="0" w:type="dxa"/>
        </w:trPr>
        <w:tc>
          <w:tcPr>
            <w:tcW w:w="1113" w:type="pct"/>
            <w:tcBorders>
              <w:top w:val="outset" w:sz="6" w:space="0" w:color="auto"/>
              <w:left w:val="outset" w:sz="6" w:space="0" w:color="auto"/>
              <w:bottom w:val="outset" w:sz="6" w:space="0" w:color="auto"/>
              <w:right w:val="outset" w:sz="6" w:space="0" w:color="auto"/>
            </w:tcBorders>
            <w:shd w:val="clear" w:color="auto" w:fill="FFFFFF"/>
            <w:hideMark/>
          </w:tcPr>
          <w:p w14:paraId="3515DE53" w14:textId="77777777" w:rsidR="00A068D5" w:rsidRPr="00A068D5" w:rsidRDefault="00A068D5" w:rsidP="00A068D5">
            <w:pPr>
              <w:pStyle w:val="BodyTextSMPC"/>
              <w:spacing w:after="0"/>
              <w:ind w:left="0"/>
              <w:rPr>
                <w:sz w:val="24"/>
                <w:szCs w:val="24"/>
              </w:rPr>
            </w:pPr>
          </w:p>
        </w:tc>
        <w:tc>
          <w:tcPr>
            <w:tcW w:w="1982"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2FEECC6" w14:textId="77777777" w:rsidR="00A068D5" w:rsidRPr="00A068D5" w:rsidRDefault="00A068D5" w:rsidP="00A068D5">
            <w:pPr>
              <w:pStyle w:val="BodyTextSMPC"/>
              <w:spacing w:after="0"/>
              <w:ind w:left="0"/>
              <w:rPr>
                <w:sz w:val="24"/>
                <w:szCs w:val="24"/>
              </w:rPr>
            </w:pPr>
            <w:r w:rsidRPr="00A068D5">
              <w:rPr>
                <w:b/>
                <w:bCs/>
                <w:i/>
                <w:iCs/>
                <w:sz w:val="24"/>
                <w:szCs w:val="24"/>
              </w:rPr>
              <w:t>Reconstitution step</w:t>
            </w:r>
          </w:p>
        </w:tc>
        <w:tc>
          <w:tcPr>
            <w:tcW w:w="1905"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8CE1A82" w14:textId="77777777" w:rsidR="00A068D5" w:rsidRPr="00A068D5" w:rsidRDefault="00A068D5" w:rsidP="00A068D5">
            <w:pPr>
              <w:pStyle w:val="BodyTextSMPC"/>
              <w:spacing w:after="0"/>
              <w:ind w:left="0"/>
              <w:rPr>
                <w:sz w:val="24"/>
                <w:szCs w:val="24"/>
              </w:rPr>
            </w:pPr>
            <w:r w:rsidRPr="00A068D5">
              <w:rPr>
                <w:b/>
                <w:bCs/>
                <w:i/>
                <w:iCs/>
                <w:sz w:val="24"/>
                <w:szCs w:val="24"/>
              </w:rPr>
              <w:t>Dilution step</w:t>
            </w:r>
          </w:p>
        </w:tc>
      </w:tr>
      <w:tr w:rsidR="00A068D5" w:rsidRPr="00A068D5" w14:paraId="6B29B57F" w14:textId="77777777" w:rsidTr="00A068D5">
        <w:trPr>
          <w:tblCellSpacing w:w="0" w:type="dxa"/>
        </w:trPr>
        <w:tc>
          <w:tcPr>
            <w:tcW w:w="1113" w:type="pct"/>
            <w:tcBorders>
              <w:top w:val="outset" w:sz="6" w:space="0" w:color="auto"/>
              <w:left w:val="outset" w:sz="6" w:space="0" w:color="auto"/>
              <w:bottom w:val="outset" w:sz="6" w:space="0" w:color="auto"/>
              <w:right w:val="outset" w:sz="6" w:space="0" w:color="auto"/>
            </w:tcBorders>
            <w:shd w:val="clear" w:color="auto" w:fill="FFFFFF"/>
            <w:hideMark/>
          </w:tcPr>
          <w:p w14:paraId="592EE2D7" w14:textId="77777777" w:rsidR="00A068D5" w:rsidRPr="00A068D5" w:rsidRDefault="00A068D5" w:rsidP="00A068D5">
            <w:pPr>
              <w:pStyle w:val="BodyTextSMPC"/>
              <w:spacing w:after="0"/>
              <w:ind w:left="0"/>
              <w:rPr>
                <w:sz w:val="24"/>
                <w:szCs w:val="24"/>
              </w:rPr>
            </w:pPr>
            <w:r w:rsidRPr="00A068D5">
              <w:rPr>
                <w:i/>
                <w:iCs/>
                <w:sz w:val="24"/>
                <w:szCs w:val="24"/>
              </w:rPr>
              <w:t>1 vial</w:t>
            </w:r>
          </w:p>
        </w:tc>
        <w:tc>
          <w:tcPr>
            <w:tcW w:w="906" w:type="pct"/>
            <w:tcBorders>
              <w:top w:val="outset" w:sz="6" w:space="0" w:color="auto"/>
              <w:left w:val="outset" w:sz="6" w:space="0" w:color="auto"/>
              <w:bottom w:val="outset" w:sz="6" w:space="0" w:color="auto"/>
              <w:right w:val="outset" w:sz="6" w:space="0" w:color="auto"/>
            </w:tcBorders>
            <w:shd w:val="clear" w:color="auto" w:fill="FFFFFF"/>
            <w:hideMark/>
          </w:tcPr>
          <w:p w14:paraId="76C14232" w14:textId="77777777" w:rsidR="00A068D5" w:rsidRPr="00A068D5" w:rsidRDefault="00A068D5" w:rsidP="00A068D5">
            <w:pPr>
              <w:pStyle w:val="BodyTextSMPC"/>
              <w:spacing w:after="0"/>
              <w:ind w:left="0"/>
              <w:rPr>
                <w:sz w:val="24"/>
                <w:szCs w:val="24"/>
              </w:rPr>
            </w:pPr>
            <w:r w:rsidRPr="00A068D5">
              <w:rPr>
                <w:i/>
                <w:iCs/>
                <w:sz w:val="24"/>
                <w:szCs w:val="24"/>
              </w:rPr>
              <w:t>Recommended volume of solvent to be added for reconstitution</w:t>
            </w:r>
          </w:p>
        </w:tc>
        <w:tc>
          <w:tcPr>
            <w:tcW w:w="1076" w:type="pct"/>
            <w:tcBorders>
              <w:top w:val="outset" w:sz="6" w:space="0" w:color="auto"/>
              <w:left w:val="outset" w:sz="6" w:space="0" w:color="auto"/>
              <w:bottom w:val="outset" w:sz="6" w:space="0" w:color="auto"/>
              <w:right w:val="outset" w:sz="6" w:space="0" w:color="auto"/>
            </w:tcBorders>
            <w:shd w:val="clear" w:color="auto" w:fill="FFFFFF"/>
            <w:hideMark/>
          </w:tcPr>
          <w:p w14:paraId="6F156E2C" w14:textId="77777777" w:rsidR="00A068D5" w:rsidRPr="00A068D5" w:rsidRDefault="00A068D5" w:rsidP="00A068D5">
            <w:pPr>
              <w:pStyle w:val="BodyTextSMPC"/>
              <w:spacing w:after="0"/>
              <w:ind w:left="0"/>
              <w:rPr>
                <w:sz w:val="24"/>
                <w:szCs w:val="24"/>
              </w:rPr>
            </w:pPr>
            <w:r w:rsidRPr="00A068D5">
              <w:rPr>
                <w:i/>
                <w:iCs/>
                <w:sz w:val="24"/>
                <w:szCs w:val="24"/>
              </w:rPr>
              <w:t>Resulting (concentrate for) solution for IV injection/infusion</w:t>
            </w:r>
          </w:p>
        </w:tc>
        <w:tc>
          <w:tcPr>
            <w:tcW w:w="828" w:type="pct"/>
            <w:tcBorders>
              <w:top w:val="outset" w:sz="6" w:space="0" w:color="auto"/>
              <w:left w:val="outset" w:sz="6" w:space="0" w:color="auto"/>
              <w:bottom w:val="outset" w:sz="6" w:space="0" w:color="auto"/>
              <w:right w:val="outset" w:sz="6" w:space="0" w:color="auto"/>
            </w:tcBorders>
            <w:shd w:val="clear" w:color="auto" w:fill="FFFFFF"/>
            <w:hideMark/>
          </w:tcPr>
          <w:p w14:paraId="2430917C" w14:textId="77777777" w:rsidR="00A068D5" w:rsidRPr="00A068D5" w:rsidRDefault="00A068D5" w:rsidP="00A068D5">
            <w:pPr>
              <w:pStyle w:val="BodyTextSMPC"/>
              <w:spacing w:after="0"/>
              <w:ind w:left="0"/>
              <w:rPr>
                <w:sz w:val="24"/>
                <w:szCs w:val="24"/>
              </w:rPr>
            </w:pPr>
            <w:r w:rsidRPr="00A068D5">
              <w:rPr>
                <w:i/>
                <w:iCs/>
                <w:sz w:val="24"/>
                <w:szCs w:val="24"/>
              </w:rPr>
              <w:t>Dilution until 6000/100 ml</w:t>
            </w:r>
          </w:p>
          <w:p w14:paraId="764A137E" w14:textId="77777777" w:rsidR="00A068D5" w:rsidRPr="00A068D5" w:rsidRDefault="00A068D5" w:rsidP="00A068D5">
            <w:pPr>
              <w:pStyle w:val="BodyTextSMPC"/>
              <w:spacing w:after="0"/>
              <w:ind w:left="0"/>
              <w:rPr>
                <w:sz w:val="24"/>
                <w:szCs w:val="24"/>
              </w:rPr>
            </w:pPr>
            <w:r w:rsidRPr="00A068D5">
              <w:rPr>
                <w:i/>
                <w:iCs/>
                <w:sz w:val="24"/>
                <w:szCs w:val="24"/>
              </w:rPr>
              <w:t>(or 60 mg/ml)</w:t>
            </w:r>
          </w:p>
        </w:tc>
        <w:tc>
          <w:tcPr>
            <w:tcW w:w="1076" w:type="pct"/>
            <w:tcBorders>
              <w:top w:val="outset" w:sz="6" w:space="0" w:color="auto"/>
              <w:left w:val="outset" w:sz="6" w:space="0" w:color="auto"/>
              <w:bottom w:val="outset" w:sz="6" w:space="0" w:color="auto"/>
              <w:right w:val="outset" w:sz="6" w:space="0" w:color="auto"/>
            </w:tcBorders>
            <w:shd w:val="clear" w:color="auto" w:fill="FFFFFF"/>
            <w:hideMark/>
          </w:tcPr>
          <w:p w14:paraId="12DAB3A0" w14:textId="77777777" w:rsidR="00A068D5" w:rsidRPr="00A068D5" w:rsidRDefault="00A068D5" w:rsidP="00A068D5">
            <w:pPr>
              <w:pStyle w:val="BodyTextSMPC"/>
              <w:spacing w:after="0"/>
              <w:ind w:left="0"/>
              <w:rPr>
                <w:sz w:val="24"/>
                <w:szCs w:val="24"/>
              </w:rPr>
            </w:pPr>
            <w:r w:rsidRPr="00A068D5">
              <w:rPr>
                <w:i/>
                <w:iCs/>
                <w:sz w:val="24"/>
                <w:szCs w:val="24"/>
              </w:rPr>
              <w:t>Resulting solution for IV injection/infusion</w:t>
            </w:r>
          </w:p>
        </w:tc>
      </w:tr>
      <w:tr w:rsidR="00A068D5" w:rsidRPr="00A068D5" w14:paraId="430AD3DF" w14:textId="77777777" w:rsidTr="00A068D5">
        <w:trPr>
          <w:tblCellSpacing w:w="0" w:type="dxa"/>
        </w:trPr>
        <w:tc>
          <w:tcPr>
            <w:tcW w:w="1113" w:type="pct"/>
            <w:tcBorders>
              <w:top w:val="outset" w:sz="6" w:space="0" w:color="auto"/>
              <w:left w:val="outset" w:sz="6" w:space="0" w:color="auto"/>
              <w:bottom w:val="outset" w:sz="6" w:space="0" w:color="auto"/>
              <w:right w:val="outset" w:sz="6" w:space="0" w:color="auto"/>
            </w:tcBorders>
            <w:shd w:val="clear" w:color="auto" w:fill="FFFFFF"/>
            <w:hideMark/>
          </w:tcPr>
          <w:p w14:paraId="3A24C811" w14:textId="77777777" w:rsidR="00A068D5" w:rsidRPr="00A068D5" w:rsidRDefault="00A068D5" w:rsidP="00A068D5">
            <w:pPr>
              <w:pStyle w:val="BodyTextSMPC"/>
              <w:spacing w:after="0"/>
              <w:ind w:left="0"/>
              <w:jc w:val="left"/>
              <w:rPr>
                <w:sz w:val="24"/>
                <w:szCs w:val="24"/>
              </w:rPr>
            </w:pPr>
            <w:r w:rsidRPr="00A068D5">
              <w:rPr>
                <w:sz w:val="24"/>
                <w:szCs w:val="24"/>
              </w:rPr>
              <w:t>Benzylpenicillin Sodium 600 mg powder for solution for injection / infusion </w:t>
            </w:r>
            <w:r w:rsidRPr="00A068D5">
              <w:rPr>
                <w:i/>
                <w:iCs/>
                <w:sz w:val="24"/>
                <w:szCs w:val="24"/>
              </w:rPr>
              <w:t xml:space="preserve">(contains ± </w:t>
            </w:r>
            <w:proofErr w:type="gramStart"/>
            <w:r w:rsidRPr="00A068D5">
              <w:rPr>
                <w:i/>
                <w:iCs/>
                <w:sz w:val="24"/>
                <w:szCs w:val="24"/>
              </w:rPr>
              <w:t>0.6 gram</w:t>
            </w:r>
            <w:proofErr w:type="gramEnd"/>
            <w:r w:rsidRPr="00A068D5">
              <w:rPr>
                <w:i/>
                <w:iCs/>
                <w:sz w:val="24"/>
                <w:szCs w:val="24"/>
              </w:rPr>
              <w:t xml:space="preserve"> powder)</w:t>
            </w:r>
          </w:p>
        </w:tc>
        <w:tc>
          <w:tcPr>
            <w:tcW w:w="906" w:type="pct"/>
            <w:tcBorders>
              <w:top w:val="outset" w:sz="6" w:space="0" w:color="auto"/>
              <w:left w:val="outset" w:sz="6" w:space="0" w:color="auto"/>
              <w:bottom w:val="outset" w:sz="6" w:space="0" w:color="auto"/>
              <w:right w:val="outset" w:sz="6" w:space="0" w:color="auto"/>
            </w:tcBorders>
            <w:shd w:val="clear" w:color="auto" w:fill="FFFFFF"/>
            <w:hideMark/>
          </w:tcPr>
          <w:p w14:paraId="301C02A1" w14:textId="77777777" w:rsidR="00A068D5" w:rsidRPr="00A068D5" w:rsidRDefault="00A068D5" w:rsidP="00A068D5">
            <w:pPr>
              <w:pStyle w:val="BodyTextSMPC"/>
              <w:spacing w:after="0"/>
              <w:ind w:left="0"/>
              <w:rPr>
                <w:sz w:val="24"/>
                <w:szCs w:val="24"/>
              </w:rPr>
            </w:pPr>
            <w:r w:rsidRPr="00A068D5">
              <w:rPr>
                <w:sz w:val="24"/>
                <w:szCs w:val="24"/>
              </w:rPr>
              <w:t>4.6 ml</w:t>
            </w:r>
          </w:p>
        </w:tc>
        <w:tc>
          <w:tcPr>
            <w:tcW w:w="1076" w:type="pct"/>
            <w:tcBorders>
              <w:top w:val="outset" w:sz="6" w:space="0" w:color="auto"/>
              <w:left w:val="outset" w:sz="6" w:space="0" w:color="auto"/>
              <w:bottom w:val="outset" w:sz="6" w:space="0" w:color="auto"/>
              <w:right w:val="outset" w:sz="6" w:space="0" w:color="auto"/>
            </w:tcBorders>
            <w:shd w:val="clear" w:color="auto" w:fill="FFFFFF"/>
            <w:hideMark/>
          </w:tcPr>
          <w:p w14:paraId="3D9D94C8" w14:textId="77777777" w:rsidR="00A068D5" w:rsidRPr="00A068D5" w:rsidRDefault="00A068D5" w:rsidP="00A068D5">
            <w:pPr>
              <w:pStyle w:val="BodyTextSMPC"/>
              <w:spacing w:after="0"/>
              <w:ind w:left="0"/>
              <w:rPr>
                <w:sz w:val="24"/>
                <w:szCs w:val="24"/>
              </w:rPr>
            </w:pPr>
            <w:r w:rsidRPr="00A068D5">
              <w:rPr>
                <w:b/>
                <w:bCs/>
                <w:sz w:val="24"/>
                <w:szCs w:val="24"/>
              </w:rPr>
              <w:t>concentrate to be diluted before use</w:t>
            </w:r>
          </w:p>
          <w:p w14:paraId="6161A2A2" w14:textId="77777777" w:rsidR="00A068D5" w:rsidRPr="00A068D5" w:rsidRDefault="00A068D5" w:rsidP="00A068D5">
            <w:pPr>
              <w:pStyle w:val="BodyTextSMPC"/>
              <w:spacing w:after="0"/>
              <w:ind w:left="0"/>
              <w:rPr>
                <w:sz w:val="24"/>
                <w:szCs w:val="24"/>
              </w:rPr>
            </w:pPr>
            <w:r w:rsidRPr="00A068D5">
              <w:rPr>
                <w:sz w:val="24"/>
                <w:szCs w:val="24"/>
              </w:rPr>
              <w:t>5 ml = 600 mg</w:t>
            </w:r>
          </w:p>
          <w:p w14:paraId="79A902DB" w14:textId="77777777" w:rsidR="00A068D5" w:rsidRPr="00A068D5" w:rsidRDefault="00A068D5" w:rsidP="00A068D5">
            <w:pPr>
              <w:pStyle w:val="BodyTextSMPC"/>
              <w:spacing w:after="0"/>
              <w:ind w:left="0"/>
              <w:jc w:val="left"/>
              <w:rPr>
                <w:sz w:val="24"/>
                <w:szCs w:val="24"/>
              </w:rPr>
            </w:pPr>
            <w:r w:rsidRPr="00A068D5">
              <w:rPr>
                <w:sz w:val="24"/>
                <w:szCs w:val="24"/>
              </w:rPr>
              <w:t>(120 mg/ml)</w:t>
            </w:r>
          </w:p>
        </w:tc>
        <w:tc>
          <w:tcPr>
            <w:tcW w:w="828" w:type="pct"/>
            <w:tcBorders>
              <w:top w:val="outset" w:sz="6" w:space="0" w:color="auto"/>
              <w:left w:val="outset" w:sz="6" w:space="0" w:color="auto"/>
              <w:bottom w:val="outset" w:sz="6" w:space="0" w:color="auto"/>
              <w:right w:val="outset" w:sz="6" w:space="0" w:color="auto"/>
            </w:tcBorders>
            <w:shd w:val="clear" w:color="auto" w:fill="FFFFFF"/>
            <w:hideMark/>
          </w:tcPr>
          <w:p w14:paraId="63DF7BE0" w14:textId="77777777" w:rsidR="00A068D5" w:rsidRPr="00A068D5" w:rsidRDefault="00A068D5" w:rsidP="00A068D5">
            <w:pPr>
              <w:pStyle w:val="BodyTextSMPC"/>
              <w:spacing w:after="0"/>
              <w:ind w:left="0"/>
              <w:jc w:val="left"/>
              <w:rPr>
                <w:sz w:val="24"/>
                <w:szCs w:val="24"/>
              </w:rPr>
            </w:pPr>
            <w:r w:rsidRPr="00A068D5">
              <w:rPr>
                <w:sz w:val="24"/>
                <w:szCs w:val="24"/>
              </w:rPr>
              <w:t>1 volume concentrate + 1 volume diluent e.g. add 5 ml concentrate to 5 ml diluent</w:t>
            </w:r>
          </w:p>
        </w:tc>
        <w:tc>
          <w:tcPr>
            <w:tcW w:w="1076" w:type="pct"/>
            <w:tcBorders>
              <w:top w:val="outset" w:sz="6" w:space="0" w:color="auto"/>
              <w:left w:val="outset" w:sz="6" w:space="0" w:color="auto"/>
              <w:bottom w:val="outset" w:sz="6" w:space="0" w:color="auto"/>
              <w:right w:val="outset" w:sz="6" w:space="0" w:color="auto"/>
            </w:tcBorders>
            <w:shd w:val="clear" w:color="auto" w:fill="FFFFFF"/>
            <w:hideMark/>
          </w:tcPr>
          <w:p w14:paraId="0FA02502" w14:textId="77777777" w:rsidR="00A068D5" w:rsidRPr="00A068D5" w:rsidRDefault="00A068D5" w:rsidP="00A068D5">
            <w:pPr>
              <w:pStyle w:val="BodyTextSMPC"/>
              <w:spacing w:after="0"/>
              <w:ind w:left="0"/>
              <w:rPr>
                <w:sz w:val="24"/>
                <w:szCs w:val="24"/>
              </w:rPr>
            </w:pPr>
            <w:r w:rsidRPr="00A068D5">
              <w:rPr>
                <w:b/>
                <w:bCs/>
                <w:sz w:val="24"/>
                <w:szCs w:val="24"/>
              </w:rPr>
              <w:t>ready for use</w:t>
            </w:r>
          </w:p>
          <w:p w14:paraId="0DB86F08" w14:textId="77777777" w:rsidR="00A068D5" w:rsidRPr="00A068D5" w:rsidRDefault="00A068D5" w:rsidP="00A068D5">
            <w:pPr>
              <w:pStyle w:val="BodyTextSMPC"/>
              <w:spacing w:after="0"/>
              <w:ind w:left="0"/>
              <w:rPr>
                <w:sz w:val="24"/>
                <w:szCs w:val="24"/>
              </w:rPr>
            </w:pPr>
            <w:r w:rsidRPr="00A068D5">
              <w:rPr>
                <w:sz w:val="24"/>
                <w:szCs w:val="24"/>
              </w:rPr>
              <w:t>10 ml = 600 mg</w:t>
            </w:r>
          </w:p>
          <w:p w14:paraId="77884D4F" w14:textId="77777777" w:rsidR="00A068D5" w:rsidRPr="00A068D5" w:rsidRDefault="00A068D5" w:rsidP="00A068D5">
            <w:pPr>
              <w:pStyle w:val="BodyTextSMPC"/>
              <w:spacing w:after="0"/>
              <w:ind w:left="0"/>
              <w:rPr>
                <w:sz w:val="24"/>
                <w:szCs w:val="24"/>
              </w:rPr>
            </w:pPr>
            <w:r w:rsidRPr="00A068D5">
              <w:rPr>
                <w:sz w:val="24"/>
                <w:szCs w:val="24"/>
              </w:rPr>
              <w:t>(60 mg/ml)</w:t>
            </w:r>
          </w:p>
        </w:tc>
      </w:tr>
    </w:tbl>
    <w:p w14:paraId="197D7042" w14:textId="3D16477E" w:rsidR="00A068D5" w:rsidRDefault="00A068D5" w:rsidP="00A068D5">
      <w:pPr>
        <w:pStyle w:val="BodyTextSMPC"/>
      </w:pPr>
      <w:r>
        <w:t>Preparation of a solution for IM injection:</w:t>
      </w:r>
    </w:p>
    <w:p w14:paraId="7F4E17C1" w14:textId="1AC17322" w:rsidR="00A068D5" w:rsidRDefault="00A068D5" w:rsidP="00A068D5">
      <w:pPr>
        <w:pStyle w:val="BodyTextSMPC"/>
      </w:pPr>
      <w:r>
        <w:t>A solution for intramuscular use can be prepared with the following solvent:</w:t>
      </w:r>
    </w:p>
    <w:p w14:paraId="740BDE2C" w14:textId="0A6AA856" w:rsidR="00A068D5" w:rsidRDefault="00A068D5" w:rsidP="00A068D5">
      <w:pPr>
        <w:pStyle w:val="BodyTextSMPC"/>
      </w:pPr>
      <w:r>
        <w:t>- water for injections (WFI)</w:t>
      </w:r>
    </w:p>
    <w:p w14:paraId="5C8382FA" w14:textId="38C89B92" w:rsidR="00A068D5" w:rsidRDefault="00A068D5" w:rsidP="00A068D5">
      <w:pPr>
        <w:pStyle w:val="BodyTextSMPC"/>
      </w:pPr>
      <w:r>
        <w:t>Due to the concentrated nature of a solution for intramuscular injection the recommended solvent is WFI in order to keep to tonicity as low as possible (any solution exceeding 60 mg/ml is hypertonic).</w:t>
      </w:r>
    </w:p>
    <w:p w14:paraId="2C9C662A" w14:textId="03050FF4" w:rsidR="00A068D5" w:rsidRDefault="00A068D5" w:rsidP="00A068D5">
      <w:pPr>
        <w:pStyle w:val="BodyTextSMPC"/>
      </w:pPr>
      <w:r>
        <w:t>The maximum volume for intramuscular administration is 5 ml per injection site and the maximum intramuscular dose is 6000 mg. Higher doses can be given as intravenous infusion (see section 4.2).</w:t>
      </w:r>
    </w:p>
    <w:p w14:paraId="743CC473" w14:textId="070815CE" w:rsidR="007A4C62" w:rsidRDefault="00A068D5" w:rsidP="00A068D5">
      <w:pPr>
        <w:pStyle w:val="BodyTextSMPC"/>
      </w:pPr>
      <w:r>
        <w:lastRenderedPageBreak/>
        <w:t>Instructions for the one-step reconstitution in the original vial in the minimum amounts of solvent is described in the table underneath. Further dilution is possible, but depends on the combination of intended dose and maximum injection volume of 5 ml per injection site.</w:t>
      </w:r>
    </w:p>
    <w:tbl>
      <w:tblPr>
        <w:tblW w:w="8363"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827"/>
        <w:gridCol w:w="2517"/>
        <w:gridCol w:w="3019"/>
      </w:tblGrid>
      <w:tr w:rsidR="00A068D5" w:rsidRPr="00A068D5" w14:paraId="07B937FF" w14:textId="77777777" w:rsidTr="00A068D5">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4598887F" w14:textId="77777777" w:rsidR="00A068D5" w:rsidRPr="00A068D5" w:rsidRDefault="00A068D5" w:rsidP="00A068D5">
            <w:pPr>
              <w:pStyle w:val="BodyTextSMPC"/>
              <w:spacing w:after="0"/>
              <w:ind w:left="0"/>
            </w:pPr>
            <w:r w:rsidRPr="00A068D5">
              <w:rPr>
                <w:b/>
                <w:bCs/>
              </w:rPr>
              <w:t>Reconstitution instructions for IM injection</w:t>
            </w:r>
          </w:p>
        </w:tc>
      </w:tr>
      <w:tr w:rsidR="00A068D5" w:rsidRPr="00A068D5" w14:paraId="78464FE7" w14:textId="77777777" w:rsidTr="00A068D5">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FFFFFF"/>
            <w:hideMark/>
          </w:tcPr>
          <w:p w14:paraId="67A5EC87" w14:textId="77777777" w:rsidR="00A068D5" w:rsidRPr="00A068D5" w:rsidRDefault="00A068D5" w:rsidP="00A068D5">
            <w:pPr>
              <w:pStyle w:val="BodyTextSMPC"/>
              <w:spacing w:after="0"/>
              <w:ind w:left="0"/>
            </w:pPr>
            <w:r w:rsidRPr="00A068D5">
              <w:rPr>
                <w:i/>
                <w:iCs/>
              </w:rPr>
              <w:t>1 vial</w:t>
            </w:r>
          </w:p>
        </w:tc>
        <w:tc>
          <w:tcPr>
            <w:tcW w:w="1505" w:type="pct"/>
            <w:tcBorders>
              <w:top w:val="outset" w:sz="6" w:space="0" w:color="auto"/>
              <w:left w:val="outset" w:sz="6" w:space="0" w:color="auto"/>
              <w:bottom w:val="outset" w:sz="6" w:space="0" w:color="auto"/>
              <w:right w:val="outset" w:sz="6" w:space="0" w:color="auto"/>
            </w:tcBorders>
            <w:shd w:val="clear" w:color="auto" w:fill="FFFFFF"/>
            <w:hideMark/>
          </w:tcPr>
          <w:p w14:paraId="636FEE67" w14:textId="77777777" w:rsidR="00A068D5" w:rsidRPr="00A068D5" w:rsidRDefault="00A068D5" w:rsidP="00A068D5">
            <w:pPr>
              <w:pStyle w:val="BodyTextSMPC"/>
              <w:spacing w:after="0"/>
              <w:ind w:left="0"/>
            </w:pPr>
            <w:r w:rsidRPr="00A068D5">
              <w:rPr>
                <w:i/>
                <w:iCs/>
              </w:rPr>
              <w:t>Recommended volume of solvent to be added for reconstitution</w:t>
            </w:r>
          </w:p>
        </w:tc>
        <w:tc>
          <w:tcPr>
            <w:tcW w:w="1805" w:type="pct"/>
            <w:tcBorders>
              <w:top w:val="outset" w:sz="6" w:space="0" w:color="auto"/>
              <w:left w:val="outset" w:sz="6" w:space="0" w:color="auto"/>
              <w:bottom w:val="outset" w:sz="6" w:space="0" w:color="auto"/>
              <w:right w:val="outset" w:sz="6" w:space="0" w:color="auto"/>
            </w:tcBorders>
            <w:shd w:val="clear" w:color="auto" w:fill="FFFFFF"/>
            <w:hideMark/>
          </w:tcPr>
          <w:p w14:paraId="5819CCD1" w14:textId="77777777" w:rsidR="00A068D5" w:rsidRPr="00A068D5" w:rsidRDefault="00A068D5" w:rsidP="00A068D5">
            <w:pPr>
              <w:pStyle w:val="BodyTextSMPC"/>
              <w:spacing w:after="0"/>
              <w:ind w:left="0"/>
            </w:pPr>
            <w:r w:rsidRPr="00A068D5">
              <w:rPr>
                <w:i/>
                <w:iCs/>
              </w:rPr>
              <w:t>Resulting solution for IM injection</w:t>
            </w:r>
          </w:p>
          <w:p w14:paraId="70D3613D" w14:textId="77777777" w:rsidR="00A068D5" w:rsidRPr="00A068D5" w:rsidRDefault="00A068D5" w:rsidP="00A068D5">
            <w:pPr>
              <w:pStyle w:val="BodyTextSMPC"/>
              <w:spacing w:after="0"/>
              <w:ind w:left="0"/>
            </w:pPr>
            <w:r w:rsidRPr="00A068D5">
              <w:rPr>
                <w:b/>
                <w:bCs/>
              </w:rPr>
              <w:t>(maximum 5 ml per injection site)</w:t>
            </w:r>
          </w:p>
        </w:tc>
      </w:tr>
      <w:tr w:rsidR="00A068D5" w:rsidRPr="00A068D5" w14:paraId="5CA99385" w14:textId="77777777" w:rsidTr="00A068D5">
        <w:trPr>
          <w:tblCellSpacing w:w="0" w:type="dxa"/>
        </w:trPr>
        <w:tc>
          <w:tcPr>
            <w:tcW w:w="169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C743CBE" w14:textId="77777777" w:rsidR="00A068D5" w:rsidRPr="00A068D5" w:rsidRDefault="00A068D5" w:rsidP="00A068D5">
            <w:pPr>
              <w:pStyle w:val="BodyTextSMPC"/>
              <w:spacing w:after="0"/>
              <w:ind w:left="0"/>
            </w:pPr>
            <w:r w:rsidRPr="00A068D5">
              <w:t>Benzylpenicillin Sodium</w:t>
            </w:r>
          </w:p>
          <w:p w14:paraId="524B072F" w14:textId="77777777" w:rsidR="00A068D5" w:rsidRPr="00A068D5" w:rsidRDefault="00A068D5" w:rsidP="00A068D5">
            <w:pPr>
              <w:pStyle w:val="BodyTextSMPC"/>
              <w:spacing w:after="0"/>
              <w:ind w:left="0"/>
              <w:jc w:val="left"/>
            </w:pPr>
            <w:r w:rsidRPr="00A068D5">
              <w:rPr>
                <w:b/>
                <w:bCs/>
              </w:rPr>
              <w:t>600 mg </w:t>
            </w:r>
            <w:r w:rsidRPr="00A068D5">
              <w:t>powder for solution for injection / infusion}</w:t>
            </w:r>
          </w:p>
          <w:p w14:paraId="235F7ED3" w14:textId="77777777" w:rsidR="00A068D5" w:rsidRPr="00A068D5" w:rsidRDefault="00A068D5" w:rsidP="00A068D5">
            <w:pPr>
              <w:pStyle w:val="BodyTextSMPC"/>
              <w:spacing w:after="0"/>
              <w:ind w:left="0"/>
            </w:pPr>
            <w:r w:rsidRPr="00A068D5">
              <w:rPr>
                <w:i/>
                <w:iCs/>
              </w:rPr>
              <w:t xml:space="preserve">(contains ± </w:t>
            </w:r>
            <w:proofErr w:type="gramStart"/>
            <w:r w:rsidRPr="00A068D5">
              <w:rPr>
                <w:i/>
                <w:iCs/>
              </w:rPr>
              <w:t>0.6 gram</w:t>
            </w:r>
            <w:proofErr w:type="gramEnd"/>
            <w:r w:rsidRPr="00A068D5">
              <w:rPr>
                <w:i/>
                <w:iCs/>
              </w:rPr>
              <w:t xml:space="preserve"> powder)</w:t>
            </w:r>
          </w:p>
        </w:tc>
        <w:tc>
          <w:tcPr>
            <w:tcW w:w="1505" w:type="pct"/>
            <w:tcBorders>
              <w:top w:val="outset" w:sz="6" w:space="0" w:color="auto"/>
              <w:left w:val="outset" w:sz="6" w:space="0" w:color="auto"/>
              <w:bottom w:val="outset" w:sz="6" w:space="0" w:color="auto"/>
              <w:right w:val="outset" w:sz="6" w:space="0" w:color="auto"/>
            </w:tcBorders>
            <w:shd w:val="clear" w:color="auto" w:fill="FFFFFF"/>
            <w:hideMark/>
          </w:tcPr>
          <w:p w14:paraId="21913BF2" w14:textId="77777777" w:rsidR="00A068D5" w:rsidRPr="00A068D5" w:rsidRDefault="00A068D5" w:rsidP="00A068D5">
            <w:pPr>
              <w:pStyle w:val="BodyTextSMPC"/>
              <w:spacing w:after="0"/>
              <w:ind w:left="0"/>
            </w:pPr>
            <w:r w:rsidRPr="00A068D5">
              <w:t>0.6 - 1 ml</w:t>
            </w:r>
          </w:p>
        </w:tc>
        <w:tc>
          <w:tcPr>
            <w:tcW w:w="1805" w:type="pct"/>
            <w:tcBorders>
              <w:top w:val="outset" w:sz="6" w:space="0" w:color="auto"/>
              <w:left w:val="outset" w:sz="6" w:space="0" w:color="auto"/>
              <w:bottom w:val="outset" w:sz="6" w:space="0" w:color="auto"/>
              <w:right w:val="outset" w:sz="6" w:space="0" w:color="auto"/>
            </w:tcBorders>
            <w:shd w:val="clear" w:color="auto" w:fill="FFFFFF"/>
            <w:hideMark/>
          </w:tcPr>
          <w:p w14:paraId="5BB57DD7" w14:textId="77777777" w:rsidR="00A068D5" w:rsidRPr="00A068D5" w:rsidRDefault="00A068D5" w:rsidP="00A068D5">
            <w:pPr>
              <w:pStyle w:val="BodyTextSMPC"/>
              <w:spacing w:after="0"/>
              <w:ind w:left="0"/>
            </w:pPr>
          </w:p>
        </w:tc>
      </w:tr>
      <w:tr w:rsidR="00A068D5" w:rsidRPr="00A068D5" w14:paraId="7C7FDD3E" w14:textId="77777777" w:rsidTr="00A068D5">
        <w:trPr>
          <w:tblCellSpacing w:w="0" w:type="dxa"/>
        </w:trPr>
        <w:tc>
          <w:tcPr>
            <w:tcW w:w="1690" w:type="pct"/>
            <w:vMerge/>
            <w:tcBorders>
              <w:top w:val="outset" w:sz="6" w:space="0" w:color="auto"/>
              <w:left w:val="outset" w:sz="6" w:space="0" w:color="auto"/>
              <w:bottom w:val="outset" w:sz="6" w:space="0" w:color="auto"/>
              <w:right w:val="outset" w:sz="6" w:space="0" w:color="auto"/>
            </w:tcBorders>
            <w:shd w:val="clear" w:color="auto" w:fill="FFFFFF"/>
            <w:hideMark/>
          </w:tcPr>
          <w:p w14:paraId="708D3D2A" w14:textId="77777777" w:rsidR="00A068D5" w:rsidRPr="00A068D5" w:rsidRDefault="00A068D5" w:rsidP="00A068D5">
            <w:pPr>
              <w:pStyle w:val="BodyTextSMPC"/>
              <w:spacing w:after="0"/>
              <w:ind w:left="0"/>
            </w:pPr>
          </w:p>
        </w:tc>
        <w:tc>
          <w:tcPr>
            <w:tcW w:w="1505" w:type="pct"/>
            <w:tcBorders>
              <w:top w:val="outset" w:sz="6" w:space="0" w:color="auto"/>
              <w:left w:val="outset" w:sz="6" w:space="0" w:color="auto"/>
              <w:bottom w:val="outset" w:sz="6" w:space="0" w:color="auto"/>
              <w:right w:val="outset" w:sz="6" w:space="0" w:color="auto"/>
            </w:tcBorders>
            <w:shd w:val="clear" w:color="auto" w:fill="FFFFFF"/>
            <w:hideMark/>
          </w:tcPr>
          <w:p w14:paraId="75706B04" w14:textId="77777777" w:rsidR="00A068D5" w:rsidRPr="00A068D5" w:rsidRDefault="00A068D5" w:rsidP="00A068D5">
            <w:pPr>
              <w:pStyle w:val="BodyTextSMPC"/>
              <w:spacing w:after="0"/>
              <w:ind w:left="0"/>
            </w:pPr>
            <w:r w:rsidRPr="00A068D5">
              <w:t>e.g. 0.6 ml</w:t>
            </w:r>
          </w:p>
        </w:tc>
        <w:tc>
          <w:tcPr>
            <w:tcW w:w="1805" w:type="pct"/>
            <w:tcBorders>
              <w:top w:val="outset" w:sz="6" w:space="0" w:color="auto"/>
              <w:left w:val="outset" w:sz="6" w:space="0" w:color="auto"/>
              <w:bottom w:val="outset" w:sz="6" w:space="0" w:color="auto"/>
              <w:right w:val="outset" w:sz="6" w:space="0" w:color="auto"/>
            </w:tcBorders>
            <w:shd w:val="clear" w:color="auto" w:fill="FFFFFF"/>
            <w:hideMark/>
          </w:tcPr>
          <w:p w14:paraId="74C674E8" w14:textId="77777777" w:rsidR="00A068D5" w:rsidRPr="00A068D5" w:rsidRDefault="00A068D5" w:rsidP="00A068D5">
            <w:pPr>
              <w:pStyle w:val="BodyTextSMPC"/>
              <w:spacing w:after="0"/>
              <w:ind w:left="0"/>
            </w:pPr>
            <w:r w:rsidRPr="00A068D5">
              <w:t>1.1 ml = 600 mg (545 mg/ml)</w:t>
            </w:r>
          </w:p>
        </w:tc>
      </w:tr>
      <w:tr w:rsidR="00A068D5" w:rsidRPr="00A068D5" w14:paraId="381F88AD" w14:textId="77777777" w:rsidTr="00A068D5">
        <w:trPr>
          <w:tblCellSpacing w:w="0" w:type="dxa"/>
        </w:trPr>
        <w:tc>
          <w:tcPr>
            <w:tcW w:w="1690" w:type="pct"/>
            <w:vMerge/>
            <w:tcBorders>
              <w:top w:val="outset" w:sz="6" w:space="0" w:color="auto"/>
              <w:left w:val="outset" w:sz="6" w:space="0" w:color="auto"/>
              <w:bottom w:val="outset" w:sz="6" w:space="0" w:color="auto"/>
              <w:right w:val="outset" w:sz="6" w:space="0" w:color="auto"/>
            </w:tcBorders>
            <w:shd w:val="clear" w:color="auto" w:fill="FFFFFF"/>
            <w:hideMark/>
          </w:tcPr>
          <w:p w14:paraId="50578231" w14:textId="77777777" w:rsidR="00A068D5" w:rsidRPr="00A068D5" w:rsidRDefault="00A068D5" w:rsidP="00A068D5">
            <w:pPr>
              <w:pStyle w:val="BodyTextSMPC"/>
              <w:spacing w:after="0"/>
              <w:ind w:left="0"/>
            </w:pPr>
          </w:p>
        </w:tc>
        <w:tc>
          <w:tcPr>
            <w:tcW w:w="1505" w:type="pct"/>
            <w:tcBorders>
              <w:top w:val="outset" w:sz="6" w:space="0" w:color="auto"/>
              <w:left w:val="outset" w:sz="6" w:space="0" w:color="auto"/>
              <w:bottom w:val="outset" w:sz="6" w:space="0" w:color="auto"/>
              <w:right w:val="outset" w:sz="6" w:space="0" w:color="auto"/>
            </w:tcBorders>
            <w:shd w:val="clear" w:color="auto" w:fill="FFFFFF"/>
            <w:hideMark/>
          </w:tcPr>
          <w:p w14:paraId="482A7694" w14:textId="77777777" w:rsidR="00A068D5" w:rsidRPr="00A068D5" w:rsidRDefault="00A068D5" w:rsidP="00A068D5">
            <w:pPr>
              <w:pStyle w:val="BodyTextSMPC"/>
              <w:spacing w:after="0"/>
              <w:ind w:left="0"/>
            </w:pPr>
            <w:r w:rsidRPr="00A068D5">
              <w:t>e.g. 1 ml</w:t>
            </w:r>
          </w:p>
        </w:tc>
        <w:tc>
          <w:tcPr>
            <w:tcW w:w="1805" w:type="pct"/>
            <w:tcBorders>
              <w:top w:val="outset" w:sz="6" w:space="0" w:color="auto"/>
              <w:left w:val="outset" w:sz="6" w:space="0" w:color="auto"/>
              <w:bottom w:val="outset" w:sz="6" w:space="0" w:color="auto"/>
              <w:right w:val="outset" w:sz="6" w:space="0" w:color="auto"/>
            </w:tcBorders>
            <w:shd w:val="clear" w:color="auto" w:fill="FFFFFF"/>
            <w:hideMark/>
          </w:tcPr>
          <w:p w14:paraId="2013F15F" w14:textId="77777777" w:rsidR="00A068D5" w:rsidRPr="00A068D5" w:rsidRDefault="00A068D5" w:rsidP="00A068D5">
            <w:pPr>
              <w:pStyle w:val="BodyTextSMPC"/>
              <w:spacing w:after="0"/>
              <w:ind w:left="0"/>
            </w:pPr>
            <w:r w:rsidRPr="00A068D5">
              <w:t>1.5 ml = 600 mg (400 mg/ml)</w:t>
            </w:r>
          </w:p>
        </w:tc>
      </w:tr>
    </w:tbl>
    <w:p w14:paraId="153AECAF" w14:textId="77777777" w:rsidR="00A068D5" w:rsidRPr="00A068D5" w:rsidRDefault="00A068D5" w:rsidP="00EC77CC">
      <w:pPr>
        <w:pStyle w:val="BodyTextSMPC"/>
        <w:ind w:left="0"/>
      </w:pPr>
    </w:p>
    <w:p w14:paraId="4B01ACC5" w14:textId="2B37A905" w:rsidR="00227FD4" w:rsidRPr="008F5678" w:rsidRDefault="00000000" w:rsidP="007A4C62">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3E4D9" w14:textId="77777777" w:rsidR="004A007B" w:rsidRDefault="004A007B" w:rsidP="008F5678">
      <w:pPr>
        <w:spacing w:line="240" w:lineRule="auto"/>
      </w:pPr>
      <w:r>
        <w:separator/>
      </w:r>
    </w:p>
  </w:endnote>
  <w:endnote w:type="continuationSeparator" w:id="0">
    <w:p w14:paraId="032AC323" w14:textId="77777777" w:rsidR="004A007B" w:rsidRDefault="004A007B"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56DC4892" w:rsidR="008F5678" w:rsidRPr="000C7ED9" w:rsidRDefault="008F5678" w:rsidP="008F5678">
    <w:pPr>
      <w:rPr>
        <w:rFonts w:ascii="Times New Roman" w:hAnsi="Times New Roman" w:cs="Times New Roman"/>
        <w:color w:val="FF0000"/>
        <w:sz w:val="32"/>
        <w:szCs w:val="24"/>
        <w:cs/>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EC77CC" w:rsidRPr="00EC77CC">
      <w:rPr>
        <w:rFonts w:ascii="Times New Roman" w:hAnsi="Times New Roman" w:cs="Times New Roman"/>
        <w:sz w:val="24"/>
        <w:szCs w:val="24"/>
      </w:rPr>
      <w:t>Benzylpenicillin</w:t>
    </w:r>
    <w:r w:rsidRPr="008F5678">
      <w:rPr>
        <w:rFonts w:ascii="Times New Roman" w:hAnsi="Times New Roman" w:cs="Times New Roman"/>
        <w:sz w:val="24"/>
        <w:szCs w:val="24"/>
      </w:rPr>
      <w:t xml:space="preserve">, </w:t>
    </w:r>
    <w:r w:rsidR="00EC77CC">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EC77CC">
      <w:rPr>
        <w:rFonts w:ascii="Times New Roman" w:hAnsi="Times New Roman" w:cs="Times New Roman"/>
        <w:sz w:val="24"/>
        <w:szCs w:val="24"/>
      </w:rPr>
      <w:t>04/</w:t>
    </w:r>
    <w:r w:rsidR="001B1CB6">
      <w:rPr>
        <w:rFonts w:ascii="Times New Roman" w:eastAsia="Times New Roman" w:hAnsi="Times New Roman" w:cs="Times New Roman"/>
        <w:sz w:val="24"/>
        <w:szCs w:val="24"/>
      </w:rPr>
      <w:t>06/24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8A329" w14:textId="77777777" w:rsidR="004A007B" w:rsidRDefault="004A007B" w:rsidP="008F5678">
      <w:pPr>
        <w:spacing w:line="240" w:lineRule="auto"/>
      </w:pPr>
      <w:r>
        <w:separator/>
      </w:r>
    </w:p>
  </w:footnote>
  <w:footnote w:type="continuationSeparator" w:id="0">
    <w:p w14:paraId="7DC6ED91" w14:textId="77777777" w:rsidR="004A007B" w:rsidRDefault="004A007B"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4"/>
  </w:num>
  <w:num w:numId="2" w16cid:durableId="658729891">
    <w:abstractNumId w:val="0"/>
  </w:num>
  <w:num w:numId="3" w16cid:durableId="1826510259">
    <w:abstractNumId w:val="2"/>
  </w:num>
  <w:num w:numId="4" w16cid:durableId="1678921655">
    <w:abstractNumId w:val="3"/>
  </w:num>
  <w:num w:numId="5" w16cid:durableId="82191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6076"/>
    <w:rsid w:val="0003354B"/>
    <w:rsid w:val="000453B9"/>
    <w:rsid w:val="00070173"/>
    <w:rsid w:val="000C7ED9"/>
    <w:rsid w:val="001162E6"/>
    <w:rsid w:val="00177864"/>
    <w:rsid w:val="00182860"/>
    <w:rsid w:val="001A39AF"/>
    <w:rsid w:val="001B1CB6"/>
    <w:rsid w:val="001E1455"/>
    <w:rsid w:val="00200B73"/>
    <w:rsid w:val="00217343"/>
    <w:rsid w:val="00227FD4"/>
    <w:rsid w:val="00232126"/>
    <w:rsid w:val="00233A79"/>
    <w:rsid w:val="002357B1"/>
    <w:rsid w:val="00254057"/>
    <w:rsid w:val="00307506"/>
    <w:rsid w:val="00316A60"/>
    <w:rsid w:val="00323A34"/>
    <w:rsid w:val="00362134"/>
    <w:rsid w:val="00385779"/>
    <w:rsid w:val="00397295"/>
    <w:rsid w:val="00415AF9"/>
    <w:rsid w:val="004707A7"/>
    <w:rsid w:val="004A007B"/>
    <w:rsid w:val="004A5AB4"/>
    <w:rsid w:val="005574FA"/>
    <w:rsid w:val="00606B16"/>
    <w:rsid w:val="006147EE"/>
    <w:rsid w:val="006224A3"/>
    <w:rsid w:val="0062302F"/>
    <w:rsid w:val="00641955"/>
    <w:rsid w:val="006448B7"/>
    <w:rsid w:val="00646ECA"/>
    <w:rsid w:val="00671E86"/>
    <w:rsid w:val="006752B9"/>
    <w:rsid w:val="0069711D"/>
    <w:rsid w:val="006B41AF"/>
    <w:rsid w:val="006D4823"/>
    <w:rsid w:val="006E7537"/>
    <w:rsid w:val="007258BA"/>
    <w:rsid w:val="0075380E"/>
    <w:rsid w:val="00755C3B"/>
    <w:rsid w:val="00757ABD"/>
    <w:rsid w:val="0076728F"/>
    <w:rsid w:val="00774F68"/>
    <w:rsid w:val="00783899"/>
    <w:rsid w:val="007A4C62"/>
    <w:rsid w:val="007A70CC"/>
    <w:rsid w:val="007B01F4"/>
    <w:rsid w:val="007F2B3F"/>
    <w:rsid w:val="00817FAD"/>
    <w:rsid w:val="00834A79"/>
    <w:rsid w:val="00842E18"/>
    <w:rsid w:val="00894F3B"/>
    <w:rsid w:val="008A2A73"/>
    <w:rsid w:val="008F5678"/>
    <w:rsid w:val="009242EA"/>
    <w:rsid w:val="00955F90"/>
    <w:rsid w:val="00962771"/>
    <w:rsid w:val="00962985"/>
    <w:rsid w:val="00972AD6"/>
    <w:rsid w:val="00982EC5"/>
    <w:rsid w:val="009D6FFD"/>
    <w:rsid w:val="00A04703"/>
    <w:rsid w:val="00A068D5"/>
    <w:rsid w:val="00A144D2"/>
    <w:rsid w:val="00A22C1C"/>
    <w:rsid w:val="00A560E6"/>
    <w:rsid w:val="00A85894"/>
    <w:rsid w:val="00AB6AD4"/>
    <w:rsid w:val="00AF212D"/>
    <w:rsid w:val="00B24321"/>
    <w:rsid w:val="00B2537D"/>
    <w:rsid w:val="00B36B0E"/>
    <w:rsid w:val="00B52056"/>
    <w:rsid w:val="00B61320"/>
    <w:rsid w:val="00B65CC5"/>
    <w:rsid w:val="00B86B7C"/>
    <w:rsid w:val="00BD279B"/>
    <w:rsid w:val="00BE0013"/>
    <w:rsid w:val="00BE0983"/>
    <w:rsid w:val="00BE10A8"/>
    <w:rsid w:val="00C04DF2"/>
    <w:rsid w:val="00C069FE"/>
    <w:rsid w:val="00C21A1C"/>
    <w:rsid w:val="00C36E7B"/>
    <w:rsid w:val="00C5591F"/>
    <w:rsid w:val="00CA053A"/>
    <w:rsid w:val="00D32C40"/>
    <w:rsid w:val="00D5236F"/>
    <w:rsid w:val="00D90A3C"/>
    <w:rsid w:val="00DB6202"/>
    <w:rsid w:val="00E01FDA"/>
    <w:rsid w:val="00E222B8"/>
    <w:rsid w:val="00E47326"/>
    <w:rsid w:val="00E641A1"/>
    <w:rsid w:val="00E647E4"/>
    <w:rsid w:val="00E72F63"/>
    <w:rsid w:val="00EC77CC"/>
    <w:rsid w:val="00EE5855"/>
    <w:rsid w:val="00F04BB0"/>
    <w:rsid w:val="00F512AD"/>
    <w:rsid w:val="00F62E5E"/>
    <w:rsid w:val="00F7564F"/>
    <w:rsid w:val="00FC40E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28</Pages>
  <Words>5448</Words>
  <Characters>31058</Characters>
  <Application>Microsoft Office Word</Application>
  <DocSecurity>0</DocSecurity>
  <Lines>258</Lines>
  <Paragraphs>72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10</cp:revision>
  <dcterms:created xsi:type="dcterms:W3CDTF">2024-07-31T06:42:00Z</dcterms:created>
  <dcterms:modified xsi:type="dcterms:W3CDTF">2024-07-31T08:04:00Z</dcterms:modified>
</cp:coreProperties>
</file>