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236C1" w14:textId="77777777" w:rsidR="00620A60" w:rsidRPr="000A1286" w:rsidRDefault="00620A60" w:rsidP="00620A60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382B2E28" w14:textId="77777777" w:rsidR="00620A60" w:rsidRDefault="00620A60" w:rsidP="00620A60">
      <w:pPr>
        <w:pStyle w:val="HEADING1SMPC"/>
      </w:pPr>
      <w:r w:rsidRPr="008F5678">
        <w:t>NAME OF THE MEDICINAL PRODUCT</w:t>
      </w:r>
    </w:p>
    <w:p w14:paraId="6B96762B" w14:textId="45CCB554" w:rsidR="00620A60" w:rsidRPr="00620A60" w:rsidRDefault="00620A60" w:rsidP="00620A60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620A60">
        <w:rPr>
          <w:rFonts w:ascii="Times New Roman" w:hAnsi="Times New Roman" w:cs="Times New Roman"/>
          <w:color w:val="FF0000"/>
          <w:sz w:val="28"/>
        </w:rPr>
        <w:t xml:space="preserve">&lt;TRADE NAME&gt; &lt;STRENGTH&gt; </w:t>
      </w:r>
      <w:r w:rsidRPr="00620A60">
        <w:rPr>
          <w:rFonts w:ascii="Times New Roman" w:hAnsi="Times New Roman" w:cs="Times New Roman"/>
          <w:sz w:val="28"/>
        </w:rPr>
        <w:t>s</w:t>
      </w:r>
      <w:r w:rsidRPr="00620A60">
        <w:rPr>
          <w:rFonts w:ascii="Times New Roman" w:hAnsi="Times New Roman" w:cs="Times New Roman"/>
          <w:sz w:val="28"/>
        </w:rPr>
        <w:t xml:space="preserve">olution for </w:t>
      </w:r>
      <w:r w:rsidRPr="00620A60">
        <w:rPr>
          <w:rFonts w:ascii="Times New Roman" w:hAnsi="Times New Roman" w:cs="Times New Roman"/>
          <w:sz w:val="28"/>
        </w:rPr>
        <w:t>i</w:t>
      </w:r>
      <w:r w:rsidRPr="00620A60">
        <w:rPr>
          <w:rFonts w:ascii="Times New Roman" w:hAnsi="Times New Roman" w:cs="Times New Roman"/>
          <w:sz w:val="28"/>
        </w:rPr>
        <w:t xml:space="preserve">njection and </w:t>
      </w:r>
      <w:r w:rsidRPr="00620A60">
        <w:rPr>
          <w:rFonts w:ascii="Times New Roman" w:hAnsi="Times New Roman" w:cs="Times New Roman"/>
          <w:sz w:val="28"/>
        </w:rPr>
        <w:t>i</w:t>
      </w:r>
      <w:r w:rsidRPr="00620A60">
        <w:rPr>
          <w:rFonts w:ascii="Times New Roman" w:hAnsi="Times New Roman" w:cs="Times New Roman"/>
          <w:sz w:val="28"/>
        </w:rPr>
        <w:t>nfusion</w:t>
      </w:r>
    </w:p>
    <w:p w14:paraId="06402DF6" w14:textId="77777777" w:rsidR="00620A60" w:rsidRDefault="00620A60" w:rsidP="00620A60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672FDDDA" w14:textId="46A324FB" w:rsidR="00620A60" w:rsidRDefault="00620A60" w:rsidP="00620A60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620A60">
        <w:rPr>
          <w:rFonts w:ascii="Times New Roman" w:hAnsi="Times New Roman" w:cs="Times New Roman"/>
          <w:sz w:val="28"/>
        </w:rPr>
        <w:t xml:space="preserve">Each one ml of solution contains </w:t>
      </w:r>
      <w:r w:rsidRPr="00620A60">
        <w:rPr>
          <w:rFonts w:ascii="Times New Roman" w:hAnsi="Times New Roman" w:cs="Times New Roman"/>
          <w:color w:val="FF0000"/>
          <w:sz w:val="28"/>
        </w:rPr>
        <w:t>&lt;STRENGTH&gt; &lt;GENERIC NAME&gt;</w:t>
      </w:r>
    </w:p>
    <w:p w14:paraId="325EE9D5" w14:textId="77777777" w:rsidR="00620A60" w:rsidRPr="00D022AD" w:rsidRDefault="00620A60" w:rsidP="00620A60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D022AD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7E3D70F5" w14:textId="77777777" w:rsidR="00620A60" w:rsidRPr="0085460F" w:rsidRDefault="00620A60" w:rsidP="00620A60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16236C61" w14:textId="77777777" w:rsidR="00620A60" w:rsidRPr="000A1286" w:rsidRDefault="00620A60" w:rsidP="00620A60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68018500" w14:textId="77777777" w:rsidR="00620A60" w:rsidRDefault="00620A60" w:rsidP="00620A60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1D5840F2" w14:textId="6789A017" w:rsidR="00620A60" w:rsidRDefault="00620A60" w:rsidP="00620A60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S</w:t>
      </w:r>
      <w:r w:rsidRPr="00620A60">
        <w:rPr>
          <w:rFonts w:ascii="Times New Roman" w:hAnsi="Times New Roman" w:cs="Times New Roman"/>
          <w:sz w:val="28"/>
        </w:rPr>
        <w:t>olution for injection and infusion</w:t>
      </w:r>
    </w:p>
    <w:p w14:paraId="5DC045A0" w14:textId="77777777" w:rsidR="00620A60" w:rsidRPr="0085460F" w:rsidRDefault="00620A60" w:rsidP="00620A60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43BF06E" w14:textId="77777777" w:rsidR="00620A60" w:rsidRPr="008F5678" w:rsidRDefault="00620A60" w:rsidP="00620A60">
      <w:pPr>
        <w:pStyle w:val="HEADING1SMPC"/>
        <w:rPr>
          <w:szCs w:val="28"/>
        </w:rPr>
      </w:pPr>
      <w:r w:rsidRPr="008F5678">
        <w:t>CLINICAL PARTICULARS</w:t>
      </w:r>
    </w:p>
    <w:p w14:paraId="7A83759D" w14:textId="77777777" w:rsidR="00620A60" w:rsidRDefault="00620A60" w:rsidP="00620A60">
      <w:pPr>
        <w:pStyle w:val="SubHeafingSMPC"/>
        <w:spacing w:before="0"/>
        <w:ind w:left="0" w:firstLine="0"/>
      </w:pPr>
      <w:r w:rsidRPr="007F158B">
        <w:t>Therapeutic indications</w:t>
      </w:r>
    </w:p>
    <w:p w14:paraId="2043F715" w14:textId="77777777" w:rsidR="00620A60" w:rsidRPr="00B02EA1" w:rsidRDefault="00620A60" w:rsidP="00620A60">
      <w:pPr>
        <w:pStyle w:val="SubHeafingSMPC"/>
        <w:numPr>
          <w:ilvl w:val="0"/>
          <w:numId w:val="0"/>
        </w:numPr>
        <w:spacing w:before="0"/>
        <w:rPr>
          <w:b w:val="0"/>
          <w:bCs w:val="0"/>
          <w:u w:val="single"/>
        </w:rPr>
      </w:pPr>
      <w:r>
        <w:tab/>
      </w:r>
      <w:r w:rsidRPr="00B02EA1">
        <w:rPr>
          <w:b w:val="0"/>
          <w:bCs w:val="0"/>
          <w:u w:val="single"/>
        </w:rPr>
        <w:t>Adults</w:t>
      </w:r>
    </w:p>
    <w:p w14:paraId="22F4B203" w14:textId="72D2DD22" w:rsidR="00620A60" w:rsidRDefault="00620A60" w:rsidP="00620A6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b w:val="0"/>
          <w:bCs w:val="0"/>
        </w:rPr>
        <w:tab/>
      </w:r>
      <w:r w:rsidRPr="00620A60">
        <w:rPr>
          <w:b w:val="0"/>
          <w:bCs w:val="0"/>
        </w:rPr>
        <w:t>Ranitidine Solution for Injection is indicated for the treatment 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620A60">
        <w:rPr>
          <w:b w:val="0"/>
          <w:bCs w:val="0"/>
        </w:rPr>
        <w:t xml:space="preserve">duodenal ulcer, benign gastric ulcer, post-operative ulcer, and of </w:t>
      </w:r>
      <w:r>
        <w:rPr>
          <w:b w:val="0"/>
          <w:bCs w:val="0"/>
        </w:rPr>
        <w:tab/>
      </w:r>
      <w:r w:rsidRPr="00620A60">
        <w:rPr>
          <w:b w:val="0"/>
          <w:bCs w:val="0"/>
        </w:rPr>
        <w:t>Zollinger - Ellison Syndrome.</w:t>
      </w:r>
      <w:r>
        <w:rPr>
          <w:b w:val="0"/>
          <w:bCs w:val="0"/>
        </w:rPr>
        <w:t xml:space="preserve"> </w:t>
      </w:r>
      <w:r w:rsidRPr="00620A60">
        <w:rPr>
          <w:b w:val="0"/>
          <w:bCs w:val="0"/>
        </w:rPr>
        <w:t xml:space="preserve">In the management of conditions where </w:t>
      </w:r>
      <w:r>
        <w:rPr>
          <w:b w:val="0"/>
          <w:bCs w:val="0"/>
        </w:rPr>
        <w:tab/>
      </w:r>
      <w:r w:rsidRPr="00620A60">
        <w:rPr>
          <w:b w:val="0"/>
          <w:bCs w:val="0"/>
        </w:rPr>
        <w:t xml:space="preserve">reduction of gastric secretion and acid output is desirable, such as reflux </w:t>
      </w:r>
      <w:r>
        <w:rPr>
          <w:b w:val="0"/>
          <w:bCs w:val="0"/>
        </w:rPr>
        <w:tab/>
      </w:r>
      <w:proofErr w:type="spellStart"/>
      <w:r w:rsidRPr="00620A60">
        <w:rPr>
          <w:b w:val="0"/>
          <w:bCs w:val="0"/>
        </w:rPr>
        <w:t>oesphagitis</w:t>
      </w:r>
      <w:proofErr w:type="spellEnd"/>
      <w:r w:rsidRPr="00620A60">
        <w:rPr>
          <w:b w:val="0"/>
          <w:bCs w:val="0"/>
        </w:rPr>
        <w:t>.</w:t>
      </w:r>
    </w:p>
    <w:p w14:paraId="404172B5" w14:textId="77777777" w:rsidR="00620A60" w:rsidRPr="00620A60" w:rsidRDefault="00620A60" w:rsidP="00620A6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620A60">
        <w:rPr>
          <w:rFonts w:cstheme="minorBidi"/>
          <w:b w:val="0"/>
          <w:bCs w:val="0"/>
          <w:i/>
          <w:iCs/>
        </w:rPr>
        <w:t>As prophylaxis against:</w:t>
      </w:r>
    </w:p>
    <w:p w14:paraId="435259D8" w14:textId="77777777" w:rsidR="00620A60" w:rsidRDefault="00620A60" w:rsidP="00620A60">
      <w:pPr>
        <w:pStyle w:val="SubHeafingSMPC"/>
        <w:numPr>
          <w:ilvl w:val="0"/>
          <w:numId w:val="11"/>
        </w:numPr>
        <w:spacing w:before="0"/>
        <w:jc w:val="thaiDistribute"/>
        <w:rPr>
          <w:rFonts w:cstheme="minorBidi"/>
          <w:b w:val="0"/>
          <w:bCs w:val="0"/>
        </w:rPr>
      </w:pPr>
      <w:r w:rsidRPr="00620A60">
        <w:rPr>
          <w:rFonts w:cstheme="minorBidi"/>
          <w:b w:val="0"/>
          <w:bCs w:val="0"/>
        </w:rPr>
        <w:t>gastrointestinal haemorrhage from stress ulceration in seriously ill</w:t>
      </w:r>
      <w:r>
        <w:rPr>
          <w:rFonts w:cstheme="minorBidi"/>
          <w:b w:val="0"/>
          <w:bCs w:val="0"/>
        </w:rPr>
        <w:t xml:space="preserve"> </w:t>
      </w:r>
      <w:r w:rsidRPr="00620A60">
        <w:rPr>
          <w:rFonts w:cstheme="minorBidi"/>
          <w:b w:val="0"/>
          <w:bCs w:val="0"/>
        </w:rPr>
        <w:t>patients</w:t>
      </w:r>
      <w:r>
        <w:rPr>
          <w:rFonts w:cstheme="minorBidi"/>
          <w:b w:val="0"/>
          <w:bCs w:val="0"/>
        </w:rPr>
        <w:t>.</w:t>
      </w:r>
    </w:p>
    <w:p w14:paraId="1DD4E852" w14:textId="77777777" w:rsidR="00620A60" w:rsidRDefault="00620A60" w:rsidP="00620A60">
      <w:pPr>
        <w:pStyle w:val="SubHeafingSMPC"/>
        <w:numPr>
          <w:ilvl w:val="0"/>
          <w:numId w:val="11"/>
        </w:numPr>
        <w:spacing w:before="0"/>
        <w:jc w:val="thaiDistribute"/>
        <w:rPr>
          <w:rFonts w:cstheme="minorBidi"/>
          <w:b w:val="0"/>
          <w:bCs w:val="0"/>
        </w:rPr>
      </w:pPr>
      <w:r w:rsidRPr="00620A60">
        <w:rPr>
          <w:rFonts w:cstheme="minorBidi"/>
          <w:b w:val="0"/>
          <w:bCs w:val="0"/>
        </w:rPr>
        <w:t>recurrent haemorrhage in patients with bleeding peptic ulcers</w:t>
      </w:r>
      <w:r>
        <w:rPr>
          <w:rFonts w:cstheme="minorBidi"/>
          <w:b w:val="0"/>
          <w:bCs w:val="0"/>
        </w:rPr>
        <w:t>.</w:t>
      </w:r>
    </w:p>
    <w:p w14:paraId="3E5D27C6" w14:textId="3FABE311" w:rsidR="00620A60" w:rsidRPr="00620A60" w:rsidRDefault="00620A60" w:rsidP="00620A60">
      <w:pPr>
        <w:pStyle w:val="SubHeafingSMPC"/>
        <w:numPr>
          <w:ilvl w:val="0"/>
          <w:numId w:val="11"/>
        </w:numPr>
        <w:spacing w:before="0"/>
        <w:jc w:val="thaiDistribute"/>
        <w:rPr>
          <w:rFonts w:cstheme="minorBidi"/>
          <w:b w:val="0"/>
          <w:bCs w:val="0"/>
        </w:rPr>
      </w:pPr>
      <w:r w:rsidRPr="00620A60">
        <w:rPr>
          <w:rFonts w:cstheme="minorBidi"/>
          <w:b w:val="0"/>
          <w:bCs w:val="0"/>
        </w:rPr>
        <w:lastRenderedPageBreak/>
        <w:t xml:space="preserve">acid aspiration (Mendelson's Syndrome) before </w:t>
      </w:r>
      <w:proofErr w:type="spellStart"/>
      <w:r w:rsidRPr="00620A60">
        <w:rPr>
          <w:rFonts w:cstheme="minorBidi"/>
          <w:b w:val="0"/>
          <w:bCs w:val="0"/>
        </w:rPr>
        <w:t>anaesthesia</w:t>
      </w:r>
      <w:proofErr w:type="spellEnd"/>
      <w:r w:rsidRPr="00620A60">
        <w:rPr>
          <w:rFonts w:cstheme="minorBidi"/>
          <w:b w:val="0"/>
          <w:bCs w:val="0"/>
        </w:rPr>
        <w:t xml:space="preserve"> in patients</w:t>
      </w:r>
      <w:r>
        <w:rPr>
          <w:rFonts w:cstheme="minorBidi"/>
          <w:b w:val="0"/>
          <w:bCs w:val="0"/>
        </w:rPr>
        <w:t xml:space="preserve"> </w:t>
      </w:r>
      <w:r w:rsidRPr="00620A60">
        <w:rPr>
          <w:rFonts w:cstheme="minorBidi"/>
          <w:b w:val="0"/>
          <w:bCs w:val="0"/>
        </w:rPr>
        <w:t xml:space="preserve">at risk, particularly obstetric patients during </w:t>
      </w:r>
      <w:proofErr w:type="spellStart"/>
      <w:r w:rsidRPr="00620A60">
        <w:rPr>
          <w:rFonts w:cstheme="minorBidi"/>
          <w:b w:val="0"/>
          <w:bCs w:val="0"/>
        </w:rPr>
        <w:t>labour</w:t>
      </w:r>
      <w:proofErr w:type="spellEnd"/>
      <w:r w:rsidRPr="00620A60">
        <w:rPr>
          <w:rFonts w:cstheme="minorBidi"/>
          <w:b w:val="0"/>
          <w:bCs w:val="0"/>
        </w:rPr>
        <w:t>.</w:t>
      </w:r>
    </w:p>
    <w:p w14:paraId="475C4DA5" w14:textId="77777777" w:rsidR="00620A60" w:rsidRPr="00620A60" w:rsidRDefault="00620A60" w:rsidP="00620A60">
      <w:pPr>
        <w:pStyle w:val="SubHeafingSMPC"/>
        <w:numPr>
          <w:ilvl w:val="0"/>
          <w:numId w:val="0"/>
        </w:numPr>
        <w:jc w:val="mediumKashida"/>
        <w:rPr>
          <w:rFonts w:cstheme="minorBidi"/>
          <w:b w:val="0"/>
          <w:bCs w:val="0"/>
          <w:sz w:val="10"/>
          <w:szCs w:val="10"/>
        </w:rPr>
      </w:pPr>
    </w:p>
    <w:p w14:paraId="62C9161E" w14:textId="77777777" w:rsidR="00620A60" w:rsidRDefault="00620A60" w:rsidP="00620A60">
      <w:pPr>
        <w:pStyle w:val="SubHeafingSMPC"/>
        <w:numPr>
          <w:ilvl w:val="0"/>
          <w:numId w:val="0"/>
        </w:numPr>
        <w:jc w:val="mediumKashida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620A60">
        <w:rPr>
          <w:rFonts w:cstheme="minorBidi"/>
          <w:b w:val="0"/>
          <w:bCs w:val="0"/>
        </w:rPr>
        <w:t>Children (6 months to 18 years)</w:t>
      </w:r>
    </w:p>
    <w:p w14:paraId="3BE90409" w14:textId="0A7B9161" w:rsidR="00620A60" w:rsidRDefault="00620A60" w:rsidP="00620A60">
      <w:pPr>
        <w:pStyle w:val="SubHeafingSMPC"/>
        <w:numPr>
          <w:ilvl w:val="0"/>
          <w:numId w:val="0"/>
        </w:numPr>
        <w:jc w:val="mediumKashida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620A60">
        <w:rPr>
          <w:rFonts w:cstheme="minorBidi"/>
          <w:b w:val="0"/>
          <w:bCs w:val="0"/>
        </w:rPr>
        <w:t>short term treatment of peptic ulcer</w:t>
      </w:r>
      <w:r>
        <w:rPr>
          <w:rFonts w:cstheme="minorBidi"/>
          <w:b w:val="0"/>
          <w:bCs w:val="0"/>
        </w:rPr>
        <w:t>.</w:t>
      </w:r>
    </w:p>
    <w:p w14:paraId="24F26D0A" w14:textId="77777777" w:rsidR="00620A60" w:rsidRPr="00620A60" w:rsidRDefault="00620A60" w:rsidP="00620A60">
      <w:pPr>
        <w:pStyle w:val="SubHeafingSMPC"/>
        <w:numPr>
          <w:ilvl w:val="0"/>
          <w:numId w:val="0"/>
        </w:numPr>
        <w:jc w:val="mediumKashida"/>
        <w:rPr>
          <w:rFonts w:cstheme="minorBidi"/>
          <w:b w:val="0"/>
          <w:bCs w:val="0"/>
          <w:sz w:val="10"/>
          <w:szCs w:val="10"/>
        </w:rPr>
      </w:pPr>
    </w:p>
    <w:p w14:paraId="1F5A8677" w14:textId="69AF707E" w:rsidR="00620A60" w:rsidRDefault="00620A60" w:rsidP="00620A60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620A60">
        <w:rPr>
          <w:rFonts w:cstheme="minorBidi"/>
          <w:b w:val="0"/>
          <w:bCs w:val="0"/>
        </w:rPr>
        <w:t>treatment of gastro-</w:t>
      </w:r>
      <w:proofErr w:type="spellStart"/>
      <w:r w:rsidRPr="00620A60">
        <w:rPr>
          <w:rFonts w:cstheme="minorBidi"/>
          <w:b w:val="0"/>
          <w:bCs w:val="0"/>
        </w:rPr>
        <w:t>oesophageal</w:t>
      </w:r>
      <w:proofErr w:type="spellEnd"/>
      <w:r w:rsidRPr="00620A60">
        <w:rPr>
          <w:rFonts w:cstheme="minorBidi"/>
          <w:b w:val="0"/>
          <w:bCs w:val="0"/>
        </w:rPr>
        <w:t xml:space="preserve"> reflux, including reflux</w:t>
      </w:r>
      <w:r>
        <w:rPr>
          <w:rFonts w:cstheme="minorBidi"/>
          <w:b w:val="0"/>
          <w:bCs w:val="0"/>
        </w:rPr>
        <w:t xml:space="preserve"> </w:t>
      </w:r>
      <w:proofErr w:type="spellStart"/>
      <w:r w:rsidRPr="00620A60">
        <w:rPr>
          <w:rFonts w:cstheme="minorBidi"/>
          <w:b w:val="0"/>
          <w:bCs w:val="0"/>
        </w:rPr>
        <w:t>oesophagitis</w:t>
      </w:r>
      <w:proofErr w:type="spellEnd"/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620A60">
        <w:rPr>
          <w:rFonts w:cstheme="minorBidi"/>
          <w:b w:val="0"/>
          <w:bCs w:val="0"/>
        </w:rPr>
        <w:t>and symptomatic relief of gastro-</w:t>
      </w:r>
      <w:proofErr w:type="spellStart"/>
      <w:r w:rsidRPr="00620A60">
        <w:rPr>
          <w:rFonts w:cstheme="minorBidi"/>
          <w:b w:val="0"/>
          <w:bCs w:val="0"/>
        </w:rPr>
        <w:t>oesophageal</w:t>
      </w:r>
      <w:proofErr w:type="spellEnd"/>
      <w:r w:rsidRPr="00620A60">
        <w:rPr>
          <w:rFonts w:cstheme="minorBidi"/>
          <w:b w:val="0"/>
          <w:bCs w:val="0"/>
        </w:rPr>
        <w:t xml:space="preserve"> reflux disease.</w:t>
      </w:r>
    </w:p>
    <w:p w14:paraId="0C66934C" w14:textId="16CBB139" w:rsidR="00620A60" w:rsidRPr="00D022AD" w:rsidRDefault="00620A60" w:rsidP="00620A6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 w:rsidRPr="00D022AD">
        <w:rPr>
          <w:rFonts w:cstheme="minorBidi"/>
          <w:b w:val="0"/>
          <w:bCs w:val="0"/>
          <w:cs/>
        </w:rPr>
        <w:tab/>
      </w:r>
    </w:p>
    <w:p w14:paraId="562D868D" w14:textId="77777777" w:rsidR="00620A60" w:rsidRPr="00E26561" w:rsidRDefault="00620A60" w:rsidP="00620A60">
      <w:pPr>
        <w:pStyle w:val="SubHeafingSMPC"/>
        <w:spacing w:before="0"/>
        <w:ind w:left="57"/>
      </w:pPr>
      <w:r w:rsidRPr="008F5678">
        <w:t>Posology and method of administration</w:t>
      </w:r>
    </w:p>
    <w:p w14:paraId="5E2B56D9" w14:textId="4CE9D160" w:rsidR="00620A60" w:rsidRPr="00620A60" w:rsidRDefault="00620A60" w:rsidP="00620A60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</w:rPr>
      </w:pPr>
      <w:r>
        <w:rPr>
          <w:rFonts w:cstheme="minorBidi"/>
          <w:cs/>
        </w:rPr>
        <w:tab/>
      </w:r>
      <w:r w:rsidRPr="00620A60">
        <w:rPr>
          <w:rFonts w:cstheme="minorBidi"/>
          <w:b w:val="0"/>
          <w:bCs w:val="0"/>
        </w:rPr>
        <w:t>(See Section 5.2)</w:t>
      </w:r>
    </w:p>
    <w:p w14:paraId="2B8FB50D" w14:textId="3FAF9A33" w:rsidR="00620A60" w:rsidRPr="00D022AD" w:rsidRDefault="00620A60" w:rsidP="00620A60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u w:val="single"/>
        </w:rPr>
      </w:pPr>
      <w:r>
        <w:rPr>
          <w:rFonts w:cstheme="minorBidi"/>
          <w:cs/>
        </w:rPr>
        <w:tab/>
      </w:r>
      <w:r w:rsidRPr="00D022AD">
        <w:rPr>
          <w:rFonts w:cstheme="minorBidi"/>
          <w:b w:val="0"/>
          <w:bCs w:val="0"/>
          <w:u w:val="single"/>
        </w:rPr>
        <w:t>Posology</w:t>
      </w:r>
    </w:p>
    <w:p w14:paraId="536CAEBC" w14:textId="77777777" w:rsidR="00620A60" w:rsidRDefault="00620A60" w:rsidP="00620A60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620A60">
        <w:rPr>
          <w:rFonts w:cstheme="minorBidi"/>
          <w:b w:val="0"/>
          <w:bCs w:val="0"/>
          <w:i/>
          <w:iCs/>
        </w:rPr>
        <w:t>Adults (including elderly) and adolescents (12 years and older)</w:t>
      </w:r>
    </w:p>
    <w:p w14:paraId="5D6DEF9F" w14:textId="77777777" w:rsidR="00620A60" w:rsidRDefault="00620A60" w:rsidP="00620A60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620A60">
        <w:rPr>
          <w:rFonts w:cstheme="minorBidi"/>
          <w:b w:val="0"/>
          <w:bCs w:val="0"/>
        </w:rPr>
        <w:t>Ranitidine Solution for Injection may be given as:</w:t>
      </w:r>
    </w:p>
    <w:p w14:paraId="190D4D23" w14:textId="03020E12" w:rsidR="00620A60" w:rsidRPr="00620A60" w:rsidRDefault="00620A60" w:rsidP="00620A60">
      <w:pPr>
        <w:pStyle w:val="SubHeafingSMPC"/>
        <w:numPr>
          <w:ilvl w:val="0"/>
          <w:numId w:val="12"/>
        </w:numPr>
        <w:spacing w:before="0"/>
        <w:jc w:val="thaiDistribute"/>
        <w:rPr>
          <w:rFonts w:cstheme="minorBidi"/>
          <w:b w:val="0"/>
          <w:bCs w:val="0"/>
        </w:rPr>
      </w:pPr>
      <w:r w:rsidRPr="00620A60">
        <w:rPr>
          <w:rFonts w:cstheme="minorBidi"/>
          <w:b w:val="0"/>
          <w:bCs w:val="0"/>
        </w:rPr>
        <w:t>a slow intravenous injection (over two minutes) up to a</w:t>
      </w:r>
      <w:r>
        <w:rPr>
          <w:rFonts w:cstheme="minorBidi"/>
          <w:b w:val="0"/>
          <w:bCs w:val="0"/>
        </w:rPr>
        <w:t xml:space="preserve"> </w:t>
      </w:r>
      <w:r w:rsidRPr="00620A60">
        <w:rPr>
          <w:rFonts w:cstheme="minorBidi"/>
          <w:b w:val="0"/>
          <w:bCs w:val="0"/>
        </w:rPr>
        <w:t>maximum of 50 mg,</w:t>
      </w:r>
      <w:r>
        <w:rPr>
          <w:rFonts w:cstheme="minorBidi"/>
          <w:b w:val="0"/>
          <w:bCs w:val="0"/>
        </w:rPr>
        <w:t xml:space="preserve"> </w:t>
      </w:r>
      <w:r w:rsidRPr="00620A60">
        <w:rPr>
          <w:rFonts w:cstheme="minorBidi"/>
          <w:b w:val="0"/>
          <w:bCs w:val="0"/>
        </w:rPr>
        <w:t>after dilution to a volume of 20 ml per 50 mg dose. This dose may be repeated every</w:t>
      </w:r>
      <w:r>
        <w:rPr>
          <w:rFonts w:cstheme="minorBidi"/>
          <w:b w:val="0"/>
          <w:bCs w:val="0"/>
        </w:rPr>
        <w:t xml:space="preserve"> </w:t>
      </w:r>
      <w:r w:rsidRPr="00620A60">
        <w:rPr>
          <w:rFonts w:cstheme="minorBidi"/>
          <w:b w:val="0"/>
          <w:bCs w:val="0"/>
        </w:rPr>
        <w:t>6 to 8 hours; or</w:t>
      </w:r>
      <w:r>
        <w:rPr>
          <w:rFonts w:cstheme="minorBidi"/>
          <w:b w:val="0"/>
          <w:bCs w:val="0"/>
        </w:rPr>
        <w:t xml:space="preserve"> </w:t>
      </w:r>
      <w:r w:rsidRPr="00620A60">
        <w:rPr>
          <w:rFonts w:cstheme="minorBidi"/>
          <w:b w:val="0"/>
          <w:bCs w:val="0"/>
        </w:rPr>
        <w:t>as an intermittent intravenous infusion at a rate of 25 mg per hour for</w:t>
      </w:r>
      <w:r>
        <w:rPr>
          <w:rFonts w:cstheme="minorBidi"/>
          <w:b w:val="0"/>
          <w:bCs w:val="0"/>
        </w:rPr>
        <w:t xml:space="preserve"> </w:t>
      </w:r>
      <w:r w:rsidRPr="00620A60">
        <w:rPr>
          <w:rFonts w:cstheme="minorBidi"/>
          <w:b w:val="0"/>
          <w:bCs w:val="0"/>
        </w:rPr>
        <w:t>two hours. The infusion may be repeated at 6</w:t>
      </w:r>
      <w:r>
        <w:rPr>
          <w:rFonts w:cstheme="minorBidi"/>
          <w:b w:val="0"/>
          <w:bCs w:val="0"/>
        </w:rPr>
        <w:t xml:space="preserve"> </w:t>
      </w:r>
      <w:r w:rsidRPr="00620A60">
        <w:rPr>
          <w:rFonts w:cstheme="minorBidi"/>
          <w:b w:val="0"/>
          <w:bCs w:val="0"/>
        </w:rPr>
        <w:t>to 8 hour intervals; or</w:t>
      </w:r>
      <w:r>
        <w:rPr>
          <w:rFonts w:cstheme="minorBidi"/>
          <w:b w:val="0"/>
          <w:bCs w:val="0"/>
        </w:rPr>
        <w:t xml:space="preserve"> </w:t>
      </w:r>
      <w:r w:rsidRPr="00620A60">
        <w:rPr>
          <w:rFonts w:cstheme="minorBidi"/>
          <w:b w:val="0"/>
          <w:bCs w:val="0"/>
        </w:rPr>
        <w:t>as an intramuscular injection of 50 mg (2</w:t>
      </w:r>
      <w:r>
        <w:rPr>
          <w:rFonts w:cstheme="minorBidi"/>
          <w:b w:val="0"/>
          <w:bCs w:val="0"/>
        </w:rPr>
        <w:t xml:space="preserve"> </w:t>
      </w:r>
      <w:r w:rsidRPr="00620A60">
        <w:rPr>
          <w:rFonts w:cstheme="minorBidi"/>
          <w:b w:val="0"/>
          <w:bCs w:val="0"/>
        </w:rPr>
        <w:t>ml) every 6 to 8 hours.</w:t>
      </w:r>
    </w:p>
    <w:p w14:paraId="78C956F5" w14:textId="77777777" w:rsidR="00620A60" w:rsidRPr="00620A60" w:rsidRDefault="00620A60" w:rsidP="00620A60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sz w:val="10"/>
          <w:szCs w:val="10"/>
        </w:rPr>
      </w:pPr>
    </w:p>
    <w:p w14:paraId="3643C63D" w14:textId="77777777" w:rsidR="00620A60" w:rsidRDefault="00620A60" w:rsidP="00620A6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>Prophylaxis of haemorrhage from stress ulceration or recurrent</w:t>
      </w:r>
      <w:r w:rsidRPr="00A912C1">
        <w:rPr>
          <w:rFonts w:cstheme="minorBidi"/>
          <w:b w:val="0"/>
          <w:bCs w:val="0"/>
        </w:rPr>
        <w:t xml:space="preserve"> </w:t>
      </w:r>
      <w:r w:rsidRPr="00A912C1"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>haemorrhage:</w:t>
      </w:r>
      <w:r w:rsidRPr="00620A60">
        <w:rPr>
          <w:rFonts w:cstheme="minorBidi"/>
          <w:b w:val="0"/>
          <w:bCs w:val="0"/>
        </w:rPr>
        <w:t xml:space="preserve"> In the prophylaxis of haemorrhage from stress ulceration </w:t>
      </w:r>
      <w:r>
        <w:rPr>
          <w:rFonts w:cstheme="minorBidi"/>
          <w:b w:val="0"/>
          <w:bCs w:val="0"/>
        </w:rPr>
        <w:tab/>
      </w:r>
      <w:r w:rsidRPr="00620A60">
        <w:rPr>
          <w:rFonts w:cstheme="minorBidi"/>
          <w:b w:val="0"/>
          <w:bCs w:val="0"/>
        </w:rPr>
        <w:t xml:space="preserve">in seriously ill patients or the prophylaxis of recurrent haemorrhage in </w:t>
      </w:r>
      <w:r>
        <w:rPr>
          <w:rFonts w:cstheme="minorBidi"/>
          <w:b w:val="0"/>
          <w:bCs w:val="0"/>
        </w:rPr>
        <w:tab/>
      </w:r>
      <w:r w:rsidRPr="00620A60">
        <w:rPr>
          <w:rFonts w:cstheme="minorBidi"/>
          <w:b w:val="0"/>
          <w:bCs w:val="0"/>
        </w:rPr>
        <w:t xml:space="preserve">patients bleeding from peptic ulceration, parenteral administration may </w:t>
      </w:r>
      <w:r>
        <w:rPr>
          <w:rFonts w:cstheme="minorBidi"/>
          <w:b w:val="0"/>
          <w:bCs w:val="0"/>
        </w:rPr>
        <w:tab/>
      </w:r>
      <w:r w:rsidRPr="00620A60">
        <w:rPr>
          <w:rFonts w:cstheme="minorBidi"/>
          <w:b w:val="0"/>
          <w:bCs w:val="0"/>
        </w:rPr>
        <w:t>be continued until oral feeding commences. Patients</w:t>
      </w:r>
      <w:r>
        <w:rPr>
          <w:rFonts w:cstheme="minorBidi"/>
          <w:b w:val="0"/>
          <w:bCs w:val="0"/>
        </w:rPr>
        <w:t xml:space="preserve"> </w:t>
      </w:r>
      <w:r w:rsidRPr="00620A60">
        <w:rPr>
          <w:rFonts w:cstheme="minorBidi"/>
          <w:b w:val="0"/>
          <w:bCs w:val="0"/>
        </w:rPr>
        <w:t>considered to be still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620A60">
        <w:rPr>
          <w:rFonts w:cstheme="minorBidi"/>
          <w:b w:val="0"/>
          <w:bCs w:val="0"/>
        </w:rPr>
        <w:t xml:space="preserve">at risk may then be treated orally with Ranitidine tablets 150 mg twice </w:t>
      </w:r>
      <w:r>
        <w:rPr>
          <w:rFonts w:cstheme="minorBidi"/>
          <w:b w:val="0"/>
          <w:bCs w:val="0"/>
        </w:rPr>
        <w:tab/>
      </w:r>
      <w:r w:rsidRPr="00620A60">
        <w:rPr>
          <w:rFonts w:cstheme="minorBidi"/>
          <w:b w:val="0"/>
          <w:bCs w:val="0"/>
        </w:rPr>
        <w:t>daily.</w:t>
      </w:r>
    </w:p>
    <w:p w14:paraId="4334A473" w14:textId="77777777" w:rsidR="00A912C1" w:rsidRDefault="00620A60" w:rsidP="00A912C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620A60">
        <w:rPr>
          <w:rFonts w:cstheme="minorBidi"/>
          <w:b w:val="0"/>
          <w:bCs w:val="0"/>
        </w:rPr>
        <w:t xml:space="preserve">In the prophylaxis of upper gastro-intestinal haemorrhage from stress </w:t>
      </w:r>
      <w:r>
        <w:rPr>
          <w:rFonts w:cstheme="minorBidi"/>
          <w:b w:val="0"/>
          <w:bCs w:val="0"/>
        </w:rPr>
        <w:tab/>
      </w:r>
      <w:r w:rsidRPr="00620A60">
        <w:rPr>
          <w:rFonts w:cstheme="minorBidi"/>
          <w:b w:val="0"/>
          <w:bCs w:val="0"/>
        </w:rPr>
        <w:t xml:space="preserve">ulceration in seriously ill patients a priming dose of 50 mg as a slow </w:t>
      </w:r>
      <w:r>
        <w:rPr>
          <w:rFonts w:cstheme="minorBidi"/>
          <w:b w:val="0"/>
          <w:bCs w:val="0"/>
        </w:rPr>
        <w:lastRenderedPageBreak/>
        <w:tab/>
      </w:r>
      <w:r w:rsidRPr="00620A60">
        <w:rPr>
          <w:rFonts w:cstheme="minorBidi"/>
          <w:b w:val="0"/>
          <w:bCs w:val="0"/>
        </w:rPr>
        <w:t xml:space="preserve">intravenous injection followed by a continuous intravenous infusion of </w:t>
      </w:r>
      <w:r>
        <w:rPr>
          <w:rFonts w:cstheme="minorBidi"/>
          <w:b w:val="0"/>
          <w:bCs w:val="0"/>
        </w:rPr>
        <w:tab/>
      </w:r>
      <w:r w:rsidRPr="00620A60">
        <w:rPr>
          <w:rFonts w:cstheme="minorBidi"/>
          <w:b w:val="0"/>
          <w:bCs w:val="0"/>
        </w:rPr>
        <w:t>0.125 - 0.250 mg/kg/</w:t>
      </w:r>
      <w:proofErr w:type="spellStart"/>
      <w:r w:rsidRPr="00620A60">
        <w:rPr>
          <w:rFonts w:cstheme="minorBidi"/>
          <w:b w:val="0"/>
          <w:bCs w:val="0"/>
        </w:rPr>
        <w:t>hr</w:t>
      </w:r>
      <w:proofErr w:type="spellEnd"/>
      <w:r w:rsidRPr="00620A60">
        <w:rPr>
          <w:rFonts w:cstheme="minorBidi"/>
          <w:b w:val="0"/>
          <w:bCs w:val="0"/>
        </w:rPr>
        <w:t xml:space="preserve"> may be preferred.</w:t>
      </w:r>
    </w:p>
    <w:p w14:paraId="69FD5E6E" w14:textId="77777777" w:rsidR="00A912C1" w:rsidRPr="00A912C1" w:rsidRDefault="00A912C1" w:rsidP="00A912C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FAA8F65" w14:textId="77777777" w:rsidR="00A912C1" w:rsidRDefault="00A912C1" w:rsidP="00A912C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>Prophylaxis of Mendelson’s syndrome:</w:t>
      </w:r>
      <w:r>
        <w:rPr>
          <w:rFonts w:cstheme="minorBidi"/>
          <w:b w:val="0"/>
          <w:bCs w:val="0"/>
        </w:rPr>
        <w:t xml:space="preserve"> </w:t>
      </w:r>
      <w:r w:rsidRPr="00A912C1">
        <w:rPr>
          <w:rFonts w:cstheme="minorBidi"/>
          <w:b w:val="0"/>
          <w:bCs w:val="0"/>
        </w:rPr>
        <w:t xml:space="preserve">In patients considered at risk of </w:t>
      </w: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>developing acid aspiration (Mendelson’s) syndrome,</w:t>
      </w:r>
      <w:r>
        <w:rPr>
          <w:rFonts w:cstheme="minorBidi"/>
          <w:b w:val="0"/>
          <w:bCs w:val="0"/>
        </w:rPr>
        <w:t xml:space="preserve"> r</w:t>
      </w:r>
      <w:r w:rsidRPr="00A912C1">
        <w:rPr>
          <w:rFonts w:cstheme="minorBidi"/>
          <w:b w:val="0"/>
          <w:bCs w:val="0"/>
        </w:rPr>
        <w:t xml:space="preserve">anitidine </w:t>
      </w:r>
      <w:r>
        <w:rPr>
          <w:rFonts w:cstheme="minorBidi"/>
          <w:b w:val="0"/>
          <w:bCs w:val="0"/>
        </w:rPr>
        <w:t>s</w:t>
      </w:r>
      <w:r w:rsidRPr="00A912C1">
        <w:rPr>
          <w:rFonts w:cstheme="minorBidi"/>
          <w:b w:val="0"/>
          <w:bCs w:val="0"/>
        </w:rPr>
        <w:t xml:space="preserve">olution </w:t>
      </w: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 xml:space="preserve">for </w:t>
      </w:r>
      <w:r>
        <w:rPr>
          <w:rFonts w:cstheme="minorBidi"/>
          <w:b w:val="0"/>
          <w:bCs w:val="0"/>
        </w:rPr>
        <w:t>i</w:t>
      </w:r>
      <w:r w:rsidRPr="00A912C1">
        <w:rPr>
          <w:rFonts w:cstheme="minorBidi"/>
          <w:b w:val="0"/>
          <w:bCs w:val="0"/>
        </w:rPr>
        <w:t>njection 50 mg may be given intramuscularly or by slow</w:t>
      </w:r>
      <w:r>
        <w:rPr>
          <w:rFonts w:cstheme="minorBidi"/>
          <w:b w:val="0"/>
          <w:bCs w:val="0"/>
        </w:rPr>
        <w:t xml:space="preserve"> </w:t>
      </w:r>
      <w:r w:rsidRPr="00A912C1">
        <w:rPr>
          <w:rFonts w:cstheme="minorBidi"/>
          <w:b w:val="0"/>
          <w:bCs w:val="0"/>
        </w:rPr>
        <w:t>intravenous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 xml:space="preserve">injection, 45 to 60 minutes before induction of general </w:t>
      </w:r>
      <w:proofErr w:type="spellStart"/>
      <w:r w:rsidRPr="00A912C1">
        <w:rPr>
          <w:rFonts w:cstheme="minorBidi"/>
          <w:b w:val="0"/>
          <w:bCs w:val="0"/>
        </w:rPr>
        <w:t>anaesthesia</w:t>
      </w:r>
      <w:r>
        <w:rPr>
          <w:rFonts w:cstheme="minorBidi"/>
          <w:b w:val="0"/>
          <w:bCs w:val="0"/>
        </w:rPr>
        <w:t>.</w:t>
      </w:r>
      <w:proofErr w:type="spellEnd"/>
    </w:p>
    <w:p w14:paraId="7AD9C4F8" w14:textId="77777777" w:rsidR="00A912C1" w:rsidRPr="00A912C1" w:rsidRDefault="00A912C1" w:rsidP="00A912C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381F9E8" w14:textId="77777777" w:rsidR="00A912C1" w:rsidRDefault="00A912C1" w:rsidP="00A912C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  <w:i/>
          <w:iCs/>
        </w:rPr>
        <w:t>Children / Infant (6 months to 11 years)</w:t>
      </w:r>
    </w:p>
    <w:p w14:paraId="6283FFF2" w14:textId="77777777" w:rsidR="00A912C1" w:rsidRDefault="00A912C1" w:rsidP="00A912C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A912C1">
        <w:rPr>
          <w:rFonts w:cstheme="minorBidi"/>
          <w:b w:val="0"/>
          <w:bCs w:val="0"/>
        </w:rPr>
        <w:t>See section 5.2</w:t>
      </w:r>
    </w:p>
    <w:p w14:paraId="170F9564" w14:textId="77777777" w:rsidR="00A912C1" w:rsidRDefault="00A912C1" w:rsidP="00A912C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A912C1">
        <w:rPr>
          <w:rFonts w:cstheme="minorBidi"/>
          <w:b w:val="0"/>
          <w:bCs w:val="0"/>
        </w:rPr>
        <w:t xml:space="preserve">Ranitidine </w:t>
      </w:r>
      <w:r>
        <w:rPr>
          <w:rFonts w:cstheme="minorBidi"/>
          <w:b w:val="0"/>
          <w:bCs w:val="0"/>
        </w:rPr>
        <w:t>i</w:t>
      </w:r>
      <w:r w:rsidRPr="00A912C1">
        <w:rPr>
          <w:rFonts w:cstheme="minorBidi"/>
          <w:b w:val="0"/>
          <w:bCs w:val="0"/>
        </w:rPr>
        <w:t xml:space="preserve">njection may be given as a slow (over 2 minutes) </w:t>
      </w:r>
      <w:r>
        <w:rPr>
          <w:rFonts w:cstheme="minorBidi"/>
          <w:b w:val="0"/>
          <w:bCs w:val="0"/>
        </w:rPr>
        <w:t>IV</w:t>
      </w:r>
      <w:r w:rsidRPr="00A912C1">
        <w:rPr>
          <w:rFonts w:cstheme="minorBidi"/>
          <w:b w:val="0"/>
          <w:bCs w:val="0"/>
        </w:rPr>
        <w:t xml:space="preserve"> injection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>up to a</w:t>
      </w:r>
      <w:r>
        <w:rPr>
          <w:rFonts w:cstheme="minorBidi"/>
          <w:b w:val="0"/>
          <w:bCs w:val="0"/>
          <w:i/>
          <w:iCs/>
        </w:rPr>
        <w:t xml:space="preserve"> </w:t>
      </w:r>
      <w:r w:rsidRPr="00A912C1">
        <w:rPr>
          <w:rFonts w:cstheme="minorBidi"/>
          <w:b w:val="0"/>
          <w:bCs w:val="0"/>
        </w:rPr>
        <w:t>maximum of 50mg every 6 to 8 hours.</w:t>
      </w:r>
    </w:p>
    <w:p w14:paraId="582C181A" w14:textId="77777777" w:rsidR="00A912C1" w:rsidRPr="00A912C1" w:rsidRDefault="00A912C1" w:rsidP="00A912C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  <w:sz w:val="10"/>
          <w:szCs w:val="10"/>
        </w:rPr>
      </w:pPr>
    </w:p>
    <w:p w14:paraId="05F5C84F" w14:textId="77777777" w:rsidR="00A912C1" w:rsidRDefault="00A912C1" w:rsidP="00A912C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A912C1">
        <w:rPr>
          <w:rFonts w:cstheme="minorBidi"/>
          <w:b w:val="0"/>
          <w:bCs w:val="0"/>
          <w:i/>
          <w:iCs/>
        </w:rPr>
        <w:t>Peptic Ulcer Acute Treatment and Gastro-</w:t>
      </w:r>
      <w:proofErr w:type="spellStart"/>
      <w:r w:rsidRPr="00A912C1">
        <w:rPr>
          <w:rFonts w:cstheme="minorBidi"/>
          <w:b w:val="0"/>
          <w:bCs w:val="0"/>
          <w:i/>
          <w:iCs/>
        </w:rPr>
        <w:t>Oesophageal</w:t>
      </w:r>
      <w:proofErr w:type="spellEnd"/>
      <w:r w:rsidRPr="00A912C1">
        <w:rPr>
          <w:rFonts w:cstheme="minorBidi"/>
          <w:b w:val="0"/>
          <w:bCs w:val="0"/>
          <w:i/>
          <w:iCs/>
        </w:rPr>
        <w:t xml:space="preserve"> </w:t>
      </w:r>
      <w:r w:rsidRPr="00A912C1">
        <w:rPr>
          <w:rFonts w:cstheme="minorBidi"/>
          <w:b w:val="0"/>
          <w:bCs w:val="0"/>
          <w:i/>
          <w:iCs/>
        </w:rPr>
        <w:t>Reflux</w:t>
      </w:r>
    </w:p>
    <w:p w14:paraId="6A990D3D" w14:textId="77777777" w:rsidR="00A912C1" w:rsidRDefault="00A912C1" w:rsidP="00620A6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A912C1">
        <w:rPr>
          <w:rFonts w:cstheme="minorBidi"/>
          <w:b w:val="0"/>
          <w:bCs w:val="0"/>
        </w:rPr>
        <w:t xml:space="preserve">Intravenous therapy in children with peptic ulcer disease is indicated </w:t>
      </w: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>only when oral</w:t>
      </w:r>
      <w:r>
        <w:rPr>
          <w:rFonts w:cstheme="minorBidi"/>
          <w:b w:val="0"/>
          <w:bCs w:val="0"/>
          <w:i/>
          <w:iCs/>
        </w:rPr>
        <w:t xml:space="preserve"> </w:t>
      </w:r>
      <w:r w:rsidRPr="00A912C1">
        <w:rPr>
          <w:rFonts w:cstheme="minorBidi"/>
          <w:b w:val="0"/>
          <w:bCs w:val="0"/>
        </w:rPr>
        <w:t>therapy is not possible.</w:t>
      </w:r>
    </w:p>
    <w:p w14:paraId="07BF35F0" w14:textId="77777777" w:rsidR="00A912C1" w:rsidRPr="00A912C1" w:rsidRDefault="00A912C1" w:rsidP="00620A6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  <w:sz w:val="10"/>
          <w:szCs w:val="10"/>
        </w:rPr>
      </w:pPr>
    </w:p>
    <w:p w14:paraId="55956D98" w14:textId="77777777" w:rsidR="00A912C1" w:rsidRDefault="00A912C1" w:rsidP="00A912C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  <w:i/>
          <w:iCs/>
        </w:rPr>
        <w:tab/>
      </w:r>
      <w:r w:rsidRPr="00A912C1">
        <w:rPr>
          <w:rFonts w:cstheme="minorBidi"/>
          <w:b w:val="0"/>
          <w:bCs w:val="0"/>
        </w:rPr>
        <w:t>For acute treatment of peptic ulcer disease and gastro-</w:t>
      </w:r>
      <w:proofErr w:type="spellStart"/>
      <w:r w:rsidRPr="00A912C1">
        <w:rPr>
          <w:rFonts w:cstheme="minorBidi"/>
          <w:b w:val="0"/>
          <w:bCs w:val="0"/>
        </w:rPr>
        <w:t>oesophageal</w:t>
      </w:r>
      <w:proofErr w:type="spellEnd"/>
      <w:r w:rsidRPr="00A912C1">
        <w:rPr>
          <w:rFonts w:cstheme="minorBidi"/>
          <w:b w:val="0"/>
          <w:bCs w:val="0"/>
        </w:rPr>
        <w:t xml:space="preserve"> reflux </w:t>
      </w: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 xml:space="preserve">in </w:t>
      </w:r>
      <w:proofErr w:type="spellStart"/>
      <w:r w:rsidRPr="00A912C1">
        <w:rPr>
          <w:rFonts w:cstheme="minorBidi"/>
          <w:b w:val="0"/>
          <w:bCs w:val="0"/>
        </w:rPr>
        <w:t>paediatric</w:t>
      </w:r>
      <w:proofErr w:type="spellEnd"/>
      <w:r w:rsidRPr="00A912C1">
        <w:rPr>
          <w:rFonts w:cstheme="minorBidi"/>
          <w:b w:val="0"/>
          <w:bCs w:val="0"/>
        </w:rPr>
        <w:t xml:space="preserve"> patients, Ranitidine injection may be administered at doses </w:t>
      </w: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 xml:space="preserve">that have been shown to be effective for these diseases in adults and </w:t>
      </w: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 xml:space="preserve">effective for acid suppression in critically ill children. The initial dose </w:t>
      </w: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 xml:space="preserve">(2.0 mg/kg or 2.5 mg/kg, maximum 50 mg) may be administered as a </w:t>
      </w: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 xml:space="preserve">slow intravenous infusion over 10 minutes, either with a syringe pump </w:t>
      </w: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 xml:space="preserve">followed by a 3 ml flush with normal saline over 5 </w:t>
      </w:r>
      <w:proofErr w:type="gramStart"/>
      <w:r w:rsidRPr="00A912C1">
        <w:rPr>
          <w:rFonts w:cstheme="minorBidi"/>
          <w:b w:val="0"/>
          <w:bCs w:val="0"/>
        </w:rPr>
        <w:t>min, or</w:t>
      </w:r>
      <w:proofErr w:type="gramEnd"/>
      <w:r w:rsidRPr="00A912C1">
        <w:rPr>
          <w:rFonts w:cstheme="minorBidi"/>
          <w:b w:val="0"/>
          <w:bCs w:val="0"/>
        </w:rPr>
        <w:t xml:space="preserve"> following </w:t>
      </w: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 xml:space="preserve">dilution with normal saline to 20 ml. Maintenance of pH &gt; 4.0 can be </w:t>
      </w: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 xml:space="preserve">achieved by intermittent infusion of 1.5 mg/kg every 6 h to 8 h. </w:t>
      </w: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>Alternatively,</w:t>
      </w:r>
      <w:r w:rsidRPr="00A912C1">
        <w:rPr>
          <w:rFonts w:cstheme="minorBidi"/>
          <w:b w:val="0"/>
          <w:bCs w:val="0"/>
        </w:rPr>
        <w:t xml:space="preserve"> treatment can be continuous,</w:t>
      </w:r>
      <w:r>
        <w:rPr>
          <w:rFonts w:cstheme="minorBidi"/>
          <w:b w:val="0"/>
          <w:bCs w:val="0"/>
          <w:i/>
          <w:iCs/>
        </w:rPr>
        <w:t xml:space="preserve"> </w:t>
      </w:r>
      <w:r w:rsidRPr="00A912C1">
        <w:rPr>
          <w:rFonts w:cstheme="minorBidi"/>
          <w:b w:val="0"/>
          <w:bCs w:val="0"/>
        </w:rPr>
        <w:t>administering a loading dose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>of 0.45 mg/kg followed by a continuous infusion of 0.15 mg/kg/hr.</w:t>
      </w:r>
    </w:p>
    <w:p w14:paraId="18759A54" w14:textId="77777777" w:rsidR="00A912C1" w:rsidRPr="00A912C1" w:rsidRDefault="00A912C1" w:rsidP="00A912C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  <w:sz w:val="10"/>
          <w:szCs w:val="10"/>
        </w:rPr>
      </w:pPr>
    </w:p>
    <w:p w14:paraId="6EA2B281" w14:textId="77777777" w:rsidR="00A912C1" w:rsidRDefault="00A912C1" w:rsidP="00A912C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  <w:i/>
          <w:iCs/>
        </w:rPr>
        <w:tab/>
      </w:r>
      <w:r w:rsidRPr="00A912C1">
        <w:rPr>
          <w:rFonts w:cstheme="minorBidi"/>
          <w:b w:val="0"/>
          <w:bCs w:val="0"/>
        </w:rPr>
        <w:t>Neonates (under 1 month)</w:t>
      </w:r>
    </w:p>
    <w:p w14:paraId="59C586BB" w14:textId="28533F44" w:rsidR="00A912C1" w:rsidRDefault="00A912C1" w:rsidP="00A912C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>See</w:t>
      </w:r>
      <w:r>
        <w:rPr>
          <w:rFonts w:cstheme="minorBidi"/>
          <w:b w:val="0"/>
          <w:bCs w:val="0"/>
        </w:rPr>
        <w:t xml:space="preserve"> s</w:t>
      </w:r>
      <w:r w:rsidRPr="00A912C1">
        <w:rPr>
          <w:rFonts w:cstheme="minorBidi"/>
          <w:b w:val="0"/>
          <w:bCs w:val="0"/>
        </w:rPr>
        <w:t>ection 5.2.</w:t>
      </w:r>
    </w:p>
    <w:p w14:paraId="58DD7ABC" w14:textId="77777777" w:rsidR="00A912C1" w:rsidRDefault="00A912C1" w:rsidP="00A912C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  <w:i/>
          <w:iCs/>
        </w:rPr>
        <w:lastRenderedPageBreak/>
        <w:tab/>
      </w:r>
      <w:r w:rsidRPr="00A912C1">
        <w:rPr>
          <w:rFonts w:cstheme="minorBidi"/>
          <w:b w:val="0"/>
          <w:bCs w:val="0"/>
        </w:rPr>
        <w:t>Patients over 50 years of age</w:t>
      </w:r>
    </w:p>
    <w:p w14:paraId="780E61B1" w14:textId="77777777" w:rsidR="00A912C1" w:rsidRDefault="00A912C1" w:rsidP="00A912C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A912C1">
        <w:rPr>
          <w:rFonts w:cstheme="minorBidi"/>
          <w:b w:val="0"/>
          <w:bCs w:val="0"/>
        </w:rPr>
        <w:t>See</w:t>
      </w:r>
      <w:r>
        <w:rPr>
          <w:rFonts w:cstheme="minorBidi"/>
          <w:b w:val="0"/>
          <w:bCs w:val="0"/>
          <w:i/>
          <w:iCs/>
        </w:rPr>
        <w:t xml:space="preserve"> s</w:t>
      </w:r>
      <w:r w:rsidRPr="00A912C1">
        <w:rPr>
          <w:rFonts w:cstheme="minorBidi"/>
          <w:b w:val="0"/>
          <w:bCs w:val="0"/>
        </w:rPr>
        <w:t>ection 5.2.</w:t>
      </w:r>
    </w:p>
    <w:p w14:paraId="12AF26FF" w14:textId="77777777" w:rsidR="00A912C1" w:rsidRPr="00A912C1" w:rsidRDefault="00A912C1" w:rsidP="00A912C1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  <w:sz w:val="10"/>
          <w:szCs w:val="10"/>
        </w:rPr>
      </w:pPr>
    </w:p>
    <w:p w14:paraId="2F104E3C" w14:textId="77777777" w:rsidR="00E2740F" w:rsidRDefault="00A912C1" w:rsidP="00E2740F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  <w:u w:val="single"/>
        </w:rPr>
      </w:pPr>
      <w:r>
        <w:rPr>
          <w:rFonts w:cstheme="minorBidi"/>
          <w:b w:val="0"/>
          <w:bCs w:val="0"/>
        </w:rPr>
        <w:tab/>
      </w:r>
      <w:r w:rsidRPr="00E2740F">
        <w:rPr>
          <w:rFonts w:cstheme="minorBidi"/>
          <w:b w:val="0"/>
          <w:bCs w:val="0"/>
          <w:u w:val="single"/>
        </w:rPr>
        <w:t>Renal Impairment</w:t>
      </w:r>
    </w:p>
    <w:p w14:paraId="67E74B0D" w14:textId="6A629FFA" w:rsidR="00620A60" w:rsidRPr="00E2740F" w:rsidRDefault="00E2740F" w:rsidP="00620A6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i/>
          <w:iCs/>
          <w:u w:val="single"/>
        </w:rPr>
      </w:pPr>
      <w:r w:rsidRPr="00E2740F">
        <w:rPr>
          <w:rFonts w:cstheme="minorBidi"/>
          <w:b w:val="0"/>
          <w:bCs w:val="0"/>
        </w:rPr>
        <w:tab/>
      </w:r>
      <w:r w:rsidR="00A912C1" w:rsidRPr="00A912C1">
        <w:rPr>
          <w:rFonts w:cstheme="minorBidi"/>
          <w:b w:val="0"/>
          <w:bCs w:val="0"/>
        </w:rPr>
        <w:t xml:space="preserve">Accumulation of ranitidine with resulting elevated plasma </w:t>
      </w:r>
      <w:r>
        <w:rPr>
          <w:rFonts w:cstheme="minorBidi"/>
          <w:b w:val="0"/>
          <w:bCs w:val="0"/>
        </w:rPr>
        <w:tab/>
      </w:r>
      <w:r w:rsidR="00A912C1" w:rsidRPr="00A912C1">
        <w:rPr>
          <w:rFonts w:cstheme="minorBidi"/>
          <w:b w:val="0"/>
          <w:bCs w:val="0"/>
        </w:rPr>
        <w:t>concentrations will occur in</w:t>
      </w:r>
      <w:r>
        <w:rPr>
          <w:rFonts w:cstheme="minorBidi"/>
          <w:b w:val="0"/>
          <w:bCs w:val="0"/>
          <w:i/>
          <w:iCs/>
          <w:u w:val="single"/>
        </w:rPr>
        <w:t xml:space="preserve"> </w:t>
      </w:r>
      <w:r w:rsidR="00A912C1" w:rsidRPr="00A912C1">
        <w:rPr>
          <w:rFonts w:cstheme="minorBidi"/>
          <w:b w:val="0"/>
          <w:bCs w:val="0"/>
        </w:rPr>
        <w:t xml:space="preserve">patients with renal impairment (creatinine </w:t>
      </w:r>
      <w:r>
        <w:rPr>
          <w:rFonts w:cstheme="minorBidi"/>
          <w:b w:val="0"/>
          <w:bCs w:val="0"/>
        </w:rPr>
        <w:tab/>
      </w:r>
      <w:r w:rsidR="00A912C1" w:rsidRPr="00A912C1">
        <w:rPr>
          <w:rFonts w:cstheme="minorBidi"/>
          <w:b w:val="0"/>
          <w:bCs w:val="0"/>
        </w:rPr>
        <w:t xml:space="preserve">clearance less than 50ml/min). It </w:t>
      </w:r>
      <w:r w:rsidR="00A912C1" w:rsidRPr="00E2740F">
        <w:rPr>
          <w:rFonts w:cstheme="minorBidi"/>
          <w:b w:val="0"/>
          <w:bCs w:val="0"/>
        </w:rPr>
        <w:t>is</w:t>
      </w:r>
      <w:r w:rsidRPr="00E2740F">
        <w:rPr>
          <w:rFonts w:cstheme="minorBidi"/>
          <w:b w:val="0"/>
          <w:bCs w:val="0"/>
          <w:i/>
          <w:iCs/>
        </w:rPr>
        <w:t xml:space="preserve"> </w:t>
      </w:r>
      <w:r w:rsidR="00A912C1" w:rsidRPr="00E2740F">
        <w:rPr>
          <w:rFonts w:cstheme="minorBidi"/>
          <w:b w:val="0"/>
          <w:bCs w:val="0"/>
        </w:rPr>
        <w:t>r</w:t>
      </w:r>
      <w:r w:rsidR="00A912C1" w:rsidRPr="00A912C1">
        <w:rPr>
          <w:rFonts w:cstheme="minorBidi"/>
          <w:b w:val="0"/>
          <w:bCs w:val="0"/>
        </w:rPr>
        <w:t>ecommended in such patients that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="00A912C1" w:rsidRPr="00A912C1">
        <w:rPr>
          <w:rFonts w:cstheme="minorBidi"/>
          <w:b w:val="0"/>
          <w:bCs w:val="0"/>
        </w:rPr>
        <w:t>ranitidine be administered in doses of 25</w:t>
      </w:r>
      <w:r>
        <w:rPr>
          <w:rFonts w:cstheme="minorBidi"/>
          <w:b w:val="0"/>
          <w:bCs w:val="0"/>
        </w:rPr>
        <w:t xml:space="preserve"> </w:t>
      </w:r>
      <w:r w:rsidR="00A912C1" w:rsidRPr="00A912C1">
        <w:rPr>
          <w:rFonts w:cstheme="minorBidi"/>
          <w:b w:val="0"/>
          <w:bCs w:val="0"/>
        </w:rPr>
        <w:t>mg.</w:t>
      </w:r>
    </w:p>
    <w:p w14:paraId="2F3730CD" w14:textId="77777777" w:rsidR="00620A60" w:rsidRPr="00D022AD" w:rsidRDefault="00620A60" w:rsidP="00620A6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35804B5" w14:textId="77777777" w:rsidR="00620A60" w:rsidRPr="003F0207" w:rsidRDefault="00620A60" w:rsidP="00620A6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  <w:u w:val="single"/>
        </w:rPr>
        <w:t>Method of administration</w:t>
      </w:r>
    </w:p>
    <w:p w14:paraId="335EDA99" w14:textId="77777777" w:rsidR="00E2740F" w:rsidRDefault="00620A60" w:rsidP="00620A6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E2740F" w:rsidRPr="00E2740F">
        <w:rPr>
          <w:rFonts w:cstheme="minorBidi"/>
          <w:b w:val="0"/>
          <w:bCs w:val="0"/>
        </w:rPr>
        <w:t>Intravenous or intramuscular injection</w:t>
      </w:r>
      <w:r w:rsidRPr="003F0207">
        <w:rPr>
          <w:rFonts w:cstheme="minorBidi"/>
          <w:b w:val="0"/>
          <w:bCs w:val="0"/>
        </w:rPr>
        <w:t>.</w:t>
      </w:r>
    </w:p>
    <w:p w14:paraId="42D9F284" w14:textId="77777777" w:rsidR="00E2740F" w:rsidRPr="00E2740F" w:rsidRDefault="00E2740F" w:rsidP="00620A6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F756776" w14:textId="3D684F0C" w:rsidR="00E2740F" w:rsidRPr="00B02EA1" w:rsidRDefault="00E2740F" w:rsidP="00E2740F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2740F">
        <w:rPr>
          <w:rFonts w:cstheme="minorBidi"/>
          <w:b w:val="0"/>
          <w:bCs w:val="0"/>
        </w:rPr>
        <w:t>For instructions on dilution of the medicinal product before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E2740F">
        <w:rPr>
          <w:rFonts w:cstheme="minorBidi"/>
          <w:b w:val="0"/>
          <w:bCs w:val="0"/>
        </w:rPr>
        <w:t>administration, see section 6.6.</w:t>
      </w:r>
    </w:p>
    <w:p w14:paraId="7220AA56" w14:textId="77777777" w:rsidR="00620A60" w:rsidRDefault="00620A60" w:rsidP="00620A60">
      <w:pPr>
        <w:pStyle w:val="SubHeafingSMPC"/>
        <w:ind w:left="57"/>
      </w:pPr>
      <w:r w:rsidRPr="008F5678">
        <w:t>Contraindications</w:t>
      </w:r>
    </w:p>
    <w:p w14:paraId="6A338D64" w14:textId="35FE5FD4" w:rsidR="00620A60" w:rsidRPr="004E6B0A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E2740F" w:rsidRPr="00E2740F">
        <w:rPr>
          <w:b w:val="0"/>
          <w:bCs w:val="0"/>
          <w:lang w:eastAsia="zh-CN"/>
        </w:rPr>
        <w:t xml:space="preserve">Hypersensitivity to the active substance or to any of the excipients listed </w:t>
      </w:r>
      <w:r w:rsidR="00E2740F">
        <w:rPr>
          <w:b w:val="0"/>
          <w:bCs w:val="0"/>
          <w:lang w:eastAsia="zh-CN"/>
        </w:rPr>
        <w:tab/>
      </w:r>
      <w:r w:rsidR="00E2740F" w:rsidRPr="00E2740F">
        <w:rPr>
          <w:b w:val="0"/>
          <w:bCs w:val="0"/>
          <w:lang w:eastAsia="zh-CN"/>
        </w:rPr>
        <w:t>in section 6.1</w:t>
      </w:r>
      <w:r>
        <w:rPr>
          <w:b w:val="0"/>
          <w:bCs w:val="0"/>
          <w:lang w:eastAsia="zh-CN"/>
        </w:rPr>
        <w:t>.</w:t>
      </w:r>
    </w:p>
    <w:p w14:paraId="56C421C0" w14:textId="77777777" w:rsidR="00620A60" w:rsidRDefault="00620A60" w:rsidP="00620A60">
      <w:pPr>
        <w:pStyle w:val="SubHeafingSMPC"/>
        <w:ind w:left="57"/>
      </w:pPr>
      <w:r w:rsidRPr="008F5678">
        <w:t>Special warnings and precautions for use</w:t>
      </w:r>
    </w:p>
    <w:p w14:paraId="3D4F9638" w14:textId="77777777" w:rsidR="00620A60" w:rsidRPr="003F0207" w:rsidRDefault="00620A60" w:rsidP="00620A6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  <w:u w:val="single"/>
        </w:rPr>
        <w:t>Malignancy</w:t>
      </w:r>
    </w:p>
    <w:p w14:paraId="3142C985" w14:textId="36B99E30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E2740F" w:rsidRPr="00E2740F">
        <w:rPr>
          <w:rFonts w:cstheme="minorBidi"/>
          <w:b w:val="0"/>
          <w:bCs w:val="0"/>
        </w:rPr>
        <w:t xml:space="preserve">The possibility of malignancy should be excluded before commencement </w:t>
      </w:r>
      <w:r w:rsidR="00E2740F">
        <w:rPr>
          <w:rFonts w:cstheme="minorBidi"/>
          <w:b w:val="0"/>
          <w:bCs w:val="0"/>
        </w:rPr>
        <w:tab/>
      </w:r>
      <w:r w:rsidR="00E2740F" w:rsidRPr="00E2740F">
        <w:rPr>
          <w:rFonts w:cstheme="minorBidi"/>
          <w:b w:val="0"/>
          <w:bCs w:val="0"/>
        </w:rPr>
        <w:t xml:space="preserve">of therapy in patients with gastric ulcer as treatment with ranitidine may </w:t>
      </w:r>
      <w:r w:rsidR="00E2740F">
        <w:rPr>
          <w:rFonts w:cstheme="minorBidi"/>
          <w:b w:val="0"/>
          <w:bCs w:val="0"/>
        </w:rPr>
        <w:tab/>
      </w:r>
      <w:r w:rsidR="00E2740F" w:rsidRPr="00E2740F">
        <w:rPr>
          <w:rFonts w:cstheme="minorBidi"/>
          <w:b w:val="0"/>
          <w:bCs w:val="0"/>
        </w:rPr>
        <w:t>mask symptoms of gastric carcinoma</w:t>
      </w:r>
      <w:r w:rsidRPr="00091200">
        <w:rPr>
          <w:rFonts w:cstheme="minorBidi"/>
          <w:b w:val="0"/>
          <w:bCs w:val="0"/>
        </w:rPr>
        <w:t>.</w:t>
      </w:r>
    </w:p>
    <w:p w14:paraId="6A39D1B9" w14:textId="77777777" w:rsidR="00620A60" w:rsidRPr="00D022AD" w:rsidRDefault="00620A60" w:rsidP="00620A6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D81FB89" w14:textId="5DAA5D01" w:rsidR="00E2740F" w:rsidRDefault="00620A60" w:rsidP="00E2740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3F0207">
        <w:rPr>
          <w:rFonts w:cstheme="minorBidi"/>
          <w:b w:val="0"/>
          <w:bCs w:val="0"/>
          <w:u w:val="single"/>
        </w:rPr>
        <w:t xml:space="preserve">Renal </w:t>
      </w:r>
      <w:r w:rsidR="00E2740F">
        <w:rPr>
          <w:rFonts w:cstheme="minorBidi"/>
          <w:b w:val="0"/>
          <w:bCs w:val="0"/>
          <w:u w:val="single"/>
        </w:rPr>
        <w:t>d</w:t>
      </w:r>
      <w:r w:rsidRPr="00E2740F">
        <w:rPr>
          <w:rFonts w:cstheme="minorBidi"/>
          <w:b w:val="0"/>
          <w:bCs w:val="0"/>
          <w:u w:val="single"/>
        </w:rPr>
        <w:t>isease</w:t>
      </w:r>
    </w:p>
    <w:p w14:paraId="49BBD23F" w14:textId="77777777" w:rsidR="00E2740F" w:rsidRDefault="00E2740F" w:rsidP="00E2740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2740F">
        <w:rPr>
          <w:rFonts w:cstheme="minorBidi"/>
          <w:b w:val="0"/>
          <w:bCs w:val="0"/>
        </w:rPr>
        <w:t>Ranitidine is excreted via the kidney and so plasma levels of the drug are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E2740F">
        <w:rPr>
          <w:rFonts w:cstheme="minorBidi"/>
          <w:b w:val="0"/>
          <w:bCs w:val="0"/>
        </w:rPr>
        <w:t xml:space="preserve">increased in patients with renal impairment. The dosage should be </w:t>
      </w:r>
      <w:r>
        <w:rPr>
          <w:rFonts w:cstheme="minorBidi"/>
          <w:b w:val="0"/>
          <w:bCs w:val="0"/>
        </w:rPr>
        <w:tab/>
      </w:r>
      <w:r w:rsidRPr="00E2740F">
        <w:rPr>
          <w:rFonts w:cstheme="minorBidi"/>
          <w:b w:val="0"/>
          <w:bCs w:val="0"/>
        </w:rPr>
        <w:t>adjusted as</w:t>
      </w:r>
      <w:r>
        <w:rPr>
          <w:rFonts w:cstheme="minorBidi"/>
          <w:b w:val="0"/>
          <w:bCs w:val="0"/>
        </w:rPr>
        <w:t xml:space="preserve"> </w:t>
      </w:r>
      <w:r w:rsidRPr="00E2740F">
        <w:rPr>
          <w:rFonts w:cstheme="minorBidi"/>
          <w:b w:val="0"/>
          <w:bCs w:val="0"/>
        </w:rPr>
        <w:t>detailed in Section 4.2.</w:t>
      </w:r>
    </w:p>
    <w:p w14:paraId="6A8BBE8F" w14:textId="77777777" w:rsidR="00E2740F" w:rsidRPr="00E2740F" w:rsidRDefault="00E2740F" w:rsidP="00E2740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  <w:r>
        <w:rPr>
          <w:rFonts w:cstheme="minorBidi"/>
          <w:b w:val="0"/>
          <w:bCs w:val="0"/>
        </w:rPr>
        <w:tab/>
      </w:r>
    </w:p>
    <w:p w14:paraId="53168A54" w14:textId="77777777" w:rsidR="00E2740F" w:rsidRDefault="00E2740F" w:rsidP="00E2740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2740F">
        <w:rPr>
          <w:rFonts w:cstheme="minorBidi"/>
          <w:b w:val="0"/>
          <w:bCs w:val="0"/>
        </w:rPr>
        <w:t xml:space="preserve">Bradycardia in association with rapid administration of ranitidine </w:t>
      </w:r>
      <w:r>
        <w:rPr>
          <w:rFonts w:cstheme="minorBidi"/>
          <w:b w:val="0"/>
          <w:bCs w:val="0"/>
        </w:rPr>
        <w:tab/>
      </w:r>
      <w:r w:rsidRPr="00E2740F">
        <w:rPr>
          <w:rFonts w:cstheme="minorBidi"/>
          <w:b w:val="0"/>
          <w:bCs w:val="0"/>
        </w:rPr>
        <w:t>injection has</w:t>
      </w:r>
      <w:r>
        <w:rPr>
          <w:rFonts w:cstheme="minorBidi"/>
          <w:b w:val="0"/>
          <w:bCs w:val="0"/>
        </w:rPr>
        <w:t xml:space="preserve"> </w:t>
      </w:r>
      <w:r w:rsidRPr="00E2740F">
        <w:rPr>
          <w:rFonts w:cstheme="minorBidi"/>
          <w:b w:val="0"/>
          <w:bCs w:val="0"/>
        </w:rPr>
        <w:t xml:space="preserve">been reported rarely, usually in patients with factors </w:t>
      </w:r>
      <w:r>
        <w:rPr>
          <w:rFonts w:cstheme="minorBidi"/>
          <w:b w:val="0"/>
          <w:bCs w:val="0"/>
        </w:rPr>
        <w:lastRenderedPageBreak/>
        <w:tab/>
      </w:r>
      <w:r w:rsidRPr="00E2740F">
        <w:rPr>
          <w:rFonts w:cstheme="minorBidi"/>
          <w:b w:val="0"/>
          <w:bCs w:val="0"/>
        </w:rPr>
        <w:t>predisposing to cardiac rhythm</w:t>
      </w:r>
      <w:r>
        <w:rPr>
          <w:rFonts w:cstheme="minorBidi"/>
          <w:b w:val="0"/>
          <w:bCs w:val="0"/>
        </w:rPr>
        <w:t xml:space="preserve"> </w:t>
      </w:r>
      <w:r w:rsidRPr="00E2740F">
        <w:rPr>
          <w:rFonts w:cstheme="minorBidi"/>
          <w:b w:val="0"/>
          <w:bCs w:val="0"/>
        </w:rPr>
        <w:t>disturbances. Recommended rates of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E2740F">
        <w:rPr>
          <w:rFonts w:cstheme="minorBidi"/>
          <w:b w:val="0"/>
          <w:bCs w:val="0"/>
        </w:rPr>
        <w:t>administration should not be exceeded.</w:t>
      </w:r>
    </w:p>
    <w:p w14:paraId="45053586" w14:textId="77777777" w:rsidR="00E2740F" w:rsidRPr="00E2740F" w:rsidRDefault="00E2740F" w:rsidP="00E2740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  <w:r>
        <w:rPr>
          <w:rFonts w:cstheme="minorBidi"/>
          <w:b w:val="0"/>
          <w:bCs w:val="0"/>
        </w:rPr>
        <w:tab/>
      </w:r>
    </w:p>
    <w:p w14:paraId="79382CC5" w14:textId="77777777" w:rsidR="00E2740F" w:rsidRDefault="00E2740F" w:rsidP="00E2740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2740F">
        <w:rPr>
          <w:b w:val="0"/>
          <w:bCs w:val="0"/>
        </w:rPr>
        <w:t>It has been reported that the use of higher than recommended doses of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E2740F">
        <w:rPr>
          <w:b w:val="0"/>
          <w:bCs w:val="0"/>
        </w:rPr>
        <w:t>intravenous H</w:t>
      </w:r>
      <w:r w:rsidRPr="00E2740F">
        <w:rPr>
          <w:b w:val="0"/>
          <w:bCs w:val="0"/>
          <w:vertAlign w:val="subscript"/>
        </w:rPr>
        <w:t>2</w:t>
      </w:r>
      <w:r w:rsidRPr="00E2740F">
        <w:rPr>
          <w:b w:val="0"/>
          <w:bCs w:val="0"/>
        </w:rPr>
        <w:t>-antagonists has been associated with rises in liver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E2740F">
        <w:rPr>
          <w:b w:val="0"/>
          <w:bCs w:val="0"/>
        </w:rPr>
        <w:t>enzymes when</w:t>
      </w:r>
      <w:r>
        <w:rPr>
          <w:rFonts w:cstheme="minorBidi"/>
          <w:b w:val="0"/>
          <w:bCs w:val="0"/>
        </w:rPr>
        <w:t xml:space="preserve"> </w:t>
      </w:r>
      <w:r w:rsidRPr="00E2740F">
        <w:rPr>
          <w:b w:val="0"/>
          <w:bCs w:val="0"/>
        </w:rPr>
        <w:t>treatment has been extended beyond five days.</w:t>
      </w:r>
    </w:p>
    <w:p w14:paraId="4410A761" w14:textId="77777777" w:rsidR="00E2740F" w:rsidRPr="00E2740F" w:rsidRDefault="00E2740F" w:rsidP="00E2740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0C52BD5" w14:textId="77777777" w:rsidR="00E2740F" w:rsidRDefault="00E2740F" w:rsidP="00620A6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2740F">
        <w:rPr>
          <w:b w:val="0"/>
          <w:bCs w:val="0"/>
        </w:rPr>
        <w:t xml:space="preserve">Rare clinical reports suggest that ranitidine may precipitate acute </w:t>
      </w:r>
      <w:r>
        <w:rPr>
          <w:b w:val="0"/>
          <w:bCs w:val="0"/>
        </w:rPr>
        <w:tab/>
      </w:r>
      <w:proofErr w:type="spellStart"/>
      <w:r w:rsidRPr="00E2740F">
        <w:rPr>
          <w:b w:val="0"/>
          <w:bCs w:val="0"/>
        </w:rPr>
        <w:t>porphyric</w:t>
      </w:r>
      <w:proofErr w:type="spellEnd"/>
      <w:r>
        <w:rPr>
          <w:rFonts w:cstheme="minorBidi"/>
          <w:b w:val="0"/>
          <w:bCs w:val="0"/>
        </w:rPr>
        <w:t xml:space="preserve"> </w:t>
      </w:r>
      <w:r w:rsidRPr="00E2740F">
        <w:rPr>
          <w:b w:val="0"/>
          <w:bCs w:val="0"/>
        </w:rPr>
        <w:t xml:space="preserve">attacks. Ranitidine should therefore be avoided in patients with </w:t>
      </w:r>
      <w:r>
        <w:rPr>
          <w:b w:val="0"/>
          <w:bCs w:val="0"/>
        </w:rPr>
        <w:tab/>
      </w:r>
      <w:r w:rsidRPr="00E2740F">
        <w:rPr>
          <w:b w:val="0"/>
          <w:bCs w:val="0"/>
        </w:rPr>
        <w:t>a history of acute</w:t>
      </w:r>
      <w:r>
        <w:rPr>
          <w:rFonts w:cstheme="minorBidi"/>
          <w:b w:val="0"/>
          <w:bCs w:val="0"/>
        </w:rPr>
        <w:t xml:space="preserve"> </w:t>
      </w:r>
      <w:r w:rsidRPr="00E2740F">
        <w:rPr>
          <w:b w:val="0"/>
          <w:bCs w:val="0"/>
        </w:rPr>
        <w:t>porphyria.</w:t>
      </w:r>
    </w:p>
    <w:p w14:paraId="2EA6F65C" w14:textId="77777777" w:rsidR="00E2740F" w:rsidRPr="00E2740F" w:rsidRDefault="00E2740F" w:rsidP="00620A6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47297BC" w14:textId="77777777" w:rsidR="00E2740F" w:rsidRDefault="00E2740F" w:rsidP="00620A6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2740F">
        <w:rPr>
          <w:b w:val="0"/>
          <w:bCs w:val="0"/>
        </w:rPr>
        <w:t xml:space="preserve">In patients such as the elderly, persons with chronic lung disease, </w:t>
      </w:r>
      <w:r>
        <w:rPr>
          <w:b w:val="0"/>
          <w:bCs w:val="0"/>
        </w:rPr>
        <w:tab/>
      </w:r>
      <w:r w:rsidRPr="00E2740F">
        <w:rPr>
          <w:b w:val="0"/>
          <w:bCs w:val="0"/>
        </w:rPr>
        <w:t xml:space="preserve">diabetes or the immunocompromised, there may be an increased risk of </w:t>
      </w:r>
      <w:r>
        <w:rPr>
          <w:b w:val="0"/>
          <w:bCs w:val="0"/>
        </w:rPr>
        <w:tab/>
      </w:r>
      <w:r w:rsidRPr="00E2740F">
        <w:rPr>
          <w:b w:val="0"/>
          <w:bCs w:val="0"/>
        </w:rPr>
        <w:t xml:space="preserve">developing community acquired pneumonia. A large epidemiological </w:t>
      </w:r>
      <w:r>
        <w:rPr>
          <w:b w:val="0"/>
          <w:bCs w:val="0"/>
        </w:rPr>
        <w:tab/>
      </w:r>
      <w:r w:rsidRPr="00E2740F">
        <w:rPr>
          <w:b w:val="0"/>
          <w:bCs w:val="0"/>
        </w:rPr>
        <w:t xml:space="preserve">study showed an increased risk of developing community acquired </w:t>
      </w:r>
      <w:r>
        <w:rPr>
          <w:b w:val="0"/>
          <w:bCs w:val="0"/>
        </w:rPr>
        <w:tab/>
      </w:r>
      <w:r w:rsidRPr="00E2740F">
        <w:rPr>
          <w:b w:val="0"/>
          <w:bCs w:val="0"/>
        </w:rPr>
        <w:t xml:space="preserve">pneumonia in current users of ranitidine alone versus those who had </w:t>
      </w:r>
      <w:r>
        <w:rPr>
          <w:b w:val="0"/>
          <w:bCs w:val="0"/>
        </w:rPr>
        <w:tab/>
      </w:r>
      <w:r w:rsidRPr="00E2740F">
        <w:rPr>
          <w:b w:val="0"/>
          <w:bCs w:val="0"/>
        </w:rPr>
        <w:t xml:space="preserve">stopped treatment, with an observed adjusted relative risk increase of </w:t>
      </w:r>
      <w:r>
        <w:rPr>
          <w:b w:val="0"/>
          <w:bCs w:val="0"/>
        </w:rPr>
        <w:tab/>
      </w:r>
      <w:r w:rsidRPr="00E2740F">
        <w:rPr>
          <w:b w:val="0"/>
          <w:bCs w:val="0"/>
        </w:rPr>
        <w:t>1.82 (95% CI, 1.26</w:t>
      </w:r>
      <w:r>
        <w:rPr>
          <w:b w:val="0"/>
          <w:bCs w:val="0"/>
        </w:rPr>
        <w:t>-</w:t>
      </w:r>
      <w:r w:rsidRPr="00E2740F">
        <w:rPr>
          <w:b w:val="0"/>
          <w:bCs w:val="0"/>
        </w:rPr>
        <w:t>2.64).</w:t>
      </w:r>
    </w:p>
    <w:p w14:paraId="33BD6733" w14:textId="77777777" w:rsidR="00E2740F" w:rsidRPr="00E2740F" w:rsidRDefault="00E2740F" w:rsidP="00620A6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5A1F1FF5" w14:textId="6266B4BA" w:rsidR="00E2740F" w:rsidRPr="00E2740F" w:rsidRDefault="00E2740F" w:rsidP="00620A6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E2740F">
        <w:rPr>
          <w:b w:val="0"/>
          <w:bCs w:val="0"/>
        </w:rPr>
        <w:t xml:space="preserve">Post marketing data indicate reversible mental confusion, depression, </w:t>
      </w:r>
      <w:r>
        <w:rPr>
          <w:b w:val="0"/>
          <w:bCs w:val="0"/>
        </w:rPr>
        <w:tab/>
      </w:r>
      <w:r w:rsidRPr="00E2740F">
        <w:rPr>
          <w:b w:val="0"/>
          <w:bCs w:val="0"/>
        </w:rPr>
        <w:t xml:space="preserve">and hallucinations have been reported most frequently in severely ill and </w:t>
      </w:r>
      <w:r>
        <w:rPr>
          <w:b w:val="0"/>
          <w:bCs w:val="0"/>
        </w:rPr>
        <w:tab/>
      </w:r>
      <w:r w:rsidRPr="00E2740F">
        <w:rPr>
          <w:b w:val="0"/>
          <w:bCs w:val="0"/>
        </w:rPr>
        <w:t>elderly patients. (See Section 4.8).</w:t>
      </w:r>
    </w:p>
    <w:p w14:paraId="36748183" w14:textId="77777777" w:rsidR="00620A60" w:rsidRPr="002C2ECF" w:rsidRDefault="00620A60" w:rsidP="00620A60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196E58D5" w14:textId="3BFEAA4D" w:rsidR="00620A60" w:rsidRPr="00D022AD" w:rsidRDefault="00620A60" w:rsidP="00E2740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  <w:r w:rsidR="00E2740F" w:rsidRPr="00E2740F">
        <w:rPr>
          <w:b w:val="0"/>
          <w:bCs w:val="0"/>
        </w:rPr>
        <w:t xml:space="preserve">Ranitidine has the potential to affect the absorption, metabolism or renal </w:t>
      </w:r>
      <w:r w:rsidR="00E2740F">
        <w:rPr>
          <w:b w:val="0"/>
          <w:bCs w:val="0"/>
        </w:rPr>
        <w:tab/>
      </w:r>
      <w:r w:rsidR="00E2740F" w:rsidRPr="00E2740F">
        <w:rPr>
          <w:b w:val="0"/>
          <w:bCs w:val="0"/>
        </w:rPr>
        <w:t xml:space="preserve">excretion of other drugs. The altered pharmacokinetics may necessitate </w:t>
      </w:r>
      <w:r w:rsidR="00E2740F">
        <w:rPr>
          <w:b w:val="0"/>
          <w:bCs w:val="0"/>
        </w:rPr>
        <w:tab/>
      </w:r>
      <w:r w:rsidR="00E2740F" w:rsidRPr="00E2740F">
        <w:rPr>
          <w:b w:val="0"/>
          <w:bCs w:val="0"/>
        </w:rPr>
        <w:t>dosage adjustment of the affected drug or discontinuation of treatment.</w:t>
      </w:r>
    </w:p>
    <w:p w14:paraId="3952B042" w14:textId="77777777" w:rsidR="00620A60" w:rsidRDefault="00620A60" w:rsidP="00620A60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920494">
        <w:rPr>
          <w:b w:val="0"/>
          <w:bCs w:val="0"/>
          <w:i/>
          <w:iCs/>
        </w:rPr>
        <w:t>Inhibition of cytochrome P450-linked mixed function oxygenase system:</w:t>
      </w:r>
      <w:r w:rsidRPr="00FF6022">
        <w:rPr>
          <w:b w:val="0"/>
          <w:bCs w:val="0"/>
        </w:rPr>
        <w:t xml:space="preserve"> Ranitidine at usual therapeutic doses does not potentiate the</w:t>
      </w:r>
      <w:r>
        <w:rPr>
          <w:b w:val="0"/>
          <w:bCs w:val="0"/>
        </w:rPr>
        <w:t xml:space="preserve"> </w:t>
      </w:r>
      <w:r w:rsidRPr="00FF6022">
        <w:rPr>
          <w:b w:val="0"/>
          <w:bCs w:val="0"/>
        </w:rPr>
        <w:t>actions of drugs which are inactivated by this enzyme system</w:t>
      </w:r>
      <w:r>
        <w:rPr>
          <w:b w:val="0"/>
          <w:bCs w:val="0"/>
        </w:rPr>
        <w:t xml:space="preserve"> </w:t>
      </w:r>
      <w:r w:rsidRPr="00FF6022">
        <w:rPr>
          <w:b w:val="0"/>
          <w:bCs w:val="0"/>
        </w:rPr>
        <w:lastRenderedPageBreak/>
        <w:t>such</w:t>
      </w:r>
      <w:r>
        <w:rPr>
          <w:b w:val="0"/>
          <w:bCs w:val="0"/>
        </w:rPr>
        <w:t xml:space="preserve"> </w:t>
      </w:r>
      <w:r w:rsidRPr="00FF6022">
        <w:rPr>
          <w:b w:val="0"/>
          <w:bCs w:val="0"/>
        </w:rPr>
        <w:t>as diazepam, lidocaine, phenytoin, propranolol and theophylline.</w:t>
      </w:r>
    </w:p>
    <w:p w14:paraId="34409564" w14:textId="77777777" w:rsidR="00620A60" w:rsidRDefault="00620A60" w:rsidP="00620A60">
      <w:pPr>
        <w:pStyle w:val="SubHeafingSMPC"/>
        <w:numPr>
          <w:ilvl w:val="0"/>
          <w:numId w:val="0"/>
        </w:numPr>
        <w:ind w:left="1440"/>
        <w:jc w:val="thaiDistribute"/>
        <w:rPr>
          <w:b w:val="0"/>
          <w:bCs w:val="0"/>
        </w:rPr>
      </w:pPr>
      <w:r w:rsidRPr="00D022AD">
        <w:rPr>
          <w:b w:val="0"/>
          <w:bCs w:val="0"/>
        </w:rPr>
        <w:t>There have been reports of altered prothrombin time with coumarin</w:t>
      </w:r>
      <w:r>
        <w:rPr>
          <w:b w:val="0"/>
          <w:bCs w:val="0"/>
        </w:rPr>
        <w:t xml:space="preserve"> </w:t>
      </w:r>
      <w:r w:rsidRPr="00D022AD">
        <w:rPr>
          <w:b w:val="0"/>
          <w:bCs w:val="0"/>
        </w:rPr>
        <w:t>anticoagulants (e.g. warfarin). Due to the narrow therapeutic index, close monitoring of increased or decreased prothrombin time is recommended during concurrent treatment with ranitidine.</w:t>
      </w:r>
    </w:p>
    <w:p w14:paraId="2CAFE6C2" w14:textId="77777777" w:rsidR="00620A60" w:rsidRDefault="00620A60" w:rsidP="00620A60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920494">
        <w:rPr>
          <w:b w:val="0"/>
          <w:bCs w:val="0"/>
          <w:i/>
          <w:iCs/>
        </w:rPr>
        <w:t>Competition for renal tubular secretion:</w:t>
      </w:r>
      <w:r w:rsidRPr="00FF6022">
        <w:rPr>
          <w:b w:val="0"/>
          <w:bCs w:val="0"/>
        </w:rPr>
        <w:t xml:space="preserve"> Since ranitidine is partially eliminated by the cationic system,</w:t>
      </w:r>
      <w:r>
        <w:rPr>
          <w:b w:val="0"/>
          <w:bCs w:val="0"/>
        </w:rPr>
        <w:t xml:space="preserve"> </w:t>
      </w:r>
      <w:r w:rsidRPr="00FF6022">
        <w:rPr>
          <w:b w:val="0"/>
          <w:bCs w:val="0"/>
        </w:rPr>
        <w:t>it may affect the clearance of other drugs eliminated by this route. High doses of ranitidine (e.g. such as those used in the treatment of Zollinger-Ellison syndrome) may reduce the excretion of procainamide and N</w:t>
      </w:r>
      <w:r>
        <w:rPr>
          <w:b w:val="0"/>
          <w:bCs w:val="0"/>
        </w:rPr>
        <w:t>-</w:t>
      </w:r>
      <w:proofErr w:type="spellStart"/>
      <w:r w:rsidRPr="00FF6022">
        <w:rPr>
          <w:b w:val="0"/>
          <w:bCs w:val="0"/>
        </w:rPr>
        <w:t>acetylprocainamide</w:t>
      </w:r>
      <w:proofErr w:type="spellEnd"/>
      <w:r w:rsidRPr="00FF6022">
        <w:rPr>
          <w:b w:val="0"/>
          <w:bCs w:val="0"/>
        </w:rPr>
        <w:t xml:space="preserve"> resulting in increased plasma level of these drugs.</w:t>
      </w:r>
    </w:p>
    <w:p w14:paraId="51EA6928" w14:textId="77777777" w:rsidR="00E2740F" w:rsidRDefault="00620A60" w:rsidP="00E2740F">
      <w:pPr>
        <w:pStyle w:val="SubHeafingSMPC"/>
        <w:numPr>
          <w:ilvl w:val="0"/>
          <w:numId w:val="4"/>
        </w:numPr>
        <w:jc w:val="thaiDistribute"/>
        <w:rPr>
          <w:b w:val="0"/>
          <w:bCs w:val="0"/>
        </w:rPr>
      </w:pPr>
      <w:r w:rsidRPr="00920494">
        <w:rPr>
          <w:b w:val="0"/>
          <w:bCs w:val="0"/>
          <w:i/>
          <w:iCs/>
        </w:rPr>
        <w:t>Alteration of gastric pH:</w:t>
      </w:r>
      <w:r w:rsidRPr="00D022AD">
        <w:rPr>
          <w:b w:val="0"/>
          <w:bCs w:val="0"/>
        </w:rPr>
        <w:t xml:space="preserve"> The bioavailability of certain drugs may be affected. This can result in either an increase in absorption (e.g.</w:t>
      </w:r>
      <w:r>
        <w:rPr>
          <w:b w:val="0"/>
          <w:bCs w:val="0"/>
        </w:rPr>
        <w:t xml:space="preserve"> </w:t>
      </w:r>
      <w:r w:rsidRPr="00D022AD">
        <w:rPr>
          <w:b w:val="0"/>
          <w:bCs w:val="0"/>
        </w:rPr>
        <w:t>triazolam, midazolam, glipizide) or a decrease in absorption (e.g.</w:t>
      </w:r>
      <w:r>
        <w:rPr>
          <w:b w:val="0"/>
          <w:bCs w:val="0"/>
        </w:rPr>
        <w:t xml:space="preserve"> </w:t>
      </w:r>
      <w:r w:rsidRPr="00D022AD">
        <w:rPr>
          <w:b w:val="0"/>
          <w:bCs w:val="0"/>
        </w:rPr>
        <w:t>ketoconazole, atazanavir, delavirdine, gefitinib).</w:t>
      </w:r>
    </w:p>
    <w:p w14:paraId="4DBB126D" w14:textId="77777777" w:rsidR="00E2740F" w:rsidRPr="00E2740F" w:rsidRDefault="00E2740F" w:rsidP="00E2740F">
      <w:pPr>
        <w:pStyle w:val="SubHeafingSMPC"/>
        <w:numPr>
          <w:ilvl w:val="0"/>
          <w:numId w:val="4"/>
        </w:numPr>
        <w:jc w:val="thaiDistribute"/>
        <w:rPr>
          <w:b w:val="0"/>
          <w:bCs w:val="0"/>
          <w:i/>
          <w:iCs/>
        </w:rPr>
      </w:pPr>
      <w:r w:rsidRPr="00E2740F">
        <w:rPr>
          <w:b w:val="0"/>
          <w:bCs w:val="0"/>
          <w:i/>
          <w:iCs/>
        </w:rPr>
        <w:t>Erlotinib and medicinal products altering pH:</w:t>
      </w:r>
    </w:p>
    <w:p w14:paraId="13FB7C52" w14:textId="7A2BA047" w:rsidR="00E2740F" w:rsidRPr="00E2740F" w:rsidRDefault="00E2740F" w:rsidP="00E2740F">
      <w:pPr>
        <w:pStyle w:val="SubHeafingSMPC"/>
        <w:numPr>
          <w:ilvl w:val="0"/>
          <w:numId w:val="0"/>
        </w:numPr>
        <w:ind w:left="1440"/>
        <w:jc w:val="thaiDistribute"/>
        <w:rPr>
          <w:b w:val="0"/>
          <w:bCs w:val="0"/>
        </w:rPr>
      </w:pPr>
      <w:r w:rsidRPr="00E2740F">
        <w:rPr>
          <w:b w:val="0"/>
          <w:bCs w:val="0"/>
        </w:rPr>
        <w:t>Concomitant administration of 300</w:t>
      </w:r>
      <w:r>
        <w:rPr>
          <w:b w:val="0"/>
          <w:bCs w:val="0"/>
        </w:rPr>
        <w:t xml:space="preserve"> </w:t>
      </w:r>
      <w:r w:rsidRPr="00E2740F">
        <w:rPr>
          <w:b w:val="0"/>
          <w:bCs w:val="0"/>
        </w:rPr>
        <w:t>mg ranitidine and erlotinib decreased</w:t>
      </w:r>
      <w:r>
        <w:rPr>
          <w:b w:val="0"/>
          <w:bCs w:val="0"/>
        </w:rPr>
        <w:t xml:space="preserve"> </w:t>
      </w:r>
      <w:r w:rsidRPr="00E2740F">
        <w:rPr>
          <w:b w:val="0"/>
          <w:bCs w:val="0"/>
        </w:rPr>
        <w:t>erlotinib exposure [AUC] and maximum concentrations [</w:t>
      </w:r>
      <w:proofErr w:type="spellStart"/>
      <w:r w:rsidRPr="00E2740F">
        <w:rPr>
          <w:b w:val="0"/>
          <w:bCs w:val="0"/>
        </w:rPr>
        <w:t>C</w:t>
      </w:r>
      <w:r w:rsidRPr="00E2740F">
        <w:rPr>
          <w:b w:val="0"/>
          <w:bCs w:val="0"/>
          <w:vertAlign w:val="subscript"/>
        </w:rPr>
        <w:t>max</w:t>
      </w:r>
      <w:proofErr w:type="spellEnd"/>
      <w:r w:rsidRPr="00E2740F">
        <w:rPr>
          <w:b w:val="0"/>
          <w:bCs w:val="0"/>
        </w:rPr>
        <w:t>] by 33% and 54%,</w:t>
      </w:r>
      <w:r>
        <w:rPr>
          <w:b w:val="0"/>
          <w:bCs w:val="0"/>
        </w:rPr>
        <w:t xml:space="preserve"> </w:t>
      </w:r>
      <w:r w:rsidRPr="00E2740F">
        <w:rPr>
          <w:b w:val="0"/>
          <w:bCs w:val="0"/>
        </w:rPr>
        <w:t>respectively. However, when erlotinib was dosed in a staggered manner 2 hours before</w:t>
      </w:r>
      <w:r>
        <w:rPr>
          <w:b w:val="0"/>
          <w:bCs w:val="0"/>
        </w:rPr>
        <w:t xml:space="preserve"> </w:t>
      </w:r>
      <w:r w:rsidRPr="00E2740F">
        <w:rPr>
          <w:b w:val="0"/>
          <w:bCs w:val="0"/>
        </w:rPr>
        <w:t>or 10 hours after ranitidine 150</w:t>
      </w:r>
      <w:r>
        <w:rPr>
          <w:b w:val="0"/>
          <w:bCs w:val="0"/>
        </w:rPr>
        <w:t xml:space="preserve"> </w:t>
      </w:r>
      <w:r w:rsidRPr="00E2740F">
        <w:rPr>
          <w:b w:val="0"/>
          <w:bCs w:val="0"/>
        </w:rPr>
        <w:t>mg b.i.d., erlotinib exposure [AUC] and maximum</w:t>
      </w:r>
    </w:p>
    <w:p w14:paraId="4D1449C3" w14:textId="77777777" w:rsidR="00E2740F" w:rsidRDefault="00E2740F" w:rsidP="00E2740F">
      <w:pPr>
        <w:pStyle w:val="SubHeafingSMPC"/>
        <w:numPr>
          <w:ilvl w:val="0"/>
          <w:numId w:val="0"/>
        </w:numPr>
        <w:ind w:left="1440"/>
        <w:rPr>
          <w:b w:val="0"/>
          <w:bCs w:val="0"/>
        </w:rPr>
      </w:pPr>
      <w:r w:rsidRPr="00E2740F">
        <w:rPr>
          <w:b w:val="0"/>
          <w:bCs w:val="0"/>
        </w:rPr>
        <w:t>concentrations</w:t>
      </w:r>
      <w:r>
        <w:rPr>
          <w:b w:val="0"/>
          <w:bCs w:val="0"/>
        </w:rPr>
        <w:t xml:space="preserve"> </w:t>
      </w:r>
      <w:r w:rsidRPr="00E2740F">
        <w:rPr>
          <w:b w:val="0"/>
          <w:bCs w:val="0"/>
        </w:rPr>
        <w:t>[</w:t>
      </w:r>
      <w:proofErr w:type="spellStart"/>
      <w:r w:rsidRPr="00E2740F">
        <w:rPr>
          <w:b w:val="0"/>
          <w:bCs w:val="0"/>
        </w:rPr>
        <w:t>C</w:t>
      </w:r>
      <w:r w:rsidRPr="00E2740F">
        <w:rPr>
          <w:b w:val="0"/>
          <w:bCs w:val="0"/>
          <w:vertAlign w:val="subscript"/>
        </w:rPr>
        <w:t>max</w:t>
      </w:r>
      <w:proofErr w:type="spellEnd"/>
      <w:r w:rsidRPr="00E2740F">
        <w:rPr>
          <w:b w:val="0"/>
          <w:bCs w:val="0"/>
        </w:rPr>
        <w:t>]</w:t>
      </w:r>
      <w:r>
        <w:rPr>
          <w:b w:val="0"/>
          <w:bCs w:val="0"/>
        </w:rPr>
        <w:t xml:space="preserve"> </w:t>
      </w:r>
      <w:r w:rsidRPr="00E2740F">
        <w:rPr>
          <w:b w:val="0"/>
          <w:bCs w:val="0"/>
        </w:rPr>
        <w:t>decreased only by 15% and</w:t>
      </w:r>
      <w:r>
        <w:rPr>
          <w:b w:val="0"/>
          <w:bCs w:val="0"/>
        </w:rPr>
        <w:t xml:space="preserve"> </w:t>
      </w:r>
      <w:r w:rsidRPr="00E2740F">
        <w:rPr>
          <w:b w:val="0"/>
          <w:bCs w:val="0"/>
        </w:rPr>
        <w:t>17%,</w:t>
      </w:r>
      <w:r>
        <w:rPr>
          <w:b w:val="0"/>
          <w:bCs w:val="0"/>
        </w:rPr>
        <w:t xml:space="preserve"> </w:t>
      </w:r>
    </w:p>
    <w:p w14:paraId="3FBCE7BC" w14:textId="0ECC4233" w:rsidR="00620A60" w:rsidRPr="006722FC" w:rsidRDefault="00E2740F" w:rsidP="00E2740F">
      <w:pPr>
        <w:pStyle w:val="SubHeafingSMPC"/>
        <w:numPr>
          <w:ilvl w:val="0"/>
          <w:numId w:val="0"/>
        </w:numPr>
        <w:ind w:left="1440"/>
        <w:jc w:val="thaiDistribute"/>
        <w:rPr>
          <w:b w:val="0"/>
          <w:bCs w:val="0"/>
        </w:rPr>
      </w:pPr>
      <w:r w:rsidRPr="00E2740F">
        <w:rPr>
          <w:b w:val="0"/>
          <w:bCs w:val="0"/>
        </w:rPr>
        <w:t>respectively</w:t>
      </w:r>
      <w:r w:rsidR="00620A60" w:rsidRPr="00FF6022">
        <w:rPr>
          <w:b w:val="0"/>
          <w:bCs w:val="0"/>
        </w:rPr>
        <w:t>.</w:t>
      </w:r>
    </w:p>
    <w:p w14:paraId="4D12F315" w14:textId="77777777" w:rsidR="00620A60" w:rsidRDefault="00620A60" w:rsidP="00620A60">
      <w:pPr>
        <w:pStyle w:val="SubHeafingSMPC"/>
        <w:ind w:left="57"/>
      </w:pPr>
      <w:r w:rsidRPr="008F5678">
        <w:t>Fertility, pregnancy and lactation</w:t>
      </w:r>
    </w:p>
    <w:p w14:paraId="6B045A06" w14:textId="77777777" w:rsidR="00620A60" w:rsidRPr="00091200" w:rsidRDefault="00620A60" w:rsidP="00620A60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Pregnancy</w:t>
      </w:r>
    </w:p>
    <w:p w14:paraId="20FE7984" w14:textId="77777777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FA37F4">
        <w:rPr>
          <w:b w:val="0"/>
          <w:bCs w:val="0"/>
        </w:rPr>
        <w:t>Ranitidine crosses the placenta, but therapeutic doses administered to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FA37F4">
        <w:rPr>
          <w:b w:val="0"/>
          <w:bCs w:val="0"/>
        </w:rPr>
        <w:t xml:space="preserve">obstetric patients in </w:t>
      </w:r>
      <w:proofErr w:type="spellStart"/>
      <w:r w:rsidRPr="00FA37F4">
        <w:rPr>
          <w:b w:val="0"/>
          <w:bCs w:val="0"/>
        </w:rPr>
        <w:t>labour</w:t>
      </w:r>
      <w:proofErr w:type="spellEnd"/>
      <w:r w:rsidRPr="00FA37F4">
        <w:rPr>
          <w:b w:val="0"/>
          <w:bCs w:val="0"/>
        </w:rPr>
        <w:t xml:space="preserve"> or undergoing caesarean section have been </w:t>
      </w:r>
      <w:r>
        <w:rPr>
          <w:b w:val="0"/>
          <w:bCs w:val="0"/>
        </w:rPr>
        <w:tab/>
      </w:r>
      <w:r w:rsidRPr="00FA37F4">
        <w:rPr>
          <w:b w:val="0"/>
          <w:bCs w:val="0"/>
        </w:rPr>
        <w:t xml:space="preserve">without any adverse effect on </w:t>
      </w:r>
      <w:proofErr w:type="spellStart"/>
      <w:r w:rsidRPr="00FA37F4">
        <w:rPr>
          <w:b w:val="0"/>
          <w:bCs w:val="0"/>
        </w:rPr>
        <w:t>labour</w:t>
      </w:r>
      <w:proofErr w:type="spellEnd"/>
      <w:r w:rsidRPr="00FA37F4">
        <w:rPr>
          <w:b w:val="0"/>
          <w:bCs w:val="0"/>
        </w:rPr>
        <w:t xml:space="preserve">, delivery or subsequent neonatal </w:t>
      </w:r>
      <w:r>
        <w:rPr>
          <w:b w:val="0"/>
          <w:bCs w:val="0"/>
        </w:rPr>
        <w:tab/>
      </w:r>
      <w:r w:rsidRPr="00FA37F4">
        <w:rPr>
          <w:b w:val="0"/>
          <w:bCs w:val="0"/>
        </w:rPr>
        <w:t xml:space="preserve">progress. Like other drugs, ranitidine should only be used during </w:t>
      </w:r>
      <w:r>
        <w:rPr>
          <w:b w:val="0"/>
          <w:bCs w:val="0"/>
        </w:rPr>
        <w:tab/>
      </w:r>
      <w:r w:rsidRPr="00FA37F4">
        <w:rPr>
          <w:b w:val="0"/>
          <w:bCs w:val="0"/>
        </w:rPr>
        <w:t>pregnancy if considered essential.</w:t>
      </w:r>
    </w:p>
    <w:p w14:paraId="5D886EA1" w14:textId="77777777" w:rsidR="00620A60" w:rsidRPr="00091200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60900BC" w14:textId="77777777" w:rsidR="00620A60" w:rsidRPr="00091200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Breast-feeding</w:t>
      </w:r>
    </w:p>
    <w:p w14:paraId="326E1BDE" w14:textId="77777777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A37F4">
        <w:rPr>
          <w:b w:val="0"/>
          <w:bCs w:val="0"/>
        </w:rPr>
        <w:t>Ranitidine is excreted in human breast milk. Like other drugs, ranitidine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FA37F4">
        <w:rPr>
          <w:b w:val="0"/>
          <w:bCs w:val="0"/>
        </w:rPr>
        <w:t>should only be used during breast-feeding if considered essential</w:t>
      </w:r>
      <w:r w:rsidRPr="00091200">
        <w:rPr>
          <w:b w:val="0"/>
          <w:bCs w:val="0"/>
        </w:rPr>
        <w:t>.</w:t>
      </w:r>
    </w:p>
    <w:p w14:paraId="452FD8E2" w14:textId="77777777" w:rsidR="00620A60" w:rsidRPr="006909F7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7A029A5" w14:textId="77777777" w:rsidR="00620A60" w:rsidRPr="005648D0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 w:rsidRPr="006909F7">
        <w:rPr>
          <w:b w:val="0"/>
          <w:bCs w:val="0"/>
        </w:rPr>
        <w:tab/>
      </w:r>
      <w:r w:rsidRPr="005648D0">
        <w:rPr>
          <w:b w:val="0"/>
          <w:bCs w:val="0"/>
          <w:u w:val="single"/>
        </w:rPr>
        <w:t>Fertility</w:t>
      </w:r>
    </w:p>
    <w:p w14:paraId="366A8D16" w14:textId="77777777" w:rsidR="00620A60" w:rsidRPr="009126B5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FA37F4">
        <w:rPr>
          <w:b w:val="0"/>
          <w:bCs w:val="0"/>
        </w:rPr>
        <w:t>There are no data on the effects of ranitidine on human fertility. There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FA37F4">
        <w:rPr>
          <w:b w:val="0"/>
          <w:bCs w:val="0"/>
        </w:rPr>
        <w:t xml:space="preserve">were no effects on male and female fertility in animal studies (see section </w:t>
      </w:r>
      <w:r>
        <w:rPr>
          <w:b w:val="0"/>
          <w:bCs w:val="0"/>
        </w:rPr>
        <w:tab/>
      </w:r>
      <w:r w:rsidRPr="00FA37F4">
        <w:rPr>
          <w:b w:val="0"/>
          <w:bCs w:val="0"/>
        </w:rPr>
        <w:t>5.3)</w:t>
      </w:r>
      <w:r w:rsidRPr="00091200">
        <w:rPr>
          <w:b w:val="0"/>
          <w:bCs w:val="0"/>
        </w:rPr>
        <w:t>.</w:t>
      </w:r>
    </w:p>
    <w:p w14:paraId="30B35F48" w14:textId="77777777" w:rsidR="00620A60" w:rsidRPr="009126B5" w:rsidRDefault="00620A60" w:rsidP="00620A60">
      <w:pPr>
        <w:pStyle w:val="SubHeafingSMPC"/>
        <w:ind w:left="57"/>
      </w:pPr>
      <w:r w:rsidRPr="008F5678">
        <w:t>Effects on ability to drive and use machines</w:t>
      </w:r>
    </w:p>
    <w:p w14:paraId="6C5B2246" w14:textId="390D2939" w:rsidR="00620A60" w:rsidRPr="002D59FE" w:rsidRDefault="00620A60" w:rsidP="00620A60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091200">
        <w:rPr>
          <w:b w:val="0"/>
          <w:bCs w:val="0"/>
          <w:lang w:eastAsia="zh-CN"/>
        </w:rPr>
        <w:t xml:space="preserve">None </w:t>
      </w:r>
      <w:r w:rsidR="00E2740F">
        <w:rPr>
          <w:b w:val="0"/>
          <w:bCs w:val="0"/>
          <w:lang w:eastAsia="zh-CN"/>
        </w:rPr>
        <w:t>known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7F3EBE74" w14:textId="77777777" w:rsidR="00620A60" w:rsidRDefault="00620A60" w:rsidP="00620A60">
      <w:pPr>
        <w:pStyle w:val="SubHeafingSMPC"/>
        <w:ind w:left="57"/>
      </w:pPr>
      <w:r w:rsidRPr="008F5678">
        <w:t>Undesirable effects</w:t>
      </w:r>
    </w:p>
    <w:p w14:paraId="251D5F0E" w14:textId="77777777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  <w:r>
        <w:tab/>
      </w:r>
      <w:r w:rsidRPr="00FA37F4">
        <w:rPr>
          <w:b w:val="0"/>
          <w:bCs w:val="0"/>
        </w:rPr>
        <w:t xml:space="preserve">The following convention has been </w:t>
      </w:r>
      <w:proofErr w:type="spellStart"/>
      <w:r w:rsidRPr="00FA37F4">
        <w:rPr>
          <w:b w:val="0"/>
          <w:bCs w:val="0"/>
        </w:rPr>
        <w:t>utilised</w:t>
      </w:r>
      <w:proofErr w:type="spellEnd"/>
      <w:r w:rsidRPr="00FA37F4">
        <w:rPr>
          <w:b w:val="0"/>
          <w:bCs w:val="0"/>
        </w:rPr>
        <w:t xml:space="preserve"> for the classification of </w:t>
      </w:r>
      <w:r>
        <w:rPr>
          <w:b w:val="0"/>
          <w:bCs w:val="0"/>
        </w:rPr>
        <w:tab/>
      </w:r>
      <w:r w:rsidRPr="00FA37F4">
        <w:rPr>
          <w:b w:val="0"/>
          <w:bCs w:val="0"/>
        </w:rPr>
        <w:t xml:space="preserve">undesirable effects: very common (≥1/10), common (≥1/100, &lt;1/10), </w:t>
      </w:r>
      <w:r>
        <w:rPr>
          <w:b w:val="0"/>
          <w:bCs w:val="0"/>
        </w:rPr>
        <w:tab/>
      </w:r>
      <w:r w:rsidRPr="00FA37F4">
        <w:rPr>
          <w:b w:val="0"/>
          <w:bCs w:val="0"/>
        </w:rPr>
        <w:t xml:space="preserve">uncommon (≥1/1000, ≤1/100), rare (≥1/10,000, ≤1/1000), very rare </w:t>
      </w:r>
      <w:r>
        <w:rPr>
          <w:b w:val="0"/>
          <w:bCs w:val="0"/>
        </w:rPr>
        <w:tab/>
      </w:r>
      <w:r w:rsidRPr="00FA37F4">
        <w:rPr>
          <w:b w:val="0"/>
          <w:bCs w:val="0"/>
        </w:rPr>
        <w:t xml:space="preserve">(≤1/10,000). Adverse event frequencies have been estimated from </w:t>
      </w:r>
      <w:r>
        <w:rPr>
          <w:b w:val="0"/>
          <w:bCs w:val="0"/>
        </w:rPr>
        <w:tab/>
      </w:r>
      <w:r w:rsidRPr="00FA37F4">
        <w:rPr>
          <w:b w:val="0"/>
          <w:bCs w:val="0"/>
        </w:rPr>
        <w:t>spontaneous reports from post-marketing data.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8087"/>
      </w:tblGrid>
      <w:tr w:rsidR="00620A60" w:rsidRPr="006909F7" w14:paraId="177D1AD4" w14:textId="77777777" w:rsidTr="00003BE0">
        <w:tc>
          <w:tcPr>
            <w:tcW w:w="8087" w:type="dxa"/>
          </w:tcPr>
          <w:p w14:paraId="72D459C0" w14:textId="77777777" w:rsidR="00620A60" w:rsidRPr="006909F7" w:rsidRDefault="00620A60" w:rsidP="00003BE0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Blood &amp; Lymphatic System Disorders</w:t>
            </w:r>
          </w:p>
          <w:p w14:paraId="57840765" w14:textId="77777777" w:rsidR="00620A60" w:rsidRPr="006909F7" w:rsidRDefault="00620A60" w:rsidP="00620A60">
            <w:pPr>
              <w:pStyle w:val="SubHeafingSMPC"/>
              <w:numPr>
                <w:ilvl w:val="0"/>
                <w:numId w:val="5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Blood count changes (leucopenia, thrombocytopenia). These are usually reversible. Agranulocytosis or pancytopenia, sometimes with marrow hypoplasia or marrow aplasia.</w:t>
            </w:r>
          </w:p>
          <w:p w14:paraId="7F1C9636" w14:textId="77777777" w:rsidR="00620A60" w:rsidRPr="006909F7" w:rsidRDefault="00620A60" w:rsidP="00003BE0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Immune System Disorders</w:t>
            </w:r>
          </w:p>
          <w:p w14:paraId="06BBA4BC" w14:textId="77777777" w:rsidR="00620A60" w:rsidRPr="006909F7" w:rsidRDefault="00620A60" w:rsidP="00620A60">
            <w:pPr>
              <w:pStyle w:val="SubHeafingSMPC"/>
              <w:numPr>
                <w:ilvl w:val="0"/>
                <w:numId w:val="5"/>
              </w:numPr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Rare: Hypersensitivity reactions (urticaria, angioneurotic oedema, fever, bronchospasm, hypotension and chest pain).</w:t>
            </w:r>
          </w:p>
          <w:p w14:paraId="67AB715F" w14:textId="77777777" w:rsidR="00620A60" w:rsidRPr="006909F7" w:rsidRDefault="00620A60" w:rsidP="00620A60">
            <w:pPr>
              <w:pStyle w:val="SubHeafingSMPC"/>
              <w:numPr>
                <w:ilvl w:val="0"/>
                <w:numId w:val="5"/>
              </w:numPr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lastRenderedPageBreak/>
              <w:t>Very Rare: Anaphylactic shock.</w:t>
            </w:r>
          </w:p>
          <w:p w14:paraId="372948BE" w14:textId="77777777" w:rsidR="00620A60" w:rsidRPr="006909F7" w:rsidRDefault="00620A60" w:rsidP="00620A60">
            <w:pPr>
              <w:pStyle w:val="SubHeafingSMPC"/>
              <w:numPr>
                <w:ilvl w:val="0"/>
                <w:numId w:val="5"/>
              </w:numPr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 xml:space="preserve">Not known: </w:t>
            </w:r>
            <w:proofErr w:type="spellStart"/>
            <w:r w:rsidRPr="006909F7">
              <w:rPr>
                <w:b w:val="0"/>
                <w:bCs w:val="0"/>
                <w:sz w:val="27"/>
                <w:szCs w:val="27"/>
              </w:rPr>
              <w:t>Dyspnoea</w:t>
            </w:r>
            <w:proofErr w:type="spellEnd"/>
            <w:r w:rsidRPr="006909F7">
              <w:rPr>
                <w:b w:val="0"/>
                <w:bCs w:val="0"/>
                <w:sz w:val="27"/>
                <w:szCs w:val="27"/>
              </w:rPr>
              <w:t>.</w:t>
            </w:r>
          </w:p>
          <w:p w14:paraId="45D864D5" w14:textId="77777777" w:rsidR="00620A60" w:rsidRPr="006909F7" w:rsidRDefault="00620A60" w:rsidP="00003BE0">
            <w:pPr>
              <w:pStyle w:val="SubHeafingSMPC"/>
              <w:numPr>
                <w:ilvl w:val="0"/>
                <w:numId w:val="0"/>
              </w:numPr>
              <w:ind w:left="720"/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These events have been reported after a single dose.</w:t>
            </w:r>
          </w:p>
          <w:p w14:paraId="19A127FB" w14:textId="77777777" w:rsidR="00620A60" w:rsidRPr="006909F7" w:rsidRDefault="00620A60" w:rsidP="00003BE0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Psychiatric Disorders</w:t>
            </w:r>
          </w:p>
          <w:p w14:paraId="5687918A" w14:textId="77777777" w:rsidR="00620A60" w:rsidRDefault="00620A60" w:rsidP="00620A60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Reversible mental confusion, depression and hallucinations.</w:t>
            </w:r>
          </w:p>
          <w:p w14:paraId="29E72E4E" w14:textId="77777777" w:rsidR="00620A60" w:rsidRPr="006909F7" w:rsidRDefault="00620A60" w:rsidP="00003BE0">
            <w:pPr>
              <w:pStyle w:val="SubHeafingSMPC"/>
              <w:numPr>
                <w:ilvl w:val="0"/>
                <w:numId w:val="0"/>
              </w:numPr>
              <w:ind w:left="720"/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 xml:space="preserve">These have been reported predominantly in severely ill patients, in elderly and in </w:t>
            </w:r>
            <w:proofErr w:type="spellStart"/>
            <w:r w:rsidRPr="006909F7">
              <w:rPr>
                <w:b w:val="0"/>
                <w:bCs w:val="0"/>
                <w:sz w:val="27"/>
                <w:szCs w:val="27"/>
              </w:rPr>
              <w:t>nephropatic</w:t>
            </w:r>
            <w:proofErr w:type="spellEnd"/>
            <w:r w:rsidRPr="006909F7">
              <w:rPr>
                <w:b w:val="0"/>
                <w:bCs w:val="0"/>
                <w:sz w:val="27"/>
                <w:szCs w:val="27"/>
              </w:rPr>
              <w:t xml:space="preserve"> patients.</w:t>
            </w:r>
          </w:p>
          <w:p w14:paraId="24E831A4" w14:textId="77777777" w:rsidR="00620A60" w:rsidRPr="006909F7" w:rsidRDefault="00620A60" w:rsidP="00003BE0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Nervous System Disorders</w:t>
            </w:r>
          </w:p>
          <w:p w14:paraId="7AC5291B" w14:textId="77777777" w:rsidR="00620A60" w:rsidRPr="006909F7" w:rsidRDefault="00620A60" w:rsidP="00620A60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Headache (sometimes severe), dizziness. and</w:t>
            </w:r>
            <w:r>
              <w:rPr>
                <w:b w:val="0"/>
                <w:bCs w:val="0"/>
                <w:sz w:val="27"/>
                <w:szCs w:val="27"/>
              </w:rPr>
              <w:t xml:space="preserve"> </w:t>
            </w:r>
            <w:r w:rsidRPr="006909F7">
              <w:rPr>
                <w:b w:val="0"/>
                <w:bCs w:val="0"/>
                <w:sz w:val="27"/>
                <w:szCs w:val="27"/>
              </w:rPr>
              <w:t>reversible involuntary movement disorders.</w:t>
            </w:r>
          </w:p>
          <w:p w14:paraId="78C6EA6A" w14:textId="77777777" w:rsidR="00620A60" w:rsidRDefault="00620A60" w:rsidP="00003BE0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Eye Disorders</w:t>
            </w:r>
          </w:p>
          <w:p w14:paraId="021BDD39" w14:textId="77777777" w:rsidR="00620A60" w:rsidRDefault="00620A60" w:rsidP="00620A60">
            <w:pPr>
              <w:pStyle w:val="SubHeafingSMPC"/>
              <w:numPr>
                <w:ilvl w:val="0"/>
                <w:numId w:val="6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Reversible blurred vision.</w:t>
            </w:r>
          </w:p>
          <w:p w14:paraId="020278CD" w14:textId="77777777" w:rsidR="00620A60" w:rsidRPr="006909F7" w:rsidRDefault="00620A60" w:rsidP="00003BE0">
            <w:pPr>
              <w:pStyle w:val="SubHeafingSMPC"/>
              <w:numPr>
                <w:ilvl w:val="0"/>
                <w:numId w:val="0"/>
              </w:numPr>
              <w:ind w:left="720"/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There have been reports of blurred vision, which is suggestive of a change in accommodation.</w:t>
            </w:r>
          </w:p>
          <w:p w14:paraId="33E10094" w14:textId="77777777" w:rsidR="00620A60" w:rsidRPr="006909F7" w:rsidRDefault="00620A60" w:rsidP="00003BE0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Cardiac Disorders</w:t>
            </w:r>
          </w:p>
          <w:p w14:paraId="59E00FC4" w14:textId="2674E760" w:rsidR="00620A60" w:rsidRPr="006909F7" w:rsidRDefault="00620A60" w:rsidP="00620A60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As with other H</w:t>
            </w:r>
            <w:r w:rsidRPr="006909F7">
              <w:rPr>
                <w:b w:val="0"/>
                <w:bCs w:val="0"/>
                <w:sz w:val="27"/>
                <w:szCs w:val="27"/>
                <w:vertAlign w:val="subscript"/>
              </w:rPr>
              <w:t>2</w:t>
            </w:r>
            <w:r w:rsidRPr="006909F7">
              <w:rPr>
                <w:b w:val="0"/>
                <w:bCs w:val="0"/>
                <w:sz w:val="27"/>
                <w:szCs w:val="27"/>
              </w:rPr>
              <w:t xml:space="preserve"> receptor </w:t>
            </w:r>
            <w:proofErr w:type="gramStart"/>
            <w:r w:rsidRPr="006909F7">
              <w:rPr>
                <w:b w:val="0"/>
                <w:bCs w:val="0"/>
                <w:sz w:val="27"/>
                <w:szCs w:val="27"/>
              </w:rPr>
              <w:t>antagonists</w:t>
            </w:r>
            <w:proofErr w:type="gramEnd"/>
            <w:r w:rsidRPr="006909F7">
              <w:rPr>
                <w:b w:val="0"/>
                <w:bCs w:val="0"/>
                <w:sz w:val="27"/>
                <w:szCs w:val="27"/>
              </w:rPr>
              <w:t xml:space="preserve"> bradycardia, A-V block</w:t>
            </w:r>
            <w:r w:rsidR="0034353A">
              <w:rPr>
                <w:b w:val="0"/>
                <w:bCs w:val="0"/>
                <w:sz w:val="27"/>
                <w:szCs w:val="27"/>
              </w:rPr>
              <w:t xml:space="preserve">, </w:t>
            </w:r>
            <w:r w:rsidRPr="006909F7">
              <w:rPr>
                <w:b w:val="0"/>
                <w:bCs w:val="0"/>
                <w:sz w:val="27"/>
                <w:szCs w:val="27"/>
              </w:rPr>
              <w:t>tachycardia</w:t>
            </w:r>
            <w:r w:rsidR="0034353A">
              <w:rPr>
                <w:b w:val="0"/>
                <w:bCs w:val="0"/>
                <w:sz w:val="27"/>
                <w:szCs w:val="27"/>
              </w:rPr>
              <w:t xml:space="preserve"> </w:t>
            </w:r>
            <w:r w:rsidR="0034353A" w:rsidRPr="0034353A">
              <w:rPr>
                <w:b w:val="0"/>
                <w:bCs w:val="0"/>
                <w:sz w:val="27"/>
                <w:szCs w:val="27"/>
              </w:rPr>
              <w:t>and asystole</w:t>
            </w:r>
            <w:r w:rsidR="0034353A">
              <w:rPr>
                <w:b w:val="0"/>
                <w:bCs w:val="0"/>
                <w:sz w:val="27"/>
                <w:szCs w:val="27"/>
              </w:rPr>
              <w:t>.</w:t>
            </w:r>
          </w:p>
          <w:p w14:paraId="03C9BAE2" w14:textId="77777777" w:rsidR="00620A60" w:rsidRPr="006909F7" w:rsidRDefault="00620A60" w:rsidP="00003BE0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Vascular Disorders</w:t>
            </w:r>
          </w:p>
          <w:p w14:paraId="6D131A0F" w14:textId="77777777" w:rsidR="00620A60" w:rsidRPr="006909F7" w:rsidRDefault="00620A60" w:rsidP="00620A60">
            <w:pPr>
              <w:pStyle w:val="SubHeafingSMPC"/>
              <w:numPr>
                <w:ilvl w:val="0"/>
                <w:numId w:val="6"/>
              </w:numPr>
              <w:jc w:val="mediumKashida"/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Vasculitis.</w:t>
            </w:r>
          </w:p>
          <w:p w14:paraId="10DBA6DD" w14:textId="77777777" w:rsidR="00620A60" w:rsidRPr="006909F7" w:rsidRDefault="00620A60" w:rsidP="00003BE0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Gastrointestinal Disorders</w:t>
            </w:r>
          </w:p>
          <w:p w14:paraId="559D3809" w14:textId="77777777" w:rsidR="00620A60" w:rsidRDefault="00620A60" w:rsidP="00620A60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Uncommon: Abdominal pain, constipation, nausea (these</w:t>
            </w:r>
            <w:r>
              <w:rPr>
                <w:b w:val="0"/>
                <w:bCs w:val="0"/>
                <w:sz w:val="27"/>
                <w:szCs w:val="27"/>
              </w:rPr>
              <w:t xml:space="preserve"> </w:t>
            </w:r>
            <w:r w:rsidRPr="006909F7">
              <w:rPr>
                <w:b w:val="0"/>
                <w:bCs w:val="0"/>
                <w:sz w:val="27"/>
                <w:szCs w:val="27"/>
              </w:rPr>
              <w:t>symptoms mostly improved during continued treatment).</w:t>
            </w:r>
          </w:p>
          <w:p w14:paraId="0B7BA39D" w14:textId="77777777" w:rsidR="00620A60" w:rsidRPr="006909F7" w:rsidRDefault="00620A60" w:rsidP="00620A60">
            <w:pPr>
              <w:pStyle w:val="SubHeafingSMPC"/>
              <w:numPr>
                <w:ilvl w:val="0"/>
                <w:numId w:val="6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 xml:space="preserve">Very Rare: Acute pancreatitis, </w:t>
            </w:r>
            <w:proofErr w:type="spellStart"/>
            <w:r w:rsidRPr="006909F7">
              <w:rPr>
                <w:b w:val="0"/>
                <w:bCs w:val="0"/>
                <w:sz w:val="27"/>
                <w:szCs w:val="27"/>
              </w:rPr>
              <w:t>diarrhoea</w:t>
            </w:r>
            <w:proofErr w:type="spellEnd"/>
          </w:p>
          <w:p w14:paraId="2140788E" w14:textId="77777777" w:rsidR="00620A60" w:rsidRDefault="00620A60" w:rsidP="00003BE0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Hepatobiliary Disorders</w:t>
            </w:r>
          </w:p>
          <w:p w14:paraId="415DB41B" w14:textId="77777777" w:rsidR="00620A60" w:rsidRDefault="00620A60" w:rsidP="00620A60">
            <w:pPr>
              <w:pStyle w:val="SubHeafingSMPC"/>
              <w:numPr>
                <w:ilvl w:val="0"/>
                <w:numId w:val="7"/>
              </w:numPr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Rare: Transient and reversible changes in liver function tests.</w:t>
            </w:r>
          </w:p>
          <w:p w14:paraId="42D34574" w14:textId="77777777" w:rsidR="00620A60" w:rsidRPr="006909F7" w:rsidRDefault="00620A60" w:rsidP="00620A60">
            <w:pPr>
              <w:pStyle w:val="SubHeafingSMPC"/>
              <w:numPr>
                <w:ilvl w:val="0"/>
                <w:numId w:val="7"/>
              </w:numPr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 xml:space="preserve">Very Rare: Hepatitis (hepatocellular, </w:t>
            </w:r>
            <w:proofErr w:type="spellStart"/>
            <w:r w:rsidRPr="006909F7">
              <w:rPr>
                <w:b w:val="0"/>
                <w:bCs w:val="0"/>
                <w:sz w:val="27"/>
                <w:szCs w:val="27"/>
              </w:rPr>
              <w:t>hepatocanalicular</w:t>
            </w:r>
            <w:proofErr w:type="spellEnd"/>
            <w:r w:rsidRPr="006909F7">
              <w:rPr>
                <w:b w:val="0"/>
                <w:bCs w:val="0"/>
                <w:sz w:val="27"/>
                <w:szCs w:val="27"/>
              </w:rPr>
              <w:t xml:space="preserve"> or mixed) with or without jaundice, these were usually reversible.</w:t>
            </w:r>
          </w:p>
          <w:p w14:paraId="3E1C3E38" w14:textId="77777777" w:rsidR="00620A60" w:rsidRPr="006909F7" w:rsidRDefault="00620A60" w:rsidP="00003BE0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lastRenderedPageBreak/>
              <w:t>Skin and Subcutaneous Tissue Disorders</w:t>
            </w:r>
          </w:p>
          <w:p w14:paraId="5C8BC455" w14:textId="77777777" w:rsidR="00620A60" w:rsidRDefault="00620A60" w:rsidP="00620A60">
            <w:pPr>
              <w:pStyle w:val="SubHeafingSMPC"/>
              <w:numPr>
                <w:ilvl w:val="0"/>
                <w:numId w:val="8"/>
              </w:numPr>
              <w:jc w:val="mediumKashida"/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 xml:space="preserve">Rare: Skin </w:t>
            </w:r>
            <w:r>
              <w:rPr>
                <w:b w:val="0"/>
                <w:bCs w:val="0"/>
                <w:sz w:val="27"/>
                <w:szCs w:val="27"/>
              </w:rPr>
              <w:t>r</w:t>
            </w:r>
            <w:r w:rsidRPr="006909F7">
              <w:rPr>
                <w:b w:val="0"/>
                <w:bCs w:val="0"/>
                <w:sz w:val="27"/>
                <w:szCs w:val="27"/>
              </w:rPr>
              <w:t>ash.</w:t>
            </w:r>
          </w:p>
          <w:p w14:paraId="78F7D07C" w14:textId="77777777" w:rsidR="00620A60" w:rsidRPr="006909F7" w:rsidRDefault="00620A60" w:rsidP="00620A60">
            <w:pPr>
              <w:pStyle w:val="SubHeafingSMPC"/>
              <w:numPr>
                <w:ilvl w:val="0"/>
                <w:numId w:val="8"/>
              </w:numPr>
              <w:jc w:val="mediumKashida"/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Erythema multiforme, alopecia.</w:t>
            </w:r>
          </w:p>
          <w:p w14:paraId="56061C8E" w14:textId="77777777" w:rsidR="00620A60" w:rsidRDefault="00620A60" w:rsidP="00003BE0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Musculoskeletal and Connective Tissue Disorders</w:t>
            </w:r>
          </w:p>
          <w:p w14:paraId="43826900" w14:textId="77777777" w:rsidR="00620A60" w:rsidRPr="006909F7" w:rsidRDefault="00620A60" w:rsidP="00620A60">
            <w:pPr>
              <w:pStyle w:val="SubHeafingSMPC"/>
              <w:numPr>
                <w:ilvl w:val="0"/>
                <w:numId w:val="9"/>
              </w:numPr>
              <w:rPr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Musculoskeletal symptoms such as arthralgia and myalgia.</w:t>
            </w:r>
          </w:p>
          <w:p w14:paraId="7D02F0AD" w14:textId="77777777" w:rsidR="00620A60" w:rsidRPr="006909F7" w:rsidRDefault="00620A60" w:rsidP="00003BE0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Renal and Urinary Disorders</w:t>
            </w:r>
          </w:p>
          <w:p w14:paraId="74D80838" w14:textId="77777777" w:rsidR="00620A60" w:rsidRDefault="00620A60" w:rsidP="00620A60">
            <w:pPr>
              <w:pStyle w:val="SubHeafingSMPC"/>
              <w:numPr>
                <w:ilvl w:val="0"/>
                <w:numId w:val="9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 xml:space="preserve">Rare: Elevation of plasma creatinine (usually slight; </w:t>
            </w:r>
            <w:proofErr w:type="spellStart"/>
            <w:r w:rsidRPr="006909F7">
              <w:rPr>
                <w:b w:val="0"/>
                <w:bCs w:val="0"/>
                <w:sz w:val="27"/>
                <w:szCs w:val="27"/>
              </w:rPr>
              <w:t>normalised</w:t>
            </w:r>
            <w:proofErr w:type="spellEnd"/>
            <w:r w:rsidRPr="006909F7">
              <w:rPr>
                <w:b w:val="0"/>
                <w:bCs w:val="0"/>
                <w:sz w:val="27"/>
                <w:szCs w:val="27"/>
              </w:rPr>
              <w:t xml:space="preserve"> during continued treatment)</w:t>
            </w:r>
          </w:p>
          <w:p w14:paraId="1EC0316D" w14:textId="77777777" w:rsidR="00620A60" w:rsidRPr="006909F7" w:rsidRDefault="00620A60" w:rsidP="00620A60">
            <w:pPr>
              <w:pStyle w:val="SubHeafingSMPC"/>
              <w:numPr>
                <w:ilvl w:val="0"/>
                <w:numId w:val="9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>Very Rare: Acute interstitial nephritis.</w:t>
            </w:r>
          </w:p>
          <w:p w14:paraId="4E34D76C" w14:textId="77777777" w:rsidR="00620A60" w:rsidRPr="006909F7" w:rsidRDefault="00620A60" w:rsidP="00003BE0">
            <w:pPr>
              <w:pStyle w:val="SubHeafingSMPC"/>
              <w:numPr>
                <w:ilvl w:val="0"/>
                <w:numId w:val="0"/>
              </w:numPr>
              <w:jc w:val="mediumKashida"/>
              <w:rPr>
                <w:sz w:val="27"/>
                <w:szCs w:val="27"/>
              </w:rPr>
            </w:pPr>
            <w:r w:rsidRPr="006909F7">
              <w:rPr>
                <w:sz w:val="27"/>
                <w:szCs w:val="27"/>
              </w:rPr>
              <w:t>Reproductive System and Breast Disorders</w:t>
            </w:r>
          </w:p>
          <w:p w14:paraId="5C39263F" w14:textId="77777777" w:rsidR="00620A60" w:rsidRPr="006909F7" w:rsidRDefault="00620A60" w:rsidP="00620A60">
            <w:pPr>
              <w:pStyle w:val="SubHeafingSMPC"/>
              <w:numPr>
                <w:ilvl w:val="0"/>
                <w:numId w:val="10"/>
              </w:numPr>
              <w:rPr>
                <w:b w:val="0"/>
                <w:bCs w:val="0"/>
                <w:sz w:val="27"/>
                <w:szCs w:val="27"/>
              </w:rPr>
            </w:pPr>
            <w:r w:rsidRPr="006909F7">
              <w:rPr>
                <w:b w:val="0"/>
                <w:bCs w:val="0"/>
                <w:sz w:val="27"/>
                <w:szCs w:val="27"/>
              </w:rPr>
              <w:t xml:space="preserve">Very Rare: Reversible impotence, breast symptoms and breast conditions (such as </w:t>
            </w:r>
            <w:proofErr w:type="spellStart"/>
            <w:r w:rsidRPr="006909F7">
              <w:rPr>
                <w:b w:val="0"/>
                <w:bCs w:val="0"/>
                <w:sz w:val="27"/>
                <w:szCs w:val="27"/>
              </w:rPr>
              <w:t>gynaecomastia</w:t>
            </w:r>
            <w:proofErr w:type="spellEnd"/>
            <w:r w:rsidRPr="006909F7">
              <w:rPr>
                <w:b w:val="0"/>
                <w:bCs w:val="0"/>
                <w:sz w:val="27"/>
                <w:szCs w:val="27"/>
              </w:rPr>
              <w:t xml:space="preserve"> and </w:t>
            </w:r>
            <w:proofErr w:type="spellStart"/>
            <w:r w:rsidRPr="006909F7">
              <w:rPr>
                <w:b w:val="0"/>
                <w:bCs w:val="0"/>
                <w:sz w:val="27"/>
                <w:szCs w:val="27"/>
              </w:rPr>
              <w:t>galactorrhoea</w:t>
            </w:r>
            <w:proofErr w:type="spellEnd"/>
            <w:r w:rsidRPr="006909F7">
              <w:rPr>
                <w:b w:val="0"/>
                <w:bCs w:val="0"/>
                <w:sz w:val="27"/>
                <w:szCs w:val="27"/>
              </w:rPr>
              <w:t>).</w:t>
            </w:r>
          </w:p>
        </w:tc>
      </w:tr>
    </w:tbl>
    <w:p w14:paraId="357AE59F" w14:textId="77777777" w:rsidR="00620A60" w:rsidRPr="006909F7" w:rsidRDefault="00620A60" w:rsidP="00620A6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lastRenderedPageBreak/>
        <w:tab/>
      </w:r>
      <w:proofErr w:type="spellStart"/>
      <w:r w:rsidRPr="006909F7">
        <w:rPr>
          <w:rFonts w:cstheme="minorBidi"/>
          <w:b w:val="0"/>
          <w:bCs w:val="0"/>
          <w:u w:val="single"/>
        </w:rPr>
        <w:t>Paediatric</w:t>
      </w:r>
      <w:proofErr w:type="spellEnd"/>
      <w:r w:rsidRPr="006909F7">
        <w:rPr>
          <w:rFonts w:cstheme="minorBidi"/>
          <w:b w:val="0"/>
          <w:bCs w:val="0"/>
          <w:u w:val="single"/>
        </w:rPr>
        <w:t xml:space="preserve"> population</w:t>
      </w:r>
    </w:p>
    <w:p w14:paraId="46C7DDDA" w14:textId="77777777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FA37F4">
        <w:rPr>
          <w:rFonts w:cstheme="minorBidi"/>
          <w:b w:val="0"/>
          <w:bCs w:val="0"/>
        </w:rPr>
        <w:t xml:space="preserve">The safety of ranitidine has been assessed in children ages 0 to 16 years </w:t>
      </w:r>
      <w:r>
        <w:rPr>
          <w:rFonts w:cstheme="minorBidi"/>
          <w:b w:val="0"/>
          <w:bCs w:val="0"/>
        </w:rPr>
        <w:tab/>
      </w:r>
      <w:r w:rsidRPr="00FA37F4">
        <w:rPr>
          <w:rFonts w:cstheme="minorBidi"/>
          <w:b w:val="0"/>
          <w:bCs w:val="0"/>
        </w:rPr>
        <w:t xml:space="preserve">with acid-related disease and was generally well tolerated with an </w:t>
      </w:r>
      <w:r>
        <w:rPr>
          <w:rFonts w:cstheme="minorBidi"/>
          <w:b w:val="0"/>
          <w:bCs w:val="0"/>
        </w:rPr>
        <w:tab/>
      </w:r>
      <w:r w:rsidRPr="00FA37F4">
        <w:rPr>
          <w:rFonts w:cstheme="minorBidi"/>
          <w:b w:val="0"/>
          <w:bCs w:val="0"/>
        </w:rPr>
        <w:t xml:space="preserve">adverse event profile resembling that in adults. There are limited long </w:t>
      </w:r>
      <w:r>
        <w:rPr>
          <w:rFonts w:cstheme="minorBidi"/>
          <w:b w:val="0"/>
          <w:bCs w:val="0"/>
        </w:rPr>
        <w:tab/>
      </w:r>
      <w:r w:rsidRPr="00FA37F4">
        <w:rPr>
          <w:rFonts w:cstheme="minorBidi"/>
          <w:b w:val="0"/>
          <w:bCs w:val="0"/>
        </w:rPr>
        <w:t xml:space="preserve">term data available, </w:t>
      </w:r>
      <w:proofErr w:type="gramStart"/>
      <w:r w:rsidRPr="00FA37F4">
        <w:rPr>
          <w:rFonts w:cstheme="minorBidi"/>
          <w:b w:val="0"/>
          <w:bCs w:val="0"/>
        </w:rPr>
        <w:t>in particular regarding</w:t>
      </w:r>
      <w:proofErr w:type="gramEnd"/>
      <w:r w:rsidRPr="00FA37F4">
        <w:rPr>
          <w:rFonts w:cstheme="minorBidi"/>
          <w:b w:val="0"/>
          <w:bCs w:val="0"/>
        </w:rPr>
        <w:t xml:space="preserve"> growth and development.</w:t>
      </w:r>
    </w:p>
    <w:p w14:paraId="7C96CCE8" w14:textId="77777777" w:rsidR="00620A60" w:rsidRPr="006909F7" w:rsidRDefault="00620A60" w:rsidP="00620A6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03FE2E2" w14:textId="77777777" w:rsidR="00620A60" w:rsidRPr="006909F7" w:rsidRDefault="00620A60" w:rsidP="00620A6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6909F7">
        <w:rPr>
          <w:rFonts w:cstheme="minorBidi"/>
          <w:b w:val="0"/>
          <w:bCs w:val="0"/>
          <w:u w:val="single"/>
        </w:rPr>
        <w:t>Reporting of suspected adverse reactions</w:t>
      </w:r>
    </w:p>
    <w:p w14:paraId="6DEFC2A7" w14:textId="77777777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6909F7">
        <w:rPr>
          <w:rFonts w:cstheme="minorBidi"/>
          <w:b w:val="0"/>
          <w:bCs w:val="0"/>
        </w:rPr>
        <w:t xml:space="preserve">Reporting suspected adverse reactions after </w:t>
      </w:r>
      <w:proofErr w:type="spellStart"/>
      <w:r w:rsidRPr="006909F7">
        <w:rPr>
          <w:rFonts w:cstheme="minorBidi"/>
          <w:b w:val="0"/>
          <w:bCs w:val="0"/>
        </w:rPr>
        <w:t>authorisation</w:t>
      </w:r>
      <w:proofErr w:type="spellEnd"/>
      <w:r w:rsidRPr="006909F7">
        <w:rPr>
          <w:rFonts w:cstheme="minorBidi"/>
          <w:b w:val="0"/>
          <w:bCs w:val="0"/>
        </w:rPr>
        <w:t xml:space="preserve"> of the </w:t>
      </w:r>
      <w:r>
        <w:rPr>
          <w:rFonts w:cstheme="minorBidi"/>
          <w:b w:val="0"/>
          <w:bCs w:val="0"/>
        </w:rPr>
        <w:tab/>
      </w:r>
      <w:r w:rsidRPr="006909F7">
        <w:rPr>
          <w:rFonts w:cstheme="minorBidi"/>
          <w:b w:val="0"/>
          <w:bCs w:val="0"/>
        </w:rPr>
        <w:t xml:space="preserve">medicinal product is important. It allows continued monitoring of the </w:t>
      </w:r>
      <w:r>
        <w:rPr>
          <w:rFonts w:cstheme="minorBidi"/>
          <w:b w:val="0"/>
          <w:bCs w:val="0"/>
        </w:rPr>
        <w:tab/>
      </w:r>
      <w:r w:rsidRPr="006909F7">
        <w:rPr>
          <w:rFonts w:cstheme="minorBidi"/>
          <w:b w:val="0"/>
          <w:bCs w:val="0"/>
        </w:rPr>
        <w:t xml:space="preserve">benefit/risk balance of the medicinal product. Healthcare professionals </w:t>
      </w:r>
      <w:r>
        <w:rPr>
          <w:rFonts w:cstheme="minorBidi"/>
          <w:b w:val="0"/>
          <w:bCs w:val="0"/>
        </w:rPr>
        <w:tab/>
      </w:r>
      <w:r w:rsidRPr="006909F7">
        <w:rPr>
          <w:rFonts w:cstheme="minorBidi"/>
          <w:b w:val="0"/>
          <w:bCs w:val="0"/>
        </w:rPr>
        <w:t xml:space="preserve">are asked to report any suspected adverse reactions via Health Product </w:t>
      </w:r>
      <w:r>
        <w:rPr>
          <w:rFonts w:cstheme="minorBidi"/>
          <w:b w:val="0"/>
          <w:bCs w:val="0"/>
        </w:rPr>
        <w:tab/>
      </w:r>
      <w:r w:rsidRPr="006909F7">
        <w:rPr>
          <w:rFonts w:cstheme="minorBidi"/>
          <w:b w:val="0"/>
          <w:bCs w:val="0"/>
        </w:rPr>
        <w:t>Vigilance Center; HPVC</w:t>
      </w:r>
      <w:r w:rsidRPr="00FA37F4">
        <w:rPr>
          <w:rFonts w:cstheme="minorBidi"/>
          <w:b w:val="0"/>
          <w:bCs w:val="0"/>
        </w:rPr>
        <w:t>.</w:t>
      </w:r>
    </w:p>
    <w:p w14:paraId="220B769B" w14:textId="77777777" w:rsidR="00620A60" w:rsidRPr="00CE651D" w:rsidRDefault="00620A60" w:rsidP="00620A6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</w:p>
    <w:p w14:paraId="2CD1EE8D" w14:textId="77777777" w:rsidR="00620A60" w:rsidRDefault="00620A60" w:rsidP="00620A60">
      <w:pPr>
        <w:pStyle w:val="SubHeafingSMPC"/>
        <w:ind w:left="0" w:firstLine="0"/>
      </w:pPr>
      <w:r w:rsidRPr="008F5678">
        <w:t>Overdose</w:t>
      </w:r>
    </w:p>
    <w:p w14:paraId="0CB973B0" w14:textId="77777777" w:rsidR="00620A60" w:rsidRPr="006909F7" w:rsidRDefault="00620A60" w:rsidP="00620A6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tab/>
      </w:r>
      <w:r w:rsidRPr="006909F7">
        <w:rPr>
          <w:rFonts w:cstheme="minorBidi"/>
          <w:b w:val="0"/>
          <w:bCs w:val="0"/>
          <w:u w:val="single"/>
        </w:rPr>
        <w:t>Symptoms and signs</w:t>
      </w:r>
    </w:p>
    <w:p w14:paraId="4197DFF5" w14:textId="664C8235" w:rsidR="00620A60" w:rsidRPr="00AF0F3B" w:rsidRDefault="00620A60" w:rsidP="00620A60">
      <w:pPr>
        <w:pStyle w:val="SubHeafingSMPC"/>
        <w:numPr>
          <w:ilvl w:val="0"/>
          <w:numId w:val="0"/>
        </w:numPr>
        <w:jc w:val="thaiDistribute"/>
      </w:pPr>
      <w:r>
        <w:rPr>
          <w:rFonts w:cstheme="minorBidi"/>
          <w:b w:val="0"/>
          <w:bCs w:val="0"/>
        </w:rPr>
        <w:lastRenderedPageBreak/>
        <w:tab/>
      </w:r>
      <w:r w:rsidR="0034353A" w:rsidRPr="0034353A">
        <w:rPr>
          <w:rFonts w:cstheme="minorBidi"/>
          <w:b w:val="0"/>
          <w:bCs w:val="0"/>
        </w:rPr>
        <w:t xml:space="preserve">Ranitidine is very specific in action and accordingly, no </w:t>
      </w:r>
      <w:proofErr w:type="gramStart"/>
      <w:r w:rsidR="0034353A" w:rsidRPr="0034353A">
        <w:rPr>
          <w:rFonts w:cstheme="minorBidi"/>
          <w:b w:val="0"/>
          <w:bCs w:val="0"/>
        </w:rPr>
        <w:t>particular</w:t>
      </w:r>
      <w:r w:rsidR="0034353A">
        <w:rPr>
          <w:rFonts w:cstheme="minorBidi"/>
          <w:b w:val="0"/>
          <w:bCs w:val="0"/>
        </w:rPr>
        <w:t xml:space="preserve"> </w:t>
      </w:r>
      <w:r w:rsidR="0034353A">
        <w:rPr>
          <w:rFonts w:cstheme="minorBidi"/>
          <w:b w:val="0"/>
          <w:bCs w:val="0"/>
        </w:rPr>
        <w:tab/>
      </w:r>
      <w:r w:rsidR="0034353A" w:rsidRPr="0034353A">
        <w:rPr>
          <w:rFonts w:cstheme="minorBidi"/>
          <w:b w:val="0"/>
          <w:bCs w:val="0"/>
        </w:rPr>
        <w:t>problems</w:t>
      </w:r>
      <w:proofErr w:type="gramEnd"/>
      <w:r w:rsidR="0034353A" w:rsidRPr="0034353A">
        <w:rPr>
          <w:rFonts w:cstheme="minorBidi"/>
          <w:b w:val="0"/>
          <w:bCs w:val="0"/>
        </w:rPr>
        <w:t xml:space="preserve"> are expected following overdosage with the drug</w:t>
      </w:r>
      <w:r w:rsidRPr="00AF0F3B">
        <w:rPr>
          <w:rFonts w:cstheme="minorBidi"/>
          <w:b w:val="0"/>
          <w:bCs w:val="0"/>
        </w:rPr>
        <w:t>.</w:t>
      </w:r>
    </w:p>
    <w:p w14:paraId="7A779C9B" w14:textId="77777777" w:rsidR="00620A60" w:rsidRPr="000926E3" w:rsidRDefault="00620A60" w:rsidP="00620A60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59BFE802" w14:textId="77777777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926E3">
        <w:rPr>
          <w:rFonts w:cstheme="minorBidi"/>
          <w:b w:val="0"/>
          <w:bCs w:val="0"/>
          <w:u w:val="single"/>
        </w:rPr>
        <w:t>Treatment</w:t>
      </w:r>
    </w:p>
    <w:p w14:paraId="32347EC0" w14:textId="77777777" w:rsidR="00620A60" w:rsidRPr="000800F9" w:rsidRDefault="00620A60" w:rsidP="00620A6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F0F3B">
        <w:rPr>
          <w:rFonts w:cstheme="minorBidi"/>
          <w:b w:val="0"/>
          <w:bCs w:val="0"/>
        </w:rPr>
        <w:t>Symptomatic and supportive therapy should be given as appropriate.</w:t>
      </w:r>
    </w:p>
    <w:p w14:paraId="22EF666A" w14:textId="77777777" w:rsidR="00620A60" w:rsidRPr="008F5678" w:rsidRDefault="00620A60" w:rsidP="00620A60">
      <w:pPr>
        <w:pStyle w:val="HEADING1SMPC"/>
      </w:pPr>
      <w:r w:rsidRPr="008F5678">
        <w:t xml:space="preserve">PHARMACOLOGICAL PROPERTIES </w:t>
      </w:r>
    </w:p>
    <w:p w14:paraId="5538C21B" w14:textId="77777777" w:rsidR="00620A60" w:rsidRDefault="00620A60" w:rsidP="00620A60">
      <w:pPr>
        <w:pStyle w:val="SubHeafingSMPC"/>
        <w:ind w:left="57"/>
      </w:pPr>
      <w:r w:rsidRPr="008F5678">
        <w:t>Pharmacodynamic properties</w:t>
      </w:r>
    </w:p>
    <w:p w14:paraId="7D7B583A" w14:textId="77777777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tab/>
      </w:r>
      <w:r w:rsidRPr="00D466B7">
        <w:rPr>
          <w:b w:val="0"/>
          <w:bCs w:val="0"/>
          <w:i/>
          <w:iCs/>
        </w:rPr>
        <w:t>Pharmacotherapeutic group:</w:t>
      </w:r>
    </w:p>
    <w:p w14:paraId="7FF4A1C7" w14:textId="77777777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  <w:i/>
          <w:iCs/>
        </w:rPr>
        <w:tab/>
      </w:r>
      <w:r w:rsidRPr="00AF0F3B">
        <w:rPr>
          <w:b w:val="0"/>
          <w:bCs w:val="0"/>
        </w:rPr>
        <w:t>H</w:t>
      </w:r>
      <w:r w:rsidRPr="006909F7">
        <w:rPr>
          <w:b w:val="0"/>
          <w:bCs w:val="0"/>
          <w:vertAlign w:val="subscript"/>
        </w:rPr>
        <w:t>2</w:t>
      </w:r>
      <w:r w:rsidRPr="00AF0F3B">
        <w:rPr>
          <w:b w:val="0"/>
          <w:bCs w:val="0"/>
        </w:rPr>
        <w:t>-receptor antagonists</w:t>
      </w:r>
    </w:p>
    <w:p w14:paraId="66EF411B" w14:textId="77777777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AF0F3B">
        <w:rPr>
          <w:b w:val="0"/>
          <w:bCs w:val="0"/>
        </w:rPr>
        <w:t>ATC code: A02BA02</w:t>
      </w:r>
    </w:p>
    <w:p w14:paraId="03A1A5B8" w14:textId="77777777" w:rsidR="00620A60" w:rsidRPr="006909F7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</w:p>
    <w:p w14:paraId="6B5F2F73" w14:textId="77777777" w:rsidR="00620A60" w:rsidRPr="00AF0F3B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  <w:i/>
          <w:iCs/>
        </w:rPr>
        <w:tab/>
      </w:r>
      <w:r w:rsidRPr="00AF0F3B">
        <w:rPr>
          <w:b w:val="0"/>
          <w:bCs w:val="0"/>
          <w:u w:val="single"/>
        </w:rPr>
        <w:t>Mechanism of action</w:t>
      </w:r>
    </w:p>
    <w:p w14:paraId="1816D0CB" w14:textId="77777777" w:rsidR="0034353A" w:rsidRDefault="00620A60" w:rsidP="0034353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34353A" w:rsidRPr="0034353A">
        <w:rPr>
          <w:b w:val="0"/>
          <w:bCs w:val="0"/>
        </w:rPr>
        <w:t>Ranitidine is a specific, rapidly acting histamine H</w:t>
      </w:r>
      <w:r w:rsidR="0034353A" w:rsidRPr="0034353A">
        <w:rPr>
          <w:b w:val="0"/>
          <w:bCs w:val="0"/>
          <w:vertAlign w:val="subscript"/>
        </w:rPr>
        <w:t>2</w:t>
      </w:r>
      <w:r w:rsidR="0034353A" w:rsidRPr="0034353A">
        <w:rPr>
          <w:b w:val="0"/>
          <w:bCs w:val="0"/>
        </w:rPr>
        <w:t>-antagonist. It</w:t>
      </w:r>
      <w:r w:rsidR="0034353A">
        <w:rPr>
          <w:b w:val="0"/>
          <w:bCs w:val="0"/>
        </w:rPr>
        <w:t xml:space="preserve"> </w:t>
      </w:r>
      <w:r w:rsidR="0034353A">
        <w:rPr>
          <w:b w:val="0"/>
          <w:bCs w:val="0"/>
        </w:rPr>
        <w:tab/>
      </w:r>
      <w:r w:rsidR="0034353A" w:rsidRPr="0034353A">
        <w:rPr>
          <w:b w:val="0"/>
          <w:bCs w:val="0"/>
        </w:rPr>
        <w:t xml:space="preserve">inhibits basal and stimulated secretion of gastric acid, reducing both the </w:t>
      </w:r>
      <w:r w:rsidR="0034353A">
        <w:rPr>
          <w:b w:val="0"/>
          <w:bCs w:val="0"/>
        </w:rPr>
        <w:tab/>
      </w:r>
      <w:r w:rsidR="0034353A" w:rsidRPr="0034353A">
        <w:rPr>
          <w:b w:val="0"/>
          <w:bCs w:val="0"/>
        </w:rPr>
        <w:t>volume, and the acid and pepsin content of the secretion</w:t>
      </w:r>
      <w:r w:rsidRPr="00AF0F3B">
        <w:rPr>
          <w:b w:val="0"/>
          <w:bCs w:val="0"/>
        </w:rPr>
        <w:t>.</w:t>
      </w:r>
    </w:p>
    <w:p w14:paraId="53655D46" w14:textId="77777777" w:rsidR="0034353A" w:rsidRPr="0034353A" w:rsidRDefault="0034353A" w:rsidP="0034353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C1A9FAC" w14:textId="77777777" w:rsidR="0034353A" w:rsidRDefault="0034353A" w:rsidP="0034353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proofErr w:type="spellStart"/>
      <w:r w:rsidRPr="0034353A">
        <w:rPr>
          <w:b w:val="0"/>
          <w:bCs w:val="0"/>
          <w:u w:val="single"/>
        </w:rPr>
        <w:t>Paediatric</w:t>
      </w:r>
      <w:proofErr w:type="spellEnd"/>
      <w:r w:rsidRPr="0034353A">
        <w:rPr>
          <w:b w:val="0"/>
          <w:bCs w:val="0"/>
          <w:u w:val="single"/>
        </w:rPr>
        <w:t xml:space="preserve"> population</w:t>
      </w:r>
    </w:p>
    <w:p w14:paraId="187D4A87" w14:textId="3467A530" w:rsidR="0034353A" w:rsidRPr="008D1D64" w:rsidRDefault="0034353A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4353A">
        <w:rPr>
          <w:b w:val="0"/>
          <w:bCs w:val="0"/>
        </w:rPr>
        <w:t xml:space="preserve">The clinical data available mentions the use of ranitidine in children to </w:t>
      </w:r>
      <w:r>
        <w:rPr>
          <w:b w:val="0"/>
          <w:bCs w:val="0"/>
        </w:rPr>
        <w:tab/>
      </w:r>
      <w:r w:rsidRPr="0034353A">
        <w:rPr>
          <w:b w:val="0"/>
          <w:bCs w:val="0"/>
        </w:rPr>
        <w:t>prevent</w:t>
      </w:r>
      <w:r w:rsidRPr="0034353A">
        <w:rPr>
          <w:b w:val="0"/>
          <w:bCs w:val="0"/>
        </w:rPr>
        <w:t xml:space="preserve"> </w:t>
      </w:r>
      <w:r w:rsidRPr="0034353A">
        <w:rPr>
          <w:b w:val="0"/>
          <w:bCs w:val="0"/>
        </w:rPr>
        <w:t>stress ulcers. No direct evidence for prevention of stress ulcers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34353A">
        <w:rPr>
          <w:b w:val="0"/>
          <w:bCs w:val="0"/>
        </w:rPr>
        <w:t>is available. Treatment</w:t>
      </w:r>
      <w:r>
        <w:rPr>
          <w:b w:val="0"/>
          <w:bCs w:val="0"/>
        </w:rPr>
        <w:t xml:space="preserve"> f</w:t>
      </w:r>
      <w:r w:rsidRPr="0034353A">
        <w:rPr>
          <w:b w:val="0"/>
          <w:bCs w:val="0"/>
        </w:rPr>
        <w:t xml:space="preserve">or these patients is based on the observation that </w:t>
      </w:r>
      <w:r>
        <w:rPr>
          <w:b w:val="0"/>
          <w:bCs w:val="0"/>
        </w:rPr>
        <w:tab/>
      </w:r>
      <w:r w:rsidRPr="0034353A">
        <w:rPr>
          <w:b w:val="0"/>
          <w:bCs w:val="0"/>
        </w:rPr>
        <w:t>pH is above 4 after administration of</w:t>
      </w:r>
      <w:r>
        <w:rPr>
          <w:b w:val="0"/>
          <w:bCs w:val="0"/>
        </w:rPr>
        <w:t xml:space="preserve"> </w:t>
      </w:r>
      <w:r w:rsidRPr="0034353A">
        <w:rPr>
          <w:b w:val="0"/>
          <w:bCs w:val="0"/>
        </w:rPr>
        <w:t xml:space="preserve">ranitidine. The value of this </w:t>
      </w:r>
      <w:r>
        <w:rPr>
          <w:b w:val="0"/>
          <w:bCs w:val="0"/>
        </w:rPr>
        <w:tab/>
      </w:r>
      <w:r w:rsidRPr="0034353A">
        <w:rPr>
          <w:b w:val="0"/>
          <w:bCs w:val="0"/>
        </w:rPr>
        <w:t>surrogate parameter in children with stress ulcers remains</w:t>
      </w:r>
      <w:r>
        <w:rPr>
          <w:b w:val="0"/>
          <w:bCs w:val="0"/>
        </w:rPr>
        <w:t xml:space="preserve"> </w:t>
      </w:r>
      <w:r w:rsidRPr="0034353A">
        <w:rPr>
          <w:b w:val="0"/>
          <w:bCs w:val="0"/>
        </w:rPr>
        <w:t xml:space="preserve">to be </w:t>
      </w:r>
      <w:r>
        <w:rPr>
          <w:b w:val="0"/>
          <w:bCs w:val="0"/>
        </w:rPr>
        <w:tab/>
      </w:r>
      <w:r w:rsidRPr="0034353A">
        <w:rPr>
          <w:b w:val="0"/>
          <w:bCs w:val="0"/>
        </w:rPr>
        <w:t>established.</w:t>
      </w:r>
    </w:p>
    <w:p w14:paraId="14BB17D1" w14:textId="77777777" w:rsidR="00620A60" w:rsidRDefault="00620A60" w:rsidP="00620A60">
      <w:pPr>
        <w:pStyle w:val="SubHeafingSMPC"/>
        <w:ind w:left="57"/>
      </w:pPr>
      <w:r w:rsidRPr="008F5678">
        <w:t>Pharmacokinetic properties</w:t>
      </w:r>
    </w:p>
    <w:p w14:paraId="688D5AC8" w14:textId="77777777" w:rsidR="00620A60" w:rsidRPr="006909F7" w:rsidRDefault="00620A60" w:rsidP="00620A60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tab/>
      </w:r>
      <w:r w:rsidRPr="006909F7">
        <w:rPr>
          <w:b w:val="0"/>
          <w:bCs w:val="0"/>
          <w:u w:val="single"/>
        </w:rPr>
        <w:t>Absorption</w:t>
      </w:r>
    </w:p>
    <w:p w14:paraId="11E08ACB" w14:textId="60821A4A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34353A" w:rsidRPr="0034353A">
        <w:rPr>
          <w:b w:val="0"/>
          <w:bCs w:val="0"/>
        </w:rPr>
        <w:t xml:space="preserve">Absorption of ranitidine after intramuscular injection is rapid and peak </w:t>
      </w:r>
      <w:r w:rsidR="0034353A">
        <w:rPr>
          <w:b w:val="0"/>
          <w:bCs w:val="0"/>
        </w:rPr>
        <w:tab/>
      </w:r>
      <w:r w:rsidR="0034353A" w:rsidRPr="0034353A">
        <w:rPr>
          <w:b w:val="0"/>
          <w:bCs w:val="0"/>
        </w:rPr>
        <w:t>plasma</w:t>
      </w:r>
      <w:r w:rsidR="0034353A">
        <w:rPr>
          <w:b w:val="0"/>
          <w:bCs w:val="0"/>
        </w:rPr>
        <w:t xml:space="preserve"> </w:t>
      </w:r>
      <w:r w:rsidR="0034353A" w:rsidRPr="0034353A">
        <w:rPr>
          <w:b w:val="0"/>
          <w:bCs w:val="0"/>
        </w:rPr>
        <w:t xml:space="preserve">concentrations are usually achieved within 15 minutes of </w:t>
      </w:r>
      <w:r w:rsidR="0034353A">
        <w:rPr>
          <w:b w:val="0"/>
          <w:bCs w:val="0"/>
        </w:rPr>
        <w:tab/>
      </w:r>
      <w:r w:rsidR="0034353A" w:rsidRPr="0034353A">
        <w:rPr>
          <w:b w:val="0"/>
          <w:bCs w:val="0"/>
        </w:rPr>
        <w:t>administration.</w:t>
      </w:r>
    </w:p>
    <w:p w14:paraId="6E3942F1" w14:textId="77777777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</w:p>
    <w:p w14:paraId="25CA1668" w14:textId="77777777" w:rsidR="00620A60" w:rsidRPr="006909F7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lastRenderedPageBreak/>
        <w:tab/>
      </w:r>
      <w:r w:rsidRPr="006909F7">
        <w:rPr>
          <w:b w:val="0"/>
          <w:bCs w:val="0"/>
          <w:u w:val="single"/>
        </w:rPr>
        <w:t>Distribution</w:t>
      </w:r>
    </w:p>
    <w:p w14:paraId="54CA5B30" w14:textId="3A32009D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Ranitidine is not extensively bound to plasma proteins (15%), but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>exhibits a large volume of distribution ranging from 96 to 142 L</w:t>
      </w:r>
      <w:r w:rsidR="0034353A">
        <w:rPr>
          <w:b w:val="0"/>
          <w:bCs w:val="0"/>
        </w:rPr>
        <w:t>.</w:t>
      </w:r>
    </w:p>
    <w:p w14:paraId="72191E3F" w14:textId="77777777" w:rsidR="00620A60" w:rsidRPr="006909F7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8AA409C" w14:textId="77777777" w:rsidR="00620A60" w:rsidRPr="006909F7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6909F7">
        <w:rPr>
          <w:b w:val="0"/>
          <w:bCs w:val="0"/>
          <w:u w:val="single"/>
        </w:rPr>
        <w:t>Metabolism</w:t>
      </w:r>
    </w:p>
    <w:p w14:paraId="467D85E6" w14:textId="2E9E1BB3" w:rsidR="00620A60" w:rsidRPr="00E35953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34353A" w:rsidRPr="0034353A">
        <w:rPr>
          <w:b w:val="0"/>
          <w:bCs w:val="0"/>
        </w:rPr>
        <w:t xml:space="preserve">Ranitidine is not extensively </w:t>
      </w:r>
      <w:proofErr w:type="spellStart"/>
      <w:r w:rsidR="0034353A" w:rsidRPr="0034353A">
        <w:rPr>
          <w:b w:val="0"/>
          <w:bCs w:val="0"/>
        </w:rPr>
        <w:t>metabolised</w:t>
      </w:r>
      <w:proofErr w:type="spellEnd"/>
      <w:r w:rsidR="0034353A" w:rsidRPr="0034353A">
        <w:rPr>
          <w:b w:val="0"/>
          <w:bCs w:val="0"/>
        </w:rPr>
        <w:t xml:space="preserve">. The fraction of the dose </w:t>
      </w:r>
      <w:r w:rsidR="0034353A">
        <w:rPr>
          <w:b w:val="0"/>
          <w:bCs w:val="0"/>
        </w:rPr>
        <w:tab/>
      </w:r>
      <w:r w:rsidR="0034353A" w:rsidRPr="0034353A">
        <w:rPr>
          <w:b w:val="0"/>
          <w:bCs w:val="0"/>
        </w:rPr>
        <w:t xml:space="preserve">recovered as metabolites is similar after both oral and </w:t>
      </w:r>
      <w:r w:rsidR="0034353A">
        <w:rPr>
          <w:b w:val="0"/>
          <w:bCs w:val="0"/>
        </w:rPr>
        <w:t>IV</w:t>
      </w:r>
      <w:r w:rsidR="0034353A" w:rsidRPr="0034353A">
        <w:rPr>
          <w:b w:val="0"/>
          <w:bCs w:val="0"/>
        </w:rPr>
        <w:t xml:space="preserve"> dosing; and </w:t>
      </w:r>
      <w:r w:rsidR="0034353A">
        <w:rPr>
          <w:b w:val="0"/>
          <w:bCs w:val="0"/>
        </w:rPr>
        <w:tab/>
      </w:r>
      <w:r w:rsidR="0034353A" w:rsidRPr="0034353A">
        <w:rPr>
          <w:b w:val="0"/>
          <w:bCs w:val="0"/>
        </w:rPr>
        <w:t xml:space="preserve">includes 6% of the dose in urine as the N-oxide, 2% as the S-oxide, 2% </w:t>
      </w:r>
      <w:r w:rsidR="0034353A">
        <w:rPr>
          <w:b w:val="0"/>
          <w:bCs w:val="0"/>
        </w:rPr>
        <w:tab/>
      </w:r>
      <w:r w:rsidR="0034353A" w:rsidRPr="0034353A">
        <w:rPr>
          <w:b w:val="0"/>
          <w:bCs w:val="0"/>
        </w:rPr>
        <w:t xml:space="preserve">as </w:t>
      </w:r>
      <w:proofErr w:type="spellStart"/>
      <w:r w:rsidR="0034353A" w:rsidRPr="0034353A">
        <w:rPr>
          <w:b w:val="0"/>
          <w:bCs w:val="0"/>
        </w:rPr>
        <w:t>desmethylranitidine</w:t>
      </w:r>
      <w:proofErr w:type="spellEnd"/>
      <w:r w:rsidR="0034353A" w:rsidRPr="0034353A">
        <w:rPr>
          <w:b w:val="0"/>
          <w:bCs w:val="0"/>
        </w:rPr>
        <w:t xml:space="preserve"> and 1 to 2% as the furoic acid analogue. </w:t>
      </w:r>
    </w:p>
    <w:p w14:paraId="5886B19A" w14:textId="77777777" w:rsidR="00620A60" w:rsidRPr="004C7F0F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258541C" w14:textId="77777777" w:rsidR="00620A60" w:rsidRPr="004C7F0F" w:rsidRDefault="00620A60" w:rsidP="00620A60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4C7F0F">
        <w:rPr>
          <w:b w:val="0"/>
          <w:bCs w:val="0"/>
          <w:u w:val="single"/>
        </w:rPr>
        <w:t>Elimination</w:t>
      </w:r>
    </w:p>
    <w:p w14:paraId="519F96FA" w14:textId="77777777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Plasma concentrations decline bi-exponentially, with a terminal half-life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of 2-3 hours. The major route of elimination is renal. After IV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administration of 150 mg 3H-ranitidine, 98% of the dose was recovered,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including 5% in </w:t>
      </w:r>
      <w:proofErr w:type="spellStart"/>
      <w:r w:rsidRPr="00E35953">
        <w:rPr>
          <w:b w:val="0"/>
          <w:bCs w:val="0"/>
        </w:rPr>
        <w:t>faeces</w:t>
      </w:r>
      <w:proofErr w:type="spellEnd"/>
      <w:r w:rsidRPr="00E35953">
        <w:rPr>
          <w:b w:val="0"/>
          <w:bCs w:val="0"/>
        </w:rPr>
        <w:t xml:space="preserve"> and 93% in urine, of which 70% was unchanged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parent drug. After oral administration of 150 mg 3H-ranitidine, 96% of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the dose was recovered, 26% in </w:t>
      </w:r>
      <w:proofErr w:type="spellStart"/>
      <w:r w:rsidRPr="00E35953">
        <w:rPr>
          <w:b w:val="0"/>
          <w:bCs w:val="0"/>
        </w:rPr>
        <w:t>faeces</w:t>
      </w:r>
      <w:proofErr w:type="spellEnd"/>
      <w:r w:rsidRPr="00E35953">
        <w:rPr>
          <w:b w:val="0"/>
          <w:bCs w:val="0"/>
        </w:rPr>
        <w:t xml:space="preserve"> and 70% in urine of which 35%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was unchanged parent drug. Less than 3% of the dose is excreted in bile.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Renal clearance is approximately 500 mL/min, which exceeds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>glomerular filtration indicating net renal tubular secretion</w:t>
      </w:r>
      <w:r w:rsidRPr="004C7F0F">
        <w:rPr>
          <w:b w:val="0"/>
          <w:bCs w:val="0"/>
        </w:rPr>
        <w:t>.</w:t>
      </w:r>
    </w:p>
    <w:p w14:paraId="726FE8BB" w14:textId="77777777" w:rsidR="00620A60" w:rsidRPr="00F608B9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A404E10" w14:textId="401214E6" w:rsidR="00620A60" w:rsidRPr="00F608B9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="0034353A" w:rsidRPr="0034353A">
        <w:rPr>
          <w:b w:val="0"/>
          <w:bCs w:val="0"/>
          <w:u w:val="single"/>
        </w:rPr>
        <w:t xml:space="preserve">Special </w:t>
      </w:r>
      <w:r w:rsidR="0034353A">
        <w:rPr>
          <w:b w:val="0"/>
          <w:bCs w:val="0"/>
          <w:u w:val="single"/>
        </w:rPr>
        <w:t>p</w:t>
      </w:r>
      <w:r w:rsidR="0034353A" w:rsidRPr="0034353A">
        <w:rPr>
          <w:b w:val="0"/>
          <w:bCs w:val="0"/>
          <w:u w:val="single"/>
        </w:rPr>
        <w:t xml:space="preserve">atient </w:t>
      </w:r>
      <w:r w:rsidR="0034353A">
        <w:rPr>
          <w:b w:val="0"/>
          <w:bCs w:val="0"/>
          <w:u w:val="single"/>
        </w:rPr>
        <w:t>p</w:t>
      </w:r>
      <w:r w:rsidR="0034353A" w:rsidRPr="0034353A">
        <w:rPr>
          <w:b w:val="0"/>
          <w:bCs w:val="0"/>
          <w:u w:val="single"/>
        </w:rPr>
        <w:t>opulations</w:t>
      </w:r>
    </w:p>
    <w:p w14:paraId="1FFF86AB" w14:textId="77777777" w:rsidR="00620A60" w:rsidRPr="00F608B9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F608B9">
        <w:rPr>
          <w:b w:val="0"/>
          <w:bCs w:val="0"/>
          <w:i/>
          <w:iCs/>
        </w:rPr>
        <w:t>Children (3 years and above)</w:t>
      </w:r>
      <w:r>
        <w:rPr>
          <w:b w:val="0"/>
          <w:bCs w:val="0"/>
          <w:i/>
          <w:iCs/>
        </w:rPr>
        <w:t>:</w:t>
      </w:r>
    </w:p>
    <w:p w14:paraId="28DE1335" w14:textId="77777777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Limited pharmacokinetic data have shown that there are no significant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differences in half-life (range for children 3 years and above: 1.7 - 2.2 h)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and plasma clearance (range for children 3 years and above: 9 - 22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ml/min/kg) between children and healthy adults receiving oral ranitidine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>when correction is made for body weight.</w:t>
      </w:r>
    </w:p>
    <w:p w14:paraId="11DE112C" w14:textId="00DE5E77" w:rsidR="0034353A" w:rsidRDefault="0034353A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4353A">
        <w:rPr>
          <w:b w:val="0"/>
          <w:bCs w:val="0"/>
        </w:rPr>
        <w:t xml:space="preserve">Pharmacokinetic data in infants is extremely limited but appears to be in </w:t>
      </w:r>
      <w:r>
        <w:rPr>
          <w:b w:val="0"/>
          <w:bCs w:val="0"/>
        </w:rPr>
        <w:tab/>
      </w:r>
      <w:r w:rsidRPr="0034353A">
        <w:rPr>
          <w:b w:val="0"/>
          <w:bCs w:val="0"/>
        </w:rPr>
        <w:t>line with that for older children</w:t>
      </w:r>
      <w:r>
        <w:rPr>
          <w:b w:val="0"/>
          <w:bCs w:val="0"/>
        </w:rPr>
        <w:t>.</w:t>
      </w:r>
    </w:p>
    <w:p w14:paraId="6A939DDC" w14:textId="77777777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C1BF74F" w14:textId="77777777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7EB6B3E" w14:textId="77777777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D7DDF53" w14:textId="77777777" w:rsidR="00620A60" w:rsidRPr="00F608B9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0ED36AA" w14:textId="77777777" w:rsidR="00620A60" w:rsidRPr="00F608B9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F608B9">
        <w:rPr>
          <w:b w:val="0"/>
          <w:bCs w:val="0"/>
          <w:i/>
          <w:iCs/>
        </w:rPr>
        <w:t>Patients over 50 years of age:</w:t>
      </w:r>
    </w:p>
    <w:p w14:paraId="74A67EDE" w14:textId="77777777" w:rsidR="0034353A" w:rsidRDefault="00620A60" w:rsidP="0034353A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In patients over 50 years of age, half-life is prolonged (3-4 h) and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clearance is reduced, consistent with the age-related decline of renal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function. However, systemic exposure and accumulation are 50% higher.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 xml:space="preserve">This difference exceeds the effect of declining renal function and </w:t>
      </w:r>
      <w:r>
        <w:rPr>
          <w:b w:val="0"/>
          <w:bCs w:val="0"/>
        </w:rPr>
        <w:tab/>
      </w:r>
      <w:r w:rsidRPr="00E35953">
        <w:rPr>
          <w:b w:val="0"/>
          <w:bCs w:val="0"/>
        </w:rPr>
        <w:t>indicates increased bioavailability in older patients.</w:t>
      </w:r>
    </w:p>
    <w:p w14:paraId="5A6BFA9E" w14:textId="77777777" w:rsidR="0034353A" w:rsidRPr="0034353A" w:rsidRDefault="0034353A" w:rsidP="0034353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E694348" w14:textId="77777777" w:rsidR="0034353A" w:rsidRDefault="0034353A" w:rsidP="0034353A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34353A">
        <w:rPr>
          <w:b w:val="0"/>
          <w:bCs w:val="0"/>
          <w:i/>
          <w:iCs/>
        </w:rPr>
        <w:t>Neonates (under 1 month)</w:t>
      </w:r>
      <w:r w:rsidRPr="0034353A">
        <w:rPr>
          <w:b w:val="0"/>
          <w:bCs w:val="0"/>
          <w:i/>
          <w:iCs/>
        </w:rPr>
        <w:t>:</w:t>
      </w:r>
    </w:p>
    <w:p w14:paraId="6B677394" w14:textId="33F10D71" w:rsidR="0034353A" w:rsidRPr="0034353A" w:rsidRDefault="0034353A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34353A">
        <w:rPr>
          <w:b w:val="0"/>
          <w:bCs w:val="0"/>
        </w:rPr>
        <w:t xml:space="preserve">Limited pharmacokinetic data from term babies undergoing treatment </w:t>
      </w:r>
      <w:r>
        <w:rPr>
          <w:b w:val="0"/>
          <w:bCs w:val="0"/>
        </w:rPr>
        <w:tab/>
      </w:r>
      <w:r w:rsidRPr="0034353A">
        <w:rPr>
          <w:b w:val="0"/>
          <w:bCs w:val="0"/>
        </w:rPr>
        <w:t>with</w:t>
      </w:r>
      <w:r>
        <w:rPr>
          <w:b w:val="0"/>
          <w:bCs w:val="0"/>
          <w:i/>
          <w:iCs/>
        </w:rPr>
        <w:t xml:space="preserve"> </w:t>
      </w:r>
      <w:r w:rsidRPr="0034353A">
        <w:rPr>
          <w:b w:val="0"/>
          <w:bCs w:val="0"/>
        </w:rPr>
        <w:t xml:space="preserve">Extracorporeal Membrane Oxygenation (EMCO) suggests that </w:t>
      </w:r>
      <w:r>
        <w:rPr>
          <w:b w:val="0"/>
          <w:bCs w:val="0"/>
        </w:rPr>
        <w:tab/>
      </w:r>
      <w:r w:rsidRPr="0034353A">
        <w:rPr>
          <w:b w:val="0"/>
          <w:bCs w:val="0"/>
        </w:rPr>
        <w:t>plasma clearance</w:t>
      </w:r>
      <w:r>
        <w:rPr>
          <w:b w:val="0"/>
          <w:bCs w:val="0"/>
          <w:i/>
          <w:iCs/>
        </w:rPr>
        <w:t xml:space="preserve"> </w:t>
      </w:r>
      <w:r w:rsidRPr="0034353A">
        <w:rPr>
          <w:b w:val="0"/>
          <w:bCs w:val="0"/>
        </w:rPr>
        <w:t xml:space="preserve">following </w:t>
      </w:r>
      <w:r>
        <w:rPr>
          <w:b w:val="0"/>
          <w:bCs w:val="0"/>
        </w:rPr>
        <w:t>IV</w:t>
      </w:r>
      <w:r w:rsidRPr="0034353A">
        <w:rPr>
          <w:b w:val="0"/>
          <w:bCs w:val="0"/>
        </w:rPr>
        <w:t xml:space="preserve"> administration may be reduced (1.5-8.2 </w:t>
      </w:r>
      <w:r>
        <w:rPr>
          <w:b w:val="0"/>
          <w:bCs w:val="0"/>
        </w:rPr>
        <w:tab/>
      </w:r>
      <w:r w:rsidRPr="0034353A">
        <w:rPr>
          <w:b w:val="0"/>
          <w:bCs w:val="0"/>
        </w:rPr>
        <w:t>ml/min/kg) and the half-life</w:t>
      </w:r>
      <w:r>
        <w:rPr>
          <w:b w:val="0"/>
          <w:bCs w:val="0"/>
          <w:i/>
          <w:iCs/>
        </w:rPr>
        <w:t xml:space="preserve"> </w:t>
      </w:r>
      <w:r w:rsidRPr="0034353A">
        <w:rPr>
          <w:b w:val="0"/>
          <w:bCs w:val="0"/>
        </w:rPr>
        <w:t xml:space="preserve">increased in the new-born. Clearance of </w:t>
      </w:r>
      <w:r>
        <w:rPr>
          <w:b w:val="0"/>
          <w:bCs w:val="0"/>
        </w:rPr>
        <w:tab/>
      </w:r>
      <w:r w:rsidRPr="0034353A">
        <w:rPr>
          <w:b w:val="0"/>
          <w:bCs w:val="0"/>
        </w:rPr>
        <w:t>ranitidine appeared to be related to the</w:t>
      </w:r>
      <w:r>
        <w:rPr>
          <w:b w:val="0"/>
          <w:bCs w:val="0"/>
          <w:i/>
          <w:iCs/>
        </w:rPr>
        <w:t xml:space="preserve"> </w:t>
      </w:r>
      <w:r w:rsidRPr="0034353A">
        <w:rPr>
          <w:b w:val="0"/>
          <w:bCs w:val="0"/>
        </w:rPr>
        <w:t xml:space="preserve">estimated glomerular filtration </w:t>
      </w:r>
      <w:r>
        <w:rPr>
          <w:b w:val="0"/>
          <w:bCs w:val="0"/>
        </w:rPr>
        <w:tab/>
      </w:r>
      <w:r w:rsidRPr="0034353A">
        <w:rPr>
          <w:b w:val="0"/>
          <w:bCs w:val="0"/>
        </w:rPr>
        <w:t>rate in the neonates.</w:t>
      </w:r>
    </w:p>
    <w:p w14:paraId="6B8842E2" w14:textId="77777777" w:rsidR="00620A60" w:rsidRPr="00F82D07" w:rsidRDefault="00620A60" w:rsidP="00620A60">
      <w:pPr>
        <w:pStyle w:val="SubHeafingSMPC"/>
        <w:ind w:left="57"/>
      </w:pPr>
      <w:r w:rsidRPr="008F5678">
        <w:t xml:space="preserve">Preclinical safety data </w:t>
      </w:r>
    </w:p>
    <w:p w14:paraId="657AD022" w14:textId="77777777" w:rsidR="00620A60" w:rsidRDefault="00620A60" w:rsidP="00620A6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6A548B">
        <w:rPr>
          <w:b w:val="0"/>
          <w:bCs w:val="0"/>
        </w:rPr>
        <w:t xml:space="preserve">Non-clinical data revealed no special hazard for humans based on </w:t>
      </w:r>
      <w:r>
        <w:rPr>
          <w:b w:val="0"/>
          <w:bCs w:val="0"/>
        </w:rPr>
        <w:tab/>
      </w:r>
      <w:r w:rsidRPr="006A548B">
        <w:rPr>
          <w:b w:val="0"/>
          <w:bCs w:val="0"/>
        </w:rPr>
        <w:t xml:space="preserve">conventional studies of safety pharmacology, repeated-dose toxicity, </w:t>
      </w:r>
      <w:r>
        <w:rPr>
          <w:b w:val="0"/>
          <w:bCs w:val="0"/>
        </w:rPr>
        <w:tab/>
      </w:r>
      <w:r w:rsidRPr="006A548B">
        <w:rPr>
          <w:b w:val="0"/>
          <w:bCs w:val="0"/>
        </w:rPr>
        <w:t xml:space="preserve">genotoxicity, carcinogenic potential and toxicity to reproduction and </w:t>
      </w:r>
      <w:r>
        <w:rPr>
          <w:b w:val="0"/>
          <w:bCs w:val="0"/>
        </w:rPr>
        <w:tab/>
      </w:r>
      <w:r w:rsidRPr="006A548B">
        <w:rPr>
          <w:b w:val="0"/>
          <w:bCs w:val="0"/>
        </w:rPr>
        <w:t>development</w:t>
      </w:r>
      <w:r w:rsidRPr="00D84F3B">
        <w:rPr>
          <w:b w:val="0"/>
          <w:bCs w:val="0"/>
        </w:rPr>
        <w:t>.</w:t>
      </w:r>
    </w:p>
    <w:p w14:paraId="338FA841" w14:textId="77777777" w:rsidR="00620A60" w:rsidRPr="008F5678" w:rsidRDefault="00620A60" w:rsidP="00620A60">
      <w:pPr>
        <w:pStyle w:val="HEADING1SMPC"/>
      </w:pPr>
      <w:r w:rsidRPr="008F5678">
        <w:t xml:space="preserve">PHARMACEUTICAL PARTICULARS </w:t>
      </w:r>
    </w:p>
    <w:p w14:paraId="2936A1C7" w14:textId="77777777" w:rsidR="00620A60" w:rsidRPr="008F5678" w:rsidRDefault="00620A60" w:rsidP="00620A60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2FE912CE" w14:textId="77777777" w:rsidR="00620A60" w:rsidRPr="000A71B4" w:rsidRDefault="00620A60" w:rsidP="00620A60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1B833591" w14:textId="77777777" w:rsidR="00620A60" w:rsidRPr="00F527B4" w:rsidRDefault="00620A60" w:rsidP="00620A60">
      <w:pPr>
        <w:pStyle w:val="SubHeafingSMPC"/>
        <w:ind w:left="57"/>
      </w:pPr>
      <w:r w:rsidRPr="008F5678">
        <w:t xml:space="preserve">Incompatibilities </w:t>
      </w:r>
    </w:p>
    <w:p w14:paraId="13AAAF28" w14:textId="77777777" w:rsidR="00620A60" w:rsidRPr="000A71B4" w:rsidRDefault="00620A60" w:rsidP="00620A60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160E3CD8" w14:textId="77777777" w:rsidR="00620A60" w:rsidRPr="000A71B4" w:rsidRDefault="00620A60" w:rsidP="00620A60">
      <w:pPr>
        <w:pStyle w:val="SubHeafingSMPC"/>
        <w:ind w:left="57"/>
      </w:pPr>
      <w:r w:rsidRPr="008F5678">
        <w:t xml:space="preserve">Shelf life </w:t>
      </w:r>
    </w:p>
    <w:p w14:paraId="3B40DD7F" w14:textId="77777777" w:rsidR="00620A60" w:rsidRPr="000A71B4" w:rsidRDefault="00620A60" w:rsidP="00620A60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427E1F5D" w14:textId="77777777" w:rsidR="00620A60" w:rsidRPr="008F5678" w:rsidRDefault="00620A60" w:rsidP="00620A60">
      <w:pPr>
        <w:pStyle w:val="SubHeafingSMPC"/>
        <w:ind w:left="57"/>
      </w:pPr>
      <w:r w:rsidRPr="008F5678">
        <w:lastRenderedPageBreak/>
        <w:t xml:space="preserve">Special precautions for storage </w:t>
      </w:r>
    </w:p>
    <w:p w14:paraId="7B85FE89" w14:textId="77777777" w:rsidR="00620A60" w:rsidRPr="000A71B4" w:rsidRDefault="00620A60" w:rsidP="00620A60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E82C01C" w14:textId="77777777" w:rsidR="00620A60" w:rsidRPr="008F5678" w:rsidRDefault="00620A60" w:rsidP="00620A60">
      <w:pPr>
        <w:pStyle w:val="SubHeafingSMPC"/>
        <w:ind w:left="57"/>
      </w:pPr>
      <w:r w:rsidRPr="008F5678">
        <w:t xml:space="preserve">Nature and contents of container </w:t>
      </w:r>
    </w:p>
    <w:p w14:paraId="5910D334" w14:textId="77777777" w:rsidR="00620A60" w:rsidRPr="000A71B4" w:rsidRDefault="00620A60" w:rsidP="00620A60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75835458" w14:textId="77777777" w:rsidR="00620A60" w:rsidRPr="000A71B4" w:rsidRDefault="00620A60" w:rsidP="00620A60">
      <w:pPr>
        <w:pStyle w:val="SubHeafingSMPC"/>
        <w:ind w:left="57"/>
      </w:pPr>
      <w:r w:rsidRPr="008F5678">
        <w:t xml:space="preserve">Special precautions for disposal </w:t>
      </w:r>
    </w:p>
    <w:p w14:paraId="4A47A7BC" w14:textId="77777777" w:rsidR="00620A60" w:rsidRPr="000A71B4" w:rsidRDefault="00620A60" w:rsidP="00620A60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9FAA333" w14:textId="77777777" w:rsidR="00620A60" w:rsidRDefault="00620A60" w:rsidP="00620A60">
      <w:pPr>
        <w:pStyle w:val="HEADING1SMPC"/>
      </w:pPr>
      <w:r w:rsidRPr="008F5678">
        <w:t xml:space="preserve">MARKETING AUTHORISATION HOLDER </w:t>
      </w:r>
    </w:p>
    <w:p w14:paraId="5F53B571" w14:textId="77777777" w:rsidR="00620A60" w:rsidRPr="00D741D1" w:rsidRDefault="00620A60" w:rsidP="00620A60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96488B1" w14:textId="77777777" w:rsidR="00620A60" w:rsidRDefault="00620A60" w:rsidP="00620A60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10DCC393" w14:textId="77777777" w:rsidR="00620A60" w:rsidRPr="002270FF" w:rsidRDefault="00620A60" w:rsidP="00620A60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04786A5" w14:textId="77777777" w:rsidR="00620A60" w:rsidRDefault="00620A60" w:rsidP="00620A60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530509CF" w14:textId="77777777" w:rsidR="00620A60" w:rsidRPr="002270FF" w:rsidRDefault="00620A60" w:rsidP="00620A60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35627F1" w14:textId="77777777" w:rsidR="00620A60" w:rsidRPr="008F5678" w:rsidRDefault="00620A60" w:rsidP="00620A60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1B46ECF8" w14:textId="77777777" w:rsidR="00620A60" w:rsidRPr="002270FF" w:rsidRDefault="00620A60" w:rsidP="00620A6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0AFDA436" w14:textId="77777777" w:rsidR="00620A60" w:rsidRPr="004E6B0A" w:rsidRDefault="00620A60" w:rsidP="00620A60">
      <w:pPr>
        <w:rPr>
          <w:rFonts w:ascii="Times New Roman" w:hAnsi="Times New Roman" w:cs="Times New Roman"/>
          <w:sz w:val="28"/>
          <w:szCs w:val="28"/>
        </w:rPr>
      </w:pPr>
    </w:p>
    <w:p w14:paraId="3F917559" w14:textId="77777777" w:rsidR="00620A60" w:rsidRDefault="00620A60" w:rsidP="00620A60"/>
    <w:p w14:paraId="4A4FA6FB" w14:textId="77777777" w:rsidR="00CD0A94" w:rsidRDefault="00CD0A94"/>
    <w:sectPr w:rsidR="00CD0A94" w:rsidSect="00620A60">
      <w:footerReference w:type="even" r:id="rId5"/>
      <w:footerReference w:type="default" r:id="rId6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5081DA99" w14:textId="77777777" w:rsidR="00000000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20AC03FD" w14:textId="77777777" w:rsidR="00000000" w:rsidRDefault="0000000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645C7141" w14:textId="77777777" w:rsidR="00000000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4971A74D" w14:textId="77777777" w:rsidR="00000000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Pr="006A548B">
      <w:rPr>
        <w:rFonts w:ascii="Times New Roman" w:hAnsi="Times New Roman" w:cs="Times New Roman"/>
        <w:sz w:val="24"/>
        <w:szCs w:val="24"/>
      </w:rPr>
      <w:t>Ref: Ranitidine, MHRA, 03/02/2020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A45E18"/>
    <w:multiLevelType w:val="hybridMultilevel"/>
    <w:tmpl w:val="EF02C34A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DF789B"/>
    <w:multiLevelType w:val="hybridMultilevel"/>
    <w:tmpl w:val="296C5E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2767A6"/>
    <w:multiLevelType w:val="hybridMultilevel"/>
    <w:tmpl w:val="45B2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6C0E"/>
    <w:multiLevelType w:val="hybridMultilevel"/>
    <w:tmpl w:val="2672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32A76"/>
    <w:multiLevelType w:val="hybridMultilevel"/>
    <w:tmpl w:val="38BA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D44D5"/>
    <w:multiLevelType w:val="hybridMultilevel"/>
    <w:tmpl w:val="2608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1428"/>
    <w:multiLevelType w:val="hybridMultilevel"/>
    <w:tmpl w:val="A8CE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55A7F"/>
    <w:multiLevelType w:val="hybridMultilevel"/>
    <w:tmpl w:val="2A6A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26980"/>
    <w:multiLevelType w:val="hybridMultilevel"/>
    <w:tmpl w:val="46D8378A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22E63"/>
    <w:multiLevelType w:val="hybridMultilevel"/>
    <w:tmpl w:val="A84AC8BC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025B35"/>
    <w:multiLevelType w:val="hybridMultilevel"/>
    <w:tmpl w:val="70887B98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2138375128">
    <w:abstractNumId w:val="1"/>
  </w:num>
  <w:num w:numId="3" w16cid:durableId="855579551">
    <w:abstractNumId w:val="10"/>
  </w:num>
  <w:num w:numId="4" w16cid:durableId="812411228">
    <w:abstractNumId w:val="2"/>
  </w:num>
  <w:num w:numId="5" w16cid:durableId="1840342527">
    <w:abstractNumId w:val="8"/>
  </w:num>
  <w:num w:numId="6" w16cid:durableId="1432894849">
    <w:abstractNumId w:val="6"/>
  </w:num>
  <w:num w:numId="7" w16cid:durableId="966547806">
    <w:abstractNumId w:val="5"/>
  </w:num>
  <w:num w:numId="8" w16cid:durableId="241374643">
    <w:abstractNumId w:val="3"/>
  </w:num>
  <w:num w:numId="9" w16cid:durableId="1309627015">
    <w:abstractNumId w:val="7"/>
  </w:num>
  <w:num w:numId="10" w16cid:durableId="150295054">
    <w:abstractNumId w:val="4"/>
  </w:num>
  <w:num w:numId="11" w16cid:durableId="5450412">
    <w:abstractNumId w:val="9"/>
  </w:num>
  <w:num w:numId="12" w16cid:durableId="2110158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60"/>
    <w:rsid w:val="0034353A"/>
    <w:rsid w:val="00454EC5"/>
    <w:rsid w:val="00610BC8"/>
    <w:rsid w:val="00620A60"/>
    <w:rsid w:val="0083274C"/>
    <w:rsid w:val="00920590"/>
    <w:rsid w:val="009F5322"/>
    <w:rsid w:val="00A710F6"/>
    <w:rsid w:val="00A912C1"/>
    <w:rsid w:val="00B06764"/>
    <w:rsid w:val="00B268E1"/>
    <w:rsid w:val="00CD0A94"/>
    <w:rsid w:val="00D807F6"/>
    <w:rsid w:val="00E2740F"/>
    <w:rsid w:val="00E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991F"/>
  <w15:chartTrackingRefBased/>
  <w15:docId w15:val="{393BFE32-08DB-4050-AF03-1A8CA825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6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0A6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A6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A60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20A6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20A6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20A6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20A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20A60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20A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20A6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20A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20A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0A6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20A6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20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20A6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20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20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A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20A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0A60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620A60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620A60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620A60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620A60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620A60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620A60"/>
  </w:style>
  <w:style w:type="paragraph" w:styleId="ae">
    <w:name w:val="Body Text"/>
    <w:basedOn w:val="a"/>
    <w:link w:val="af2"/>
    <w:uiPriority w:val="99"/>
    <w:unhideWhenUsed/>
    <w:rsid w:val="00620A60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620A60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table" w:styleId="af3">
    <w:name w:val="Table Grid"/>
    <w:basedOn w:val="a1"/>
    <w:uiPriority w:val="39"/>
    <w:rsid w:val="00620A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2024-08-17T17:13:00Z</dcterms:created>
  <dcterms:modified xsi:type="dcterms:W3CDTF">2024-08-17T17:50:00Z</dcterms:modified>
</cp:coreProperties>
</file>