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6470B1" w:rsidP="00AF212D">
      <w:pPr>
        <w:pStyle w:val="TitleSMPC"/>
      </w:pPr>
      <w:r w:rsidRPr="008F5678">
        <w:t>SUMMARY OF PRODUCT CHARACTERISTICS</w:t>
      </w:r>
    </w:p>
    <w:p w14:paraId="740778C1" w14:textId="77777777" w:rsidR="00233A79" w:rsidRPr="008F5678" w:rsidRDefault="006470B1" w:rsidP="00834A79">
      <w:pPr>
        <w:pStyle w:val="HEADING1SMPC"/>
      </w:pPr>
      <w:r w:rsidRPr="008F5678">
        <w:t xml:space="preserve">NAME OF THE MEDICINAL PRODUCT </w:t>
      </w:r>
    </w:p>
    <w:p w14:paraId="29438B81" w14:textId="15925763" w:rsidR="00227FD4" w:rsidRPr="00E641A1" w:rsidRDefault="00411954" w:rsidP="00AF212D">
      <w:pPr>
        <w:pStyle w:val="BodyTextSMPC"/>
        <w:rPr>
          <w:rFonts w:cstheme="minorBidi"/>
        </w:rPr>
      </w:pPr>
      <w:r w:rsidRPr="00411954">
        <w:t>Diclofenac</w:t>
      </w:r>
      <w:r>
        <w:rPr>
          <w:color w:val="FF0000"/>
        </w:rPr>
        <w:t xml:space="preserve"> </w:t>
      </w:r>
      <w:r w:rsidR="00C069FE" w:rsidRPr="005574FA">
        <w:rPr>
          <w:color w:val="FF0000"/>
        </w:rPr>
        <w:t>&lt;TRADE NAME&gt; &lt;STRENGTH&gt;</w:t>
      </w:r>
      <w:r w:rsidR="00A10233">
        <w:rPr>
          <w:color w:val="FF0000"/>
        </w:rPr>
        <w:t xml:space="preserve"> </w:t>
      </w:r>
      <w:r w:rsidR="00272F4D" w:rsidRPr="00272F4D">
        <w:t xml:space="preserve">Prolonged-Release </w:t>
      </w:r>
      <w:r w:rsidR="00CA3714">
        <w:t>tablets</w:t>
      </w:r>
    </w:p>
    <w:p w14:paraId="51114D0F" w14:textId="77777777" w:rsidR="00A144D2" w:rsidRPr="008F5678" w:rsidRDefault="006470B1" w:rsidP="00AF212D">
      <w:pPr>
        <w:pStyle w:val="BodyTextSMPC"/>
        <w:rPr>
          <w:color w:val="FF0000"/>
        </w:rPr>
      </w:pPr>
      <w:r w:rsidRPr="008F5678">
        <w:rPr>
          <w:color w:val="FF0000"/>
        </w:rPr>
        <w:t>&lt;REGARDING THE APPROVAL&gt;</w:t>
      </w:r>
    </w:p>
    <w:p w14:paraId="3EC4138F" w14:textId="77777777" w:rsidR="00A144D2" w:rsidRPr="008F5678" w:rsidRDefault="006470B1" w:rsidP="00834A79">
      <w:pPr>
        <w:pStyle w:val="HEADING1SMPC"/>
      </w:pPr>
      <w:r w:rsidRPr="008F5678">
        <w:t>QUALITATIVE AND QUANTITATIVE COMPOSITION</w:t>
      </w:r>
    </w:p>
    <w:p w14:paraId="0DA9DC66" w14:textId="05257ADC" w:rsidR="00A10233" w:rsidRDefault="00411954" w:rsidP="00391F2E">
      <w:pPr>
        <w:pStyle w:val="BodyTextSMPC"/>
      </w:pPr>
      <w:r w:rsidRPr="00411954">
        <w:t xml:space="preserve">Each </w:t>
      </w:r>
      <w:r w:rsidR="00272F4D">
        <w:t>capsules</w:t>
      </w:r>
      <w:r w:rsidRPr="00411954">
        <w:t xml:space="preserve"> contains Diclofenac Sodium</w:t>
      </w:r>
      <w:r w:rsidR="00A10233" w:rsidRPr="005574FA">
        <w:rPr>
          <w:color w:val="FF0000"/>
        </w:rPr>
        <w:t>&lt;STRENGTH&gt;</w:t>
      </w:r>
      <w:r w:rsidR="00A10233">
        <w:rPr>
          <w:color w:val="FF0000"/>
        </w:rPr>
        <w:t xml:space="preserve"> </w:t>
      </w:r>
    </w:p>
    <w:p w14:paraId="5C373BE4" w14:textId="42A391AC" w:rsidR="00A144D2" w:rsidRPr="008F5678" w:rsidRDefault="006470B1" w:rsidP="00AF212D">
      <w:pPr>
        <w:pStyle w:val="BodyTextSMPC"/>
      </w:pPr>
      <w:r w:rsidRPr="008F5678">
        <w:t xml:space="preserve">For the full list of excipients, see section 6.1. </w:t>
      </w:r>
    </w:p>
    <w:p w14:paraId="52CB22EB" w14:textId="13522123" w:rsidR="00227FD4" w:rsidRPr="008F5678" w:rsidRDefault="006470B1" w:rsidP="00AF212D">
      <w:pPr>
        <w:pStyle w:val="BodyTextSMPC"/>
        <w:rPr>
          <w:color w:val="FF0000"/>
        </w:rPr>
      </w:pPr>
      <w:r w:rsidRPr="008F5678">
        <w:rPr>
          <w:color w:val="FF0000"/>
        </w:rPr>
        <w:t>&lt;REGARDING THE APPROVAL&gt;</w:t>
      </w:r>
    </w:p>
    <w:p w14:paraId="7E05B8A9" w14:textId="77777777" w:rsidR="00A144D2" w:rsidRPr="008F5678" w:rsidRDefault="006470B1" w:rsidP="00834A79">
      <w:pPr>
        <w:pStyle w:val="HEADING1SMPC"/>
      </w:pPr>
      <w:r w:rsidRPr="008F5678">
        <w:t xml:space="preserve">PHARMACEUTICAL FORM </w:t>
      </w:r>
    </w:p>
    <w:p w14:paraId="74CE521D" w14:textId="40E6DF95" w:rsidR="00227FD4" w:rsidRPr="00070173" w:rsidRDefault="00272F4D" w:rsidP="00AF212D">
      <w:pPr>
        <w:pStyle w:val="BodyTextSMPC"/>
        <w:rPr>
          <w:rFonts w:cs="Angsana New"/>
          <w:szCs w:val="35"/>
        </w:rPr>
      </w:pPr>
      <w:r w:rsidRPr="00272F4D">
        <w:t xml:space="preserve">Prolonged-Release </w:t>
      </w:r>
      <w:r w:rsidR="00CA3714">
        <w:t>tab</w:t>
      </w:r>
      <w:r w:rsidR="006470B1">
        <w:t>l</w:t>
      </w:r>
      <w:r w:rsidR="00CA3714">
        <w:t>ets</w:t>
      </w:r>
      <w:r w:rsidRPr="00272F4D">
        <w:t xml:space="preserve"> </w:t>
      </w:r>
      <w:r w:rsidR="008639E1" w:rsidRPr="008F5678">
        <w:rPr>
          <w:color w:val="FF0000"/>
        </w:rPr>
        <w:t>&lt;REGARDING THE APPROVAL&gt;</w:t>
      </w:r>
    </w:p>
    <w:p w14:paraId="5A03DC4E" w14:textId="77777777" w:rsidR="00177864" w:rsidRPr="008F5678" w:rsidRDefault="006470B1" w:rsidP="00834A79">
      <w:pPr>
        <w:pStyle w:val="HEADING1SMPC"/>
        <w:rPr>
          <w:szCs w:val="28"/>
        </w:rPr>
      </w:pPr>
      <w:r w:rsidRPr="008F5678">
        <w:t>CLINICAL PARTICULARS</w:t>
      </w:r>
    </w:p>
    <w:p w14:paraId="00BC808A" w14:textId="6248A261" w:rsidR="00A10233" w:rsidRPr="00E86F32" w:rsidRDefault="006470B1" w:rsidP="00E86F32">
      <w:pPr>
        <w:pStyle w:val="SubHeafingSMPC"/>
      </w:pPr>
      <w:r w:rsidRPr="008F5678">
        <w:t xml:space="preserve">Therapeutic indications </w:t>
      </w:r>
    </w:p>
    <w:p w14:paraId="00098769" w14:textId="5C4593FD" w:rsidR="00272F4D" w:rsidRPr="00272F4D" w:rsidRDefault="00272F4D" w:rsidP="008D0194">
      <w:pPr>
        <w:pStyle w:val="BodyTextSMPC"/>
        <w:rPr>
          <w:rFonts w:cstheme="minorBidi"/>
          <w:b/>
          <w:bCs/>
        </w:rPr>
      </w:pPr>
      <w:r w:rsidRPr="00272F4D">
        <w:rPr>
          <w:rFonts w:cstheme="minorBidi"/>
          <w:b/>
          <w:bCs/>
        </w:rPr>
        <w:t>Adults and elderly</w:t>
      </w:r>
    </w:p>
    <w:p w14:paraId="489F44A3" w14:textId="09E70DCF" w:rsidR="008D0194" w:rsidRPr="008D0194" w:rsidRDefault="008D0194" w:rsidP="008D0194">
      <w:pPr>
        <w:pStyle w:val="BodyTextSMPC"/>
        <w:rPr>
          <w:rFonts w:cstheme="minorBidi"/>
        </w:rPr>
      </w:pPr>
      <w:r w:rsidRPr="008D0194">
        <w:rPr>
          <w:rFonts w:cstheme="minorBidi"/>
        </w:rPr>
        <w:t xml:space="preserve">Relief of all grades of pain and inflammation in a wide range of conditions, including: </w:t>
      </w:r>
    </w:p>
    <w:p w14:paraId="55392735" w14:textId="4B9E1841" w:rsidR="008D0194" w:rsidRPr="008D0194" w:rsidRDefault="008D0194" w:rsidP="00527C32">
      <w:pPr>
        <w:pStyle w:val="BodyTextSMPC"/>
        <w:rPr>
          <w:rFonts w:cstheme="minorBidi"/>
        </w:rPr>
      </w:pPr>
      <w:r w:rsidRPr="008D0194">
        <w:rPr>
          <w:rFonts w:cstheme="minorBidi"/>
        </w:rPr>
        <w:t>(</w:t>
      </w:r>
      <w:proofErr w:type="spellStart"/>
      <w:r w:rsidRPr="008D0194">
        <w:rPr>
          <w:rFonts w:cstheme="minorBidi"/>
        </w:rPr>
        <w:t>i</w:t>
      </w:r>
      <w:proofErr w:type="spellEnd"/>
      <w:r w:rsidRPr="008D0194">
        <w:rPr>
          <w:rFonts w:cstheme="minorBidi"/>
        </w:rPr>
        <w:t xml:space="preserve">) arthritic conditions: rheumatoid arthritis, osteoarthrosis, ankylosing spondylitis, acute gout, </w:t>
      </w:r>
    </w:p>
    <w:p w14:paraId="3D567DC9" w14:textId="4D302912" w:rsidR="008D0194" w:rsidRPr="008D0194" w:rsidRDefault="008D0194" w:rsidP="008D0194">
      <w:pPr>
        <w:pStyle w:val="BodyTextSMPC"/>
        <w:rPr>
          <w:rFonts w:cstheme="minorBidi"/>
        </w:rPr>
      </w:pPr>
      <w:r w:rsidRPr="008D0194">
        <w:rPr>
          <w:rFonts w:cstheme="minorBidi"/>
        </w:rPr>
        <w:t xml:space="preserve">(ii) acute </w:t>
      </w:r>
      <w:proofErr w:type="spellStart"/>
      <w:r w:rsidRPr="008D0194">
        <w:rPr>
          <w:rFonts w:cstheme="minorBidi"/>
        </w:rPr>
        <w:t>musculo</w:t>
      </w:r>
      <w:proofErr w:type="spellEnd"/>
      <w:r w:rsidRPr="008D0194">
        <w:rPr>
          <w:rFonts w:cstheme="minorBidi"/>
        </w:rPr>
        <w:t xml:space="preserve">-skeletal disorders such as periarthritis (for example frozen shoulder), tendinitis, tenosynovitis, bursitis, </w:t>
      </w:r>
    </w:p>
    <w:p w14:paraId="13EF1B36" w14:textId="0937D7A8" w:rsidR="00177864" w:rsidRPr="00982EC5" w:rsidRDefault="008D0194" w:rsidP="00272F4D">
      <w:pPr>
        <w:pStyle w:val="BodyTextSMPC"/>
        <w:rPr>
          <w:rFonts w:cstheme="minorBidi"/>
        </w:rPr>
      </w:pPr>
      <w:r w:rsidRPr="008D0194">
        <w:rPr>
          <w:rFonts w:cstheme="minorBidi"/>
        </w:rPr>
        <w:t xml:space="preserve">(iii) other painful conditions resulting from trauma, including fracture, low back pain, sprains, strains, dislocations, </w:t>
      </w:r>
      <w:proofErr w:type="spellStart"/>
      <w:r w:rsidRPr="008D0194">
        <w:rPr>
          <w:rFonts w:cstheme="minorBidi"/>
        </w:rPr>
        <w:t>orthopaedic</w:t>
      </w:r>
      <w:proofErr w:type="spellEnd"/>
      <w:r w:rsidRPr="008D0194">
        <w:rPr>
          <w:rFonts w:cstheme="minorBidi"/>
        </w:rPr>
        <w:t>, dental and other minor surgery</w:t>
      </w:r>
      <w:r w:rsidR="00210318" w:rsidRPr="00210318">
        <w:rPr>
          <w:rFonts w:cstheme="minorBidi"/>
        </w:rPr>
        <w:t xml:space="preserve">. </w:t>
      </w:r>
    </w:p>
    <w:p w14:paraId="1953512A" w14:textId="77777777" w:rsidR="00233A79" w:rsidRPr="008F5678" w:rsidRDefault="006470B1" w:rsidP="00C21A1C">
      <w:pPr>
        <w:pStyle w:val="SubHeafingSMPC"/>
      </w:pPr>
      <w:r w:rsidRPr="008F5678">
        <w:t>Posology and method of administration</w:t>
      </w:r>
    </w:p>
    <w:p w14:paraId="3638B550" w14:textId="03EDD863" w:rsidR="00732389" w:rsidRDefault="00272F4D" w:rsidP="00272F4D">
      <w:pPr>
        <w:pStyle w:val="BodyTextSMPC"/>
      </w:pPr>
      <w:r>
        <w:lastRenderedPageBreak/>
        <w:t xml:space="preserve">Undesirable effects may be </w:t>
      </w:r>
      <w:proofErr w:type="spellStart"/>
      <w:r>
        <w:t>minimised</w:t>
      </w:r>
      <w:proofErr w:type="spellEnd"/>
      <w:r>
        <w:t xml:space="preserve"> by using the lowest effective dose for the shortest duration necessary to control symptoms (see section 4.4). </w:t>
      </w:r>
      <w:r w:rsidR="00210318">
        <w:t xml:space="preserve"> </w:t>
      </w:r>
    </w:p>
    <w:p w14:paraId="6D1C434B" w14:textId="638E3EF7" w:rsidR="00732389" w:rsidRDefault="00732389" w:rsidP="00732389">
      <w:pPr>
        <w:pStyle w:val="BodyTextSMPC"/>
      </w:pPr>
      <w:r w:rsidRPr="00732389">
        <w:rPr>
          <w:b/>
          <w:bCs/>
        </w:rPr>
        <w:t>Adults</w:t>
      </w:r>
      <w:r w:rsidR="00816147">
        <w:t xml:space="preserve"> </w:t>
      </w:r>
    </w:p>
    <w:p w14:paraId="7D6C1C40" w14:textId="3BB9E931" w:rsidR="00816147" w:rsidRPr="00816147" w:rsidRDefault="00816147" w:rsidP="00816147">
      <w:pPr>
        <w:pStyle w:val="BodyTextSMPC"/>
        <w:rPr>
          <w:color w:val="FF0000"/>
        </w:rPr>
      </w:pPr>
      <w:r w:rsidRPr="008F5678">
        <w:rPr>
          <w:color w:val="FF0000"/>
        </w:rPr>
        <w:t>&lt;REGARDING THE APPROVAL&gt;</w:t>
      </w:r>
    </w:p>
    <w:p w14:paraId="4B1F20ED" w14:textId="2714897D" w:rsidR="00210318" w:rsidRDefault="00816147" w:rsidP="00816147">
      <w:pPr>
        <w:pStyle w:val="BodyTextSMPC"/>
      </w:pPr>
      <w:r w:rsidRPr="00816147">
        <w:t>The recommended maximum daily dose of diclofenac sodium is 150mg</w:t>
      </w:r>
      <w:r w:rsidR="00210318">
        <w:t xml:space="preserve">. </w:t>
      </w:r>
    </w:p>
    <w:p w14:paraId="0C82EF9F" w14:textId="77777777" w:rsidR="00F4390B" w:rsidRPr="00F4390B" w:rsidRDefault="00F4390B" w:rsidP="00F4390B">
      <w:pPr>
        <w:pStyle w:val="BodyTextSMPC"/>
        <w:rPr>
          <w:b/>
          <w:bCs/>
        </w:rPr>
      </w:pPr>
      <w:r w:rsidRPr="00F4390B">
        <w:rPr>
          <w:b/>
          <w:bCs/>
        </w:rPr>
        <w:t xml:space="preserve">Special populations </w:t>
      </w:r>
    </w:p>
    <w:p w14:paraId="162F6E52" w14:textId="77777777" w:rsidR="00F4390B" w:rsidRDefault="00F4390B" w:rsidP="00F4390B">
      <w:pPr>
        <w:pStyle w:val="BodyTextSMPC"/>
      </w:pPr>
      <w:r w:rsidRPr="00F4390B">
        <w:rPr>
          <w:b/>
          <w:bCs/>
        </w:rPr>
        <w:t>Elderly</w:t>
      </w:r>
      <w:r>
        <w:t xml:space="preserve">: </w:t>
      </w:r>
    </w:p>
    <w:p w14:paraId="2EDAD8B2" w14:textId="0D970F4A" w:rsidR="00F4390B" w:rsidRDefault="00F4390B" w:rsidP="00F4390B">
      <w:pPr>
        <w:pStyle w:val="BodyTextSMPC"/>
      </w:pPr>
      <w:r>
        <w:t xml:space="preserve">Although the pharmacokinetics of Diclofenac sodium are not impaired to any clinically relevant extent in elderly patients, nonsteroidal anti-inflammatory drugs should be used with particular caution in such patients who generally are more prone to adverse reactions. In particular it is recommended that the lowest effective dosage be used in frail elderly patients or those with a low body weight (see also precautions) and the patient should be monitored for GI bleeding during NSAID therapy. </w:t>
      </w:r>
    </w:p>
    <w:p w14:paraId="1CB7DED0" w14:textId="77777777" w:rsidR="00F4390B" w:rsidRPr="00F4390B" w:rsidRDefault="00F4390B" w:rsidP="00F4390B">
      <w:pPr>
        <w:pStyle w:val="BodyTextSMPC"/>
        <w:rPr>
          <w:b/>
          <w:bCs/>
        </w:rPr>
      </w:pPr>
      <w:r w:rsidRPr="00F4390B">
        <w:rPr>
          <w:b/>
          <w:bCs/>
        </w:rPr>
        <w:t xml:space="preserve">Cardiovascular and significant cardiovascular risk factors </w:t>
      </w:r>
    </w:p>
    <w:p w14:paraId="0A473E12" w14:textId="0AF6E2C9" w:rsidR="00F4390B" w:rsidRDefault="00F4390B" w:rsidP="00263B77">
      <w:pPr>
        <w:pStyle w:val="BodyTextSMPC"/>
      </w:pPr>
      <w:r>
        <w:t>Diclofenac is contraindicated in patients with established congestive heart failure (NYHA II-IV), ischemic heart disease, peripheral arterial disease and/or cerebrovascular disease (see section 4.3 Contraindications). Patients with congestive heart failure (NYHA-I) or significant risk factors for cardiovascular disease should be treated with diclofenac only after careful consideration. Since cardiovascular risks with diclofenac may increase with dose and duration of exposure, the lowest effective daily dose should be used and for the shortest duration possible (see section 4.4 Special warnings and precautions for use).</w:t>
      </w:r>
    </w:p>
    <w:p w14:paraId="582174C3" w14:textId="2FB0392C" w:rsidR="00F4390B" w:rsidRDefault="00F4390B" w:rsidP="00263B77">
      <w:pPr>
        <w:pStyle w:val="BodyTextSMPC"/>
      </w:pPr>
      <w:r w:rsidRPr="00263B77">
        <w:rPr>
          <w:b/>
          <w:bCs/>
        </w:rPr>
        <w:t>Renal impairment</w:t>
      </w:r>
      <w:r>
        <w:t xml:space="preserve">: Diclofenac is contraindicated in patients with severe renal impairment (see section 4.3). No specific studies have been carried out in patients with renal impairment, therefore, no specific dose adjustment recommendations can be made. Caution is advised when administering diclofenac to patients with mild to moderate renal impairment (see section 4.3 and 4.4). </w:t>
      </w:r>
    </w:p>
    <w:p w14:paraId="3B5E41F2" w14:textId="55E0367B" w:rsidR="00732389" w:rsidRDefault="00F4390B" w:rsidP="00263B77">
      <w:pPr>
        <w:pStyle w:val="BodyTextSMPC"/>
      </w:pPr>
      <w:r w:rsidRPr="00263B77">
        <w:rPr>
          <w:b/>
          <w:bCs/>
        </w:rPr>
        <w:lastRenderedPageBreak/>
        <w:t>Hepatic impairment</w:t>
      </w:r>
      <w:r>
        <w:t xml:space="preserve">: Diclofenac is contraindicated in patients with severe hepatic impairment (see section 4.3). No specific studies have been carried out in patients with hepatic impairment, therefore, no specific dose adjustment recommendations can be made. Caution is advised when administering diclofenac to patients with mild to moderate hepatic impairment (see section 4.3 and 4.4). </w:t>
      </w:r>
      <w:r w:rsidR="00210318">
        <w:t xml:space="preserve"> </w:t>
      </w:r>
      <w:r w:rsidR="00732389">
        <w:t xml:space="preserve"> </w:t>
      </w:r>
    </w:p>
    <w:p w14:paraId="404191A3" w14:textId="692CAA95" w:rsidR="00E86F32" w:rsidRPr="00E86F32" w:rsidRDefault="00E86F32" w:rsidP="00732389">
      <w:pPr>
        <w:pStyle w:val="BodyTextSMPC"/>
        <w:rPr>
          <w:b/>
          <w:bCs/>
        </w:rPr>
      </w:pPr>
      <w:r w:rsidRPr="00E86F32">
        <w:rPr>
          <w:b/>
          <w:bCs/>
        </w:rPr>
        <w:t>Method of administration</w:t>
      </w:r>
    </w:p>
    <w:p w14:paraId="102DDD5D" w14:textId="35A3FB23" w:rsidR="000F022A" w:rsidRDefault="00E86F32" w:rsidP="00E86F32">
      <w:pPr>
        <w:pStyle w:val="BodyTextSMPC"/>
      </w:pPr>
      <w:r>
        <w:t>For oral administration</w:t>
      </w:r>
      <w:r w:rsidR="00E32C2B">
        <w:t xml:space="preserve"> </w:t>
      </w:r>
    </w:p>
    <w:p w14:paraId="551EFB7E" w14:textId="26111CE0" w:rsidR="007B18D7" w:rsidRPr="00E86F32" w:rsidRDefault="00F4390B" w:rsidP="00E86F32">
      <w:pPr>
        <w:pStyle w:val="BodyTextSMPC"/>
      </w:pPr>
      <w:r w:rsidRPr="00F4390B">
        <w:t>To be taken whole with liquid, preferably with or after food</w:t>
      </w:r>
      <w:r w:rsidR="007B18D7">
        <w:t>.</w:t>
      </w:r>
    </w:p>
    <w:p w14:paraId="5B05A77F" w14:textId="77777777" w:rsidR="00671E86" w:rsidRPr="008F5678" w:rsidRDefault="006470B1" w:rsidP="00233A79">
      <w:pPr>
        <w:pStyle w:val="SubHeafingSMPC"/>
      </w:pPr>
      <w:r w:rsidRPr="008F5678">
        <w:t>Contraindications</w:t>
      </w:r>
    </w:p>
    <w:p w14:paraId="4D563304" w14:textId="77777777" w:rsidR="008F276B" w:rsidRDefault="007B18D7" w:rsidP="008F276B">
      <w:pPr>
        <w:pStyle w:val="BodyTextSMPC"/>
      </w:pPr>
      <w:r w:rsidRPr="007B18D7">
        <w:t xml:space="preserve">• </w:t>
      </w:r>
      <w:r w:rsidR="008F276B">
        <w:t xml:space="preserve">Hypersensitivity to the active substance or any of the excipients. </w:t>
      </w:r>
    </w:p>
    <w:p w14:paraId="576A8087" w14:textId="4239A211" w:rsidR="008F276B" w:rsidRDefault="008F276B" w:rsidP="008F276B">
      <w:pPr>
        <w:pStyle w:val="BodyTextSMPC"/>
      </w:pPr>
      <w:r>
        <w:t xml:space="preserve">• Patients who have previously shown hypersensitivity reactions (e.g. asthma, angioedema, urticaria or acute rhinitis) to ibuprofen, aspirin or other non-steroidal anti-inflammatory drugs. Patients with a history of, or active, gastro-intestinal ulcers, bleeding or perforation (two or more distinct episodes of </w:t>
      </w:r>
    </w:p>
    <w:p w14:paraId="2BD1AE82" w14:textId="77777777" w:rsidR="008F276B" w:rsidRDefault="008F276B" w:rsidP="008F276B">
      <w:pPr>
        <w:pStyle w:val="BodyTextSMPC"/>
      </w:pPr>
      <w:r>
        <w:t xml:space="preserve">proven ulceration or bleeding). </w:t>
      </w:r>
    </w:p>
    <w:p w14:paraId="48FCC2ED" w14:textId="380B3EBE" w:rsidR="008F276B" w:rsidRDefault="008F276B" w:rsidP="008F276B">
      <w:pPr>
        <w:pStyle w:val="BodyTextSMPC"/>
      </w:pPr>
      <w:r>
        <w:t xml:space="preserve">• Established congestive heart failure (NYHA II-IV), ischemic heart disease, peripheral arterial disease and/or cerebrovascular disease. </w:t>
      </w:r>
    </w:p>
    <w:p w14:paraId="51758167" w14:textId="2272CD53" w:rsidR="008F276B" w:rsidRDefault="008F276B" w:rsidP="008F276B">
      <w:pPr>
        <w:pStyle w:val="BodyTextSMPC"/>
      </w:pPr>
      <w:r>
        <w:t xml:space="preserve">• Severe hepatic, renal and heart failure (see section 4.4 Special warnings and precautions for use). </w:t>
      </w:r>
    </w:p>
    <w:p w14:paraId="23F2243C" w14:textId="77777777" w:rsidR="008F276B" w:rsidRDefault="008F276B" w:rsidP="008F276B">
      <w:pPr>
        <w:pStyle w:val="BodyTextSMPC"/>
      </w:pPr>
      <w:r>
        <w:t xml:space="preserve">• During the last trimester of pregnancy. </w:t>
      </w:r>
    </w:p>
    <w:p w14:paraId="090425A6" w14:textId="293BBBE0" w:rsidR="008F276B" w:rsidRDefault="008F276B" w:rsidP="008F276B">
      <w:pPr>
        <w:pStyle w:val="BodyTextSMPC"/>
      </w:pPr>
      <w:r>
        <w:t xml:space="preserve">• History of gastrointestinal bleeding or perforation, relating to previous NSAID therapy. </w:t>
      </w:r>
    </w:p>
    <w:p w14:paraId="4D60939E" w14:textId="4CB3619E" w:rsidR="007B18D7" w:rsidRDefault="008F276B" w:rsidP="008F276B">
      <w:pPr>
        <w:pStyle w:val="BodyTextSMPC"/>
      </w:pPr>
      <w:r>
        <w:t>• Acute porphyria</w:t>
      </w:r>
      <w:r w:rsidR="007B18D7">
        <w:t>.</w:t>
      </w:r>
    </w:p>
    <w:p w14:paraId="6955ACE4" w14:textId="77777777" w:rsidR="00A144D2" w:rsidRPr="008F5678" w:rsidRDefault="006470B1" w:rsidP="00671E86">
      <w:pPr>
        <w:pStyle w:val="SubHeafingSMPC"/>
      </w:pPr>
      <w:r w:rsidRPr="008F5678">
        <w:t xml:space="preserve">Special warnings and precautions for use </w:t>
      </w:r>
    </w:p>
    <w:p w14:paraId="215EDA84" w14:textId="77777777" w:rsidR="008F276B" w:rsidRDefault="008F276B" w:rsidP="008F276B">
      <w:pPr>
        <w:pStyle w:val="BodyTextSMPC"/>
      </w:pPr>
      <w:r w:rsidRPr="008F276B">
        <w:rPr>
          <w:b/>
          <w:bCs/>
        </w:rPr>
        <w:t>Warnings</w:t>
      </w:r>
      <w:r>
        <w:t xml:space="preserve">: </w:t>
      </w:r>
    </w:p>
    <w:p w14:paraId="4EF1D01F" w14:textId="77777777" w:rsidR="008F276B" w:rsidRDefault="008F276B" w:rsidP="008F276B">
      <w:pPr>
        <w:pStyle w:val="BodyTextSMPC"/>
      </w:pPr>
      <w:r>
        <w:t xml:space="preserve">In all patients: </w:t>
      </w:r>
    </w:p>
    <w:p w14:paraId="41129CA1" w14:textId="3624BB6B" w:rsidR="008F276B" w:rsidRDefault="008F276B" w:rsidP="008F276B">
      <w:pPr>
        <w:pStyle w:val="BodyTextSMPC"/>
      </w:pPr>
      <w:r>
        <w:lastRenderedPageBreak/>
        <w:t xml:space="preserve">Undesirable effects may be </w:t>
      </w:r>
      <w:proofErr w:type="spellStart"/>
      <w:r>
        <w:t>minimised</w:t>
      </w:r>
      <w:proofErr w:type="spellEnd"/>
      <w:r>
        <w:t xml:space="preserve"> by using the lowest effective dose for the shortest duration necessary to control symptoms (see section 4.2 Posology and method of administration and GI and cardiovascular risks below). </w:t>
      </w:r>
    </w:p>
    <w:p w14:paraId="2E2D4D86" w14:textId="052B3F13" w:rsidR="008F276B" w:rsidRDefault="008F276B" w:rsidP="008F276B">
      <w:pPr>
        <w:pStyle w:val="BodyTextSMPC"/>
      </w:pPr>
      <w:r>
        <w:t xml:space="preserve">The use of diclofenac with concomitant NSAIDs including cyclo-oxygenase-2- selective inhibitors should be avoided (see section 4.5 Interactions with other medicaments and other forms of interaction) </w:t>
      </w:r>
    </w:p>
    <w:p w14:paraId="7DCFB050" w14:textId="33D248DE" w:rsidR="008F276B" w:rsidRDefault="008F276B" w:rsidP="008F276B">
      <w:pPr>
        <w:pStyle w:val="BodyTextSMPC"/>
      </w:pPr>
      <w:r>
        <w:t xml:space="preserve">As with other NSAIDs, allergic reactions, including anaphylactic/anaphylactoid reactions, can also occur in rare cases with diclofenac without earlier exposure to the drug. Hypersensitivity reactions can also progress to </w:t>
      </w:r>
      <w:proofErr w:type="spellStart"/>
      <w:r>
        <w:t>Kounis</w:t>
      </w:r>
      <w:proofErr w:type="spellEnd"/>
      <w:r>
        <w:t xml:space="preserve"> syndrome, a serious allergic reaction that can result in myocardial infarction. Presenting symptoms of such reactions can include chest pain occurring in association with an allergic reaction to diclofenac. </w:t>
      </w:r>
    </w:p>
    <w:p w14:paraId="6C78ECBD" w14:textId="77AB9CB4" w:rsidR="008F276B" w:rsidRDefault="008F276B" w:rsidP="008F276B">
      <w:pPr>
        <w:pStyle w:val="BodyTextSMPC"/>
      </w:pPr>
      <w:r>
        <w:t>Elderly: The elderly have an increased frequency of adverse reactions to NSAIDs especially to gastrointestinal bleeding and perforation which may be fatal (see section 4.2 Posology and method of administration).</w:t>
      </w:r>
    </w:p>
    <w:p w14:paraId="0BF7897D" w14:textId="3DDC2282" w:rsidR="008F276B" w:rsidRDefault="008F276B" w:rsidP="008F276B">
      <w:pPr>
        <w:pStyle w:val="BodyTextSMPC"/>
      </w:pPr>
      <w:r>
        <w:t xml:space="preserve">Gastro-intestinal: As with other NSAIDs, including diclofenac close medical surveillance is imperative in patients with symptoms indicative of gastro-intestinal disorders, with a history suggestive of gastro-intestinal ulceration, with ulcerative colitis or with Crohn's disease as these conditions may be exacerbated (see section 4.8 Undesirable effects). </w:t>
      </w:r>
    </w:p>
    <w:p w14:paraId="7C33DFB8" w14:textId="4124A999" w:rsidR="008F276B" w:rsidRDefault="008F276B" w:rsidP="008F276B">
      <w:pPr>
        <w:pStyle w:val="BodyTextSMPC"/>
      </w:pPr>
      <w:r>
        <w:t xml:space="preserve">Patients with a history of GI toxicity, particularly when elderly, should report any unusual abdominal symptoms (especially GI bleeding). </w:t>
      </w:r>
    </w:p>
    <w:p w14:paraId="5DF00DFE" w14:textId="19A03A93" w:rsidR="008F276B" w:rsidRDefault="008F276B" w:rsidP="00415F30">
      <w:pPr>
        <w:pStyle w:val="BodyTextSMPC"/>
      </w:pPr>
      <w:r>
        <w:t xml:space="preserve">Gastro-intestinal bleeding or ulceration/perforation: </w:t>
      </w:r>
      <w:proofErr w:type="spellStart"/>
      <w:r>
        <w:t>Haematemesis</w:t>
      </w:r>
      <w:proofErr w:type="spellEnd"/>
      <w:r>
        <w:t xml:space="preserve">, melaena, ulceration or perforation which can be fatal has been reported with all NSAIDs including diclofenac. They can occur at any time during treatment with or without warning symptoms or a previous history of serious GI events. In the rare instances where gastro-intestinal bleeding or ulceration occurs in patients receiving diclofenac sodium the drug should be withdrawn. The risk of GI bleeding, ulceration or perforation is higher with increasing NSAID doses including diclofenac, in patients with a history of ulcer, particularly if complicated with </w:t>
      </w:r>
      <w:proofErr w:type="spellStart"/>
      <w:r>
        <w:t>haemorrhage</w:t>
      </w:r>
      <w:proofErr w:type="spellEnd"/>
      <w:r>
        <w:t xml:space="preserve"> or perforation (see section 4.3 Contraindications), and in </w:t>
      </w:r>
      <w:r>
        <w:lastRenderedPageBreak/>
        <w:t>the elderly. These patients should commence treatment on the lowest dose available. Combination therapy with protective agents (e.g. misoprostol or proton pump inhibitors) should be considered for these patients, and also for patients requiring concomitant low dose aspirin or other drugs likely to increase gastrointestinal risk (see below and section 4.5 Interactions with other medicaments and other forms of interaction). NSAIDs, including diclofenac, may be associated with increased risk of gastro</w:t>
      </w:r>
      <w:r w:rsidR="00415F30">
        <w:t>-</w:t>
      </w:r>
      <w:r>
        <w:t xml:space="preserve">intestinal anastomotic leak. Close medical surveillance and caution are recommended when using diclofenac after gastro-intestinal surgery. </w:t>
      </w:r>
    </w:p>
    <w:p w14:paraId="787FD135" w14:textId="79BFC86F" w:rsidR="008F276B" w:rsidRDefault="008F276B" w:rsidP="00415F30">
      <w:pPr>
        <w:pStyle w:val="BodyTextSMPC"/>
      </w:pPr>
      <w:r>
        <w:t xml:space="preserve">Caution should be advised in patients receiving concomitant medications which could increase the risk of ulceration or bleeding, such as systemic corticosteroids, anticoagulants such as warfarin, selective serotonin-reuptake inhibitors (SSRIs) or anti-platelet agents such as aspirin (see section 4.5 Interaction with other medicaments and other forms of interaction). </w:t>
      </w:r>
    </w:p>
    <w:p w14:paraId="5C5F8D4F" w14:textId="4561CC98" w:rsidR="008F276B" w:rsidRDefault="008F276B" w:rsidP="00CA3714">
      <w:pPr>
        <w:pStyle w:val="BodyTextSMPC"/>
      </w:pPr>
      <w:r>
        <w:t>Hepatic: Close medical surveillance is also imperative in patients suffering from impairment of hepatic function.</w:t>
      </w:r>
    </w:p>
    <w:p w14:paraId="4DE8166E" w14:textId="21378558" w:rsidR="008F276B" w:rsidRDefault="008F276B" w:rsidP="00415F30">
      <w:pPr>
        <w:pStyle w:val="BodyTextSMPC"/>
      </w:pPr>
      <w:r>
        <w:t xml:space="preserve">Hypersensitivity reactions: As with other non-steroidal anti-inflammatory drugs including diclofenac, allergic reactions, including anaphylactic/anaphylactoid reactions, can also occur without earlier exposure to the drug (see section 4.8 Undesirable effects). </w:t>
      </w:r>
    </w:p>
    <w:p w14:paraId="2E0F0955" w14:textId="2C82B33B" w:rsidR="008F276B" w:rsidRDefault="008F276B" w:rsidP="00415F30">
      <w:pPr>
        <w:pStyle w:val="BodyTextSMPC"/>
      </w:pPr>
      <w:r>
        <w:t>In patients with asthma, seasonal allergic rhinitis, swelling of the nasal mucosa (</w:t>
      </w:r>
      <w:proofErr w:type="spellStart"/>
      <w:r>
        <w:t>ie</w:t>
      </w:r>
      <w:proofErr w:type="spellEnd"/>
      <w:r>
        <w:t xml:space="preserve"> nasal polyps), chronic obstructive pulmonary diseases or chronic infections of the respiratory tract (especially if linked to allergic rhinitis-like symptoms), reactions with NSAIDs such as exacerbation of asthma (so called intolerance to analgesics / analgesics-asthma), Quincke’s oedema (angioedema) or urticaria are more frequent than in other patients. Therefore special precautions are recommended in such patients (readiness for emergency). This is also applicable to patients who are allergic to other substances, for example those with skin reactions, pruritis or urticaria. </w:t>
      </w:r>
    </w:p>
    <w:p w14:paraId="3AC90C67" w14:textId="2D22A05F" w:rsidR="008F276B" w:rsidRDefault="008F276B" w:rsidP="00415F30">
      <w:pPr>
        <w:pStyle w:val="BodyTextSMPC"/>
      </w:pPr>
      <w:r>
        <w:t xml:space="preserve">As with other NSAIDs, diclofenac sodium may mask the signs and symptoms of infection due to its pharmacodynamic properties. </w:t>
      </w:r>
    </w:p>
    <w:p w14:paraId="4DEDA854" w14:textId="246F305C" w:rsidR="008F276B" w:rsidRDefault="008F276B" w:rsidP="008F276B">
      <w:pPr>
        <w:pStyle w:val="BodyTextSMPC"/>
      </w:pPr>
      <w:r w:rsidRPr="00415F30">
        <w:rPr>
          <w:b/>
          <w:bCs/>
        </w:rPr>
        <w:t>Precautions</w:t>
      </w:r>
      <w:r>
        <w:t>:</w:t>
      </w:r>
    </w:p>
    <w:p w14:paraId="65D845B5" w14:textId="3938A8C7" w:rsidR="008F276B" w:rsidRDefault="008F276B" w:rsidP="00415F30">
      <w:pPr>
        <w:pStyle w:val="BodyTextSMPC"/>
      </w:pPr>
      <w:r>
        <w:lastRenderedPageBreak/>
        <w:t>Renal: Patients with renal, cardiac or hepatic impairment, a history of hypertension and the elderly, should be kept under surveillance, since the use of NSAIDs including diclofenac may result in deterioration of renal function. The lowest effective dose should be used and renal function monitored.</w:t>
      </w:r>
    </w:p>
    <w:p w14:paraId="7B62FA28" w14:textId="15446256" w:rsidR="008F276B" w:rsidRDefault="008F276B" w:rsidP="00415F30">
      <w:pPr>
        <w:pStyle w:val="BodyTextSMPC"/>
      </w:pPr>
      <w:r>
        <w:t xml:space="preserve">The importance of prostaglandins in maintaining renal blood flow should be taken into account in patients with impaired cardiac or renal function, those being treated with diuretics or other products that can significantly impact renal function, or those recovering from major surgery. Effects on renal function are usually reversible on withdrawal of diclofenac sodium. </w:t>
      </w:r>
    </w:p>
    <w:p w14:paraId="57DF3600" w14:textId="5F3EBFAC" w:rsidR="008F276B" w:rsidRDefault="008F276B" w:rsidP="00415F30">
      <w:pPr>
        <w:pStyle w:val="BodyTextSMPC"/>
      </w:pPr>
      <w:r>
        <w:t>Long-term treatment: All patients who are receiving non-steroidal anti</w:t>
      </w:r>
      <w:r w:rsidR="00415F30">
        <w:t>-</w:t>
      </w:r>
      <w:r>
        <w:t xml:space="preserve">inflammatory agents should be monitored as a precautionary measure e.g. renal function, hepatic function (elevation of liver enzymes may occur) and blood counts. This is particularly important in the elderly. </w:t>
      </w:r>
    </w:p>
    <w:p w14:paraId="221F5AF3" w14:textId="51984845" w:rsidR="008F276B" w:rsidRDefault="008F276B" w:rsidP="00415F30">
      <w:pPr>
        <w:pStyle w:val="BodyTextSMPC"/>
      </w:pPr>
      <w:r>
        <w:t xml:space="preserve">Hepatic: If abnormal liver function tests persist or worsen, clinical signs or symptoms consistent with liver disease develop or if other manifestations occur (eosinophilia, rash), diclofenac sodium should be discontinued. </w:t>
      </w:r>
    </w:p>
    <w:p w14:paraId="72880580" w14:textId="1AD33E2E" w:rsidR="008F276B" w:rsidRDefault="008F276B" w:rsidP="00415F30">
      <w:pPr>
        <w:pStyle w:val="BodyTextSMPC"/>
      </w:pPr>
      <w:r>
        <w:t xml:space="preserve">Hepatitis may occur with diclofenac without prodromal symptoms. Use of diclofenac sodium in patients with hepatic porphyria may trigger an attack. Use in acute porphyria is contraindicated. </w:t>
      </w:r>
    </w:p>
    <w:p w14:paraId="5249A669" w14:textId="3A89865F" w:rsidR="008F276B" w:rsidRDefault="008F276B" w:rsidP="00415F30">
      <w:pPr>
        <w:pStyle w:val="BodyTextSMPC"/>
      </w:pPr>
      <w:proofErr w:type="spellStart"/>
      <w:r>
        <w:t>Haematological</w:t>
      </w:r>
      <w:proofErr w:type="spellEnd"/>
      <w:r>
        <w:t xml:space="preserve">: Diclofenac sodium may reversibly inhibit platelet aggregation (see anticoagulants in Section 4.5 Interaction with other medicaments and other forms of interactions). Patients with defects of </w:t>
      </w:r>
      <w:proofErr w:type="spellStart"/>
      <w:r>
        <w:t>haemostasis</w:t>
      </w:r>
      <w:proofErr w:type="spellEnd"/>
      <w:r>
        <w:t xml:space="preserve">, bleeding diathesis or </w:t>
      </w:r>
      <w:proofErr w:type="spellStart"/>
      <w:r>
        <w:t>haematological</w:t>
      </w:r>
      <w:proofErr w:type="spellEnd"/>
      <w:r>
        <w:t xml:space="preserve"> abnormalities should be carefully monitored. </w:t>
      </w:r>
    </w:p>
    <w:p w14:paraId="676789A8" w14:textId="17ECF1AB" w:rsidR="008F276B" w:rsidRDefault="008F276B" w:rsidP="00415F30">
      <w:pPr>
        <w:pStyle w:val="BodyTextSMPC"/>
      </w:pPr>
      <w:r>
        <w:t>Respiratory disorders: Like other drugs that inhibit prostaglandin synthetase activity, diclofenac sodium and other NSAIDs can precipitate bronchospasm if administered to patients suffering from, or with a previous history of, bronchial asthma.</w:t>
      </w:r>
    </w:p>
    <w:p w14:paraId="32C0A678" w14:textId="707BE701" w:rsidR="008F276B" w:rsidRDefault="008F276B" w:rsidP="00415F30">
      <w:pPr>
        <w:pStyle w:val="BodyTextSMPC"/>
      </w:pPr>
      <w:r>
        <w:t xml:space="preserve">Cardiovascular and cerebrovascular effects: Appropriate monitoring and advice are required for patients with a history of hypertension and/or mild to moderate congestive heart failure as fluid retention and oedema </w:t>
      </w:r>
      <w:r>
        <w:lastRenderedPageBreak/>
        <w:t xml:space="preserve">have been reported in association with NSAID therapy including diclofenac. Clinical trial and epidemiological data suggest that use of diclofenac, particularly at high doses (150mg daily) and in long term treatment may be associated with a small increased risk of arterial thrombotic events (for example myocardial infarction or stroke). </w:t>
      </w:r>
    </w:p>
    <w:p w14:paraId="297BCC4F" w14:textId="026A0727" w:rsidR="008F276B" w:rsidRDefault="008F276B" w:rsidP="00415F30">
      <w:pPr>
        <w:pStyle w:val="BodyTextSMPC"/>
      </w:pPr>
      <w:r>
        <w:t xml:space="preserve">Patients with uncontrolled hypertension, congestive heart failure, established </w:t>
      </w:r>
      <w:proofErr w:type="spellStart"/>
      <w:r>
        <w:t>ischaemic</w:t>
      </w:r>
      <w:proofErr w:type="spellEnd"/>
      <w:r>
        <w:t xml:space="preserve"> heart disease, peripheral arterial disease, and/or cerebrovascular disease should only be treated with diclofenac after careful consideration. </w:t>
      </w:r>
    </w:p>
    <w:p w14:paraId="0DFF6DA9" w14:textId="187E17A4" w:rsidR="008F276B" w:rsidRDefault="008F276B" w:rsidP="00415F30">
      <w:pPr>
        <w:pStyle w:val="BodyTextSMPC"/>
      </w:pPr>
      <w:r>
        <w:t xml:space="preserve">Patients with significant risk factors for cardiovascular events (e.g. hypertension, </w:t>
      </w:r>
      <w:proofErr w:type="spellStart"/>
      <w:r>
        <w:t>hyperlipidaemia</w:t>
      </w:r>
      <w:proofErr w:type="spellEnd"/>
      <w:r>
        <w:t xml:space="preserve">, diabetes mellitus, smoking) should only be treated with diclofenac after careful consideration. </w:t>
      </w:r>
    </w:p>
    <w:p w14:paraId="34C70D56" w14:textId="5EC7F3BF" w:rsidR="008F276B" w:rsidRDefault="008F276B" w:rsidP="003E51AD">
      <w:pPr>
        <w:pStyle w:val="BodyTextSMPC"/>
      </w:pPr>
      <w:r>
        <w:t xml:space="preserve">As the cardiovascular risks of diclofenac may increase with dose and duration of exposure, the shortest duration possible and the lowest effective daily dose should be used. The patient's need for symptomatic relief and response to therapy should be re-evaluated periodically. </w:t>
      </w:r>
    </w:p>
    <w:p w14:paraId="30F2B1BD" w14:textId="79AC09C7" w:rsidR="008F276B" w:rsidRDefault="008F276B" w:rsidP="003E51AD">
      <w:pPr>
        <w:pStyle w:val="BodyTextSMPC"/>
      </w:pPr>
      <w:r>
        <w:t xml:space="preserve">SLE and mixed connective tissue disease: In patients with systemic lupus erythematosus (SLE) and mixed connective tissue disorders there may be an increased risk of aseptic meningitis (see section 4.8 Undesirable effects). </w:t>
      </w:r>
    </w:p>
    <w:p w14:paraId="5CE10099" w14:textId="3A9BA775" w:rsidR="008F276B" w:rsidRDefault="008F276B" w:rsidP="003E51AD">
      <w:pPr>
        <w:pStyle w:val="BodyTextSMPC"/>
      </w:pPr>
      <w:r>
        <w:t xml:space="preserve">Dermatological: Serious skin reactions, some of them fatal, including exfoliative dermatitis, Stevens-Johnson syndrome and toxic epidermal necrolysis, have been reported very rarely in association with the use of NSAIDs, including diclofenac (see section 4.8 Undesirable effects). Patients appear to be at the highest risk of these reactions early in the course of therapy, the onset of the reaction occurring in the majority of cases within the first month of treatment. Diclofenac should be discontinued at the first appearance of skin rash, mucosal lesions or any other signs of hypersensitivity. </w:t>
      </w:r>
    </w:p>
    <w:p w14:paraId="01B9360E" w14:textId="760CBDD6" w:rsidR="00AF364C" w:rsidRPr="006101D5" w:rsidRDefault="008F276B" w:rsidP="003E51AD">
      <w:pPr>
        <w:pStyle w:val="BodyTextSMPC"/>
      </w:pPr>
      <w:r>
        <w:t>Female fertility: The use of diclofenac sodium may impair female fertility and is not recommended in women attempting to conceive. In women who may have difficulties conceiving or who are undergoing investigation of infertility, withdrawal of diclofenac sodium should be considered.</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6470B1" w:rsidP="00B755AE">
      <w:pPr>
        <w:pStyle w:val="SubHeafingSMPC"/>
      </w:pPr>
      <w:r w:rsidRPr="008F5678">
        <w:t xml:space="preserve">Interaction with other medicinal products and other forms of interaction </w:t>
      </w:r>
    </w:p>
    <w:p w14:paraId="2855E26C" w14:textId="77777777" w:rsidR="003B525B" w:rsidRDefault="003B525B" w:rsidP="003B525B">
      <w:pPr>
        <w:pStyle w:val="BodyTextSMPC"/>
      </w:pPr>
      <w:r>
        <w:t xml:space="preserve">Lithium: Diclofenac sodium may increase plasma concentrations of lithium. </w:t>
      </w:r>
    </w:p>
    <w:p w14:paraId="06124F60" w14:textId="34AE06D8" w:rsidR="003B525B" w:rsidRDefault="003B525B" w:rsidP="003B525B">
      <w:pPr>
        <w:pStyle w:val="BodyTextSMPC"/>
      </w:pPr>
      <w:r>
        <w:t xml:space="preserve">Anticoagulants and anti-platelet agents: Caution is recommended since concomitant administration could increase the risk of bleeding. Although clinical investigations do not appear to indicate that diclofenac affects the action of anticoagulants, there are reports of an increased risk of </w:t>
      </w:r>
      <w:proofErr w:type="spellStart"/>
      <w:r>
        <w:t>haemorrhage</w:t>
      </w:r>
      <w:proofErr w:type="spellEnd"/>
      <w:r>
        <w:t xml:space="preserve"> in patients receiving diclofenac and anticoagulants concomitantly. Close monitoring of such patients is therefore recommended. As with other non-steroidal anti-inflammatory agents, diclofenac in a high dose can reversibly inhibit platelet aggregation. </w:t>
      </w:r>
    </w:p>
    <w:p w14:paraId="4832DE36" w14:textId="740B9935" w:rsidR="003B525B" w:rsidRDefault="003B525B" w:rsidP="003B525B">
      <w:pPr>
        <w:pStyle w:val="BodyTextSMPC"/>
      </w:pPr>
      <w:r>
        <w:t xml:space="preserve">Antidiabetic agents: Clinical studies have shown that diclofenac sodium can be given together with oral antidiabetic agents without influencing their clinical effect. However there have been isolated reports of </w:t>
      </w:r>
      <w:proofErr w:type="spellStart"/>
      <w:r>
        <w:t>hypoglycaemic</w:t>
      </w:r>
      <w:proofErr w:type="spellEnd"/>
      <w:r>
        <w:t xml:space="preserve"> and </w:t>
      </w:r>
      <w:proofErr w:type="spellStart"/>
      <w:r>
        <w:t>hyperglycaemic</w:t>
      </w:r>
      <w:proofErr w:type="spellEnd"/>
      <w:r>
        <w:t xml:space="preserve"> effects which have required adjustment to the dosage of </w:t>
      </w:r>
      <w:proofErr w:type="spellStart"/>
      <w:r>
        <w:t>hypoglycaemic</w:t>
      </w:r>
      <w:proofErr w:type="spellEnd"/>
      <w:r>
        <w:t xml:space="preserve"> agents. </w:t>
      </w:r>
    </w:p>
    <w:p w14:paraId="1D6A3D71" w14:textId="6B2AE84D" w:rsidR="003B525B" w:rsidRDefault="003B525B" w:rsidP="003B525B">
      <w:pPr>
        <w:pStyle w:val="BodyTextSMPC"/>
      </w:pPr>
      <w:r>
        <w:t xml:space="preserve">Ciclosporin and tacrolimus: Cases of nephrotoxicity have been reported in patients receiving concomitant ciclosporin and NSAIDs, including diclofenac sodium. Possible increased risk of nephrotoxicity when NSAIDs are given with tacrolimus. This might be mediated through combined renal anti-prostaglandin effects of both the NSAID and calcineurin inhibitor. </w:t>
      </w:r>
    </w:p>
    <w:p w14:paraId="438125B5" w14:textId="703B4BAB" w:rsidR="003B525B" w:rsidRDefault="003B525B" w:rsidP="003B525B">
      <w:pPr>
        <w:pStyle w:val="BodyTextSMPC"/>
      </w:pPr>
      <w:r>
        <w:t xml:space="preserve">Methotrexate: Cases of serious toxicity have been reported when methotrexate and NSAIDs including diclofenac are given within 24 hours of each other. This interaction is mediated through accumulation of methotrexate resulting from impairment of renal excretion in the presence of the NSAID. </w:t>
      </w:r>
    </w:p>
    <w:p w14:paraId="5AB7A9E7" w14:textId="4A9BF81D" w:rsidR="003B525B" w:rsidRDefault="003B525B" w:rsidP="003B525B">
      <w:pPr>
        <w:pStyle w:val="BodyTextSMPC"/>
      </w:pPr>
      <w:r>
        <w:t xml:space="preserve">Quinolone antimicrobials: Convulsions may occur due to an interaction between quinolones and NSAIDs. This may occur in patients with or without a previous history of epilepsy or convulsions. Therefore, caution </w:t>
      </w:r>
      <w:r>
        <w:lastRenderedPageBreak/>
        <w:t xml:space="preserve">should be exercised when considering the use of a quinolone in patients already receiving an NSAID. </w:t>
      </w:r>
    </w:p>
    <w:p w14:paraId="52FDF7CE" w14:textId="77777777" w:rsidR="003B525B" w:rsidRPr="003B525B" w:rsidRDefault="003B525B" w:rsidP="003B525B">
      <w:pPr>
        <w:pStyle w:val="BodyTextSMPC"/>
        <w:rPr>
          <w:u w:val="single"/>
        </w:rPr>
      </w:pPr>
      <w:r w:rsidRPr="003B525B">
        <w:rPr>
          <w:u w:val="single"/>
        </w:rPr>
        <w:t>Potent CYP2C9 inhibitors</w:t>
      </w:r>
    </w:p>
    <w:p w14:paraId="00161A43" w14:textId="0CDC88FB" w:rsidR="003B525B" w:rsidRDefault="003B525B" w:rsidP="003B525B">
      <w:pPr>
        <w:pStyle w:val="BodyTextSMPC"/>
      </w:pPr>
      <w:r>
        <w:t xml:space="preserve">Caution is recommended when co-prescribing diclofenac with potent CYP2C9 inhibitors (such as sulfinpyrazone and voriconazole), which could result in a significant increase in peak plasma concentrations and exposure to diclofenac due to inhibition of diclofenac metabolism. </w:t>
      </w:r>
    </w:p>
    <w:p w14:paraId="6AFA270C" w14:textId="77777777" w:rsidR="003B525B" w:rsidRPr="003B525B" w:rsidRDefault="003B525B" w:rsidP="003B525B">
      <w:pPr>
        <w:pStyle w:val="BodyTextSMPC"/>
        <w:rPr>
          <w:u w:val="single"/>
        </w:rPr>
      </w:pPr>
      <w:r w:rsidRPr="003B525B">
        <w:rPr>
          <w:u w:val="single"/>
        </w:rPr>
        <w:t>Phenytoin</w:t>
      </w:r>
    </w:p>
    <w:p w14:paraId="51DD8E0C" w14:textId="77777777" w:rsidR="003B525B" w:rsidRDefault="003B525B" w:rsidP="003B525B">
      <w:pPr>
        <w:pStyle w:val="BodyTextSMPC"/>
      </w:pPr>
      <w:r>
        <w:t xml:space="preserve">When using phenytoin concomitantly with diclofenac, monitoring of phenytoin plasma concentrations is recommended due to an expected increase in exposure to phenytoin. </w:t>
      </w:r>
    </w:p>
    <w:p w14:paraId="63E8D188" w14:textId="77777777" w:rsidR="003B525B" w:rsidRDefault="003B525B" w:rsidP="003B525B">
      <w:pPr>
        <w:pStyle w:val="BodyTextSMPC"/>
      </w:pPr>
      <w:r>
        <w:t xml:space="preserve">Other NSAIDs including cyclo-oxygenase-2 selective inhibitors and corticosteroids: Co-administration of diclofenac sodium with these agents may increase the risk of gastro-intestinal bleeding or ulceration. Avoid concomitant use of two or more NSAIDs (see section 4.4 Special warnings and precautions for use). </w:t>
      </w:r>
    </w:p>
    <w:p w14:paraId="5C5B14AF" w14:textId="690FDA21" w:rsidR="003B525B" w:rsidRDefault="003B525B" w:rsidP="003B525B">
      <w:pPr>
        <w:pStyle w:val="BodyTextSMPC"/>
      </w:pPr>
      <w:r>
        <w:t xml:space="preserve">Anti-platelet agents and selective serotonin reuptake inhibitors (SSRIs): Concomitant administration of systemic NSAIDs, including diclofenac may cause increased risk of gastrointestinal bleeding (see section 4.4 Special warnings and precautions for use). </w:t>
      </w:r>
    </w:p>
    <w:p w14:paraId="09DBE2C7" w14:textId="37A0A334" w:rsidR="003B525B" w:rsidRDefault="003B525B" w:rsidP="003B525B">
      <w:pPr>
        <w:pStyle w:val="BodyTextSMPC"/>
      </w:pPr>
      <w:r>
        <w:t xml:space="preserve">Diuretics: Like other NSAIDs, diclofenac sodium may inhibit the activity of diuretics. Concomitant treatment with potassium-sparing diuretics may be associated with increased serum potassium levels, which should therefore be monitored frequently. </w:t>
      </w:r>
    </w:p>
    <w:p w14:paraId="2987A7B4" w14:textId="267446F3" w:rsidR="003B525B" w:rsidRDefault="003B525B" w:rsidP="003B525B">
      <w:pPr>
        <w:pStyle w:val="BodyTextSMPC"/>
      </w:pPr>
      <w:r>
        <w:t xml:space="preserve">Antihypertensives: Concomitant use of NSAIDs with antihypertensive drugs (i.e. beta-blockers, angiotensin converting enzyme (ACE) inhibitors, diuretics) may cause a decrease in their antihypertensive effect via inhibition of vasodilatory prostaglandin synthesis. </w:t>
      </w:r>
    </w:p>
    <w:p w14:paraId="097EEA4D" w14:textId="0A988DA8" w:rsidR="003B525B" w:rsidRDefault="003B525B" w:rsidP="003B525B">
      <w:pPr>
        <w:pStyle w:val="BodyTextSMPC"/>
      </w:pPr>
      <w:r>
        <w:t xml:space="preserve">Cardiac glycosides: Concomitant use of cardiac glycosides and NSAIDs in patients may exacerbate cardiac failure, reduce GFR and increase plasma glycoside levels. </w:t>
      </w:r>
    </w:p>
    <w:p w14:paraId="4A75E409" w14:textId="197F299F" w:rsidR="003B525B" w:rsidRDefault="003B525B" w:rsidP="003B525B">
      <w:pPr>
        <w:pStyle w:val="BodyTextSMPC"/>
      </w:pPr>
      <w:r>
        <w:lastRenderedPageBreak/>
        <w:t xml:space="preserve">Mifepristone: NSAIDs should not be used for 8-12 days after mifepristone administration as NSAIDs can reduce the effects of mifepristone. </w:t>
      </w:r>
    </w:p>
    <w:p w14:paraId="24D26450" w14:textId="3E6C6618" w:rsidR="003B525B" w:rsidRDefault="003B525B" w:rsidP="003B525B">
      <w:pPr>
        <w:pStyle w:val="BodyTextSMPC"/>
      </w:pPr>
      <w:r>
        <w:t xml:space="preserve">Baclofen: NSAIDs possibly reduce excretion of baclofen (increased risk of toxicity). </w:t>
      </w:r>
    </w:p>
    <w:p w14:paraId="7AF53D7C" w14:textId="5F957C6F" w:rsidR="003B525B" w:rsidRDefault="003B525B" w:rsidP="003B525B">
      <w:pPr>
        <w:pStyle w:val="BodyTextSMPC"/>
      </w:pPr>
      <w:proofErr w:type="spellStart"/>
      <w:r>
        <w:t>Drospirenone</w:t>
      </w:r>
      <w:proofErr w:type="spellEnd"/>
      <w:r>
        <w:t xml:space="preserve">: Risk of </w:t>
      </w:r>
      <w:proofErr w:type="spellStart"/>
      <w:r>
        <w:t>hyperkalaemia</w:t>
      </w:r>
      <w:proofErr w:type="spellEnd"/>
      <w:r>
        <w:t xml:space="preserve"> when given with </w:t>
      </w:r>
      <w:proofErr w:type="spellStart"/>
      <w:r>
        <w:t>drospirenone</w:t>
      </w:r>
      <w:proofErr w:type="spellEnd"/>
      <w:r>
        <w:t xml:space="preserve"> (monitor serum potassium during first cycle). </w:t>
      </w:r>
    </w:p>
    <w:p w14:paraId="2D44B94E" w14:textId="77777777" w:rsidR="003B525B" w:rsidRDefault="003B525B" w:rsidP="003B525B">
      <w:pPr>
        <w:pStyle w:val="BodyTextSMPC"/>
      </w:pPr>
      <w:r>
        <w:t xml:space="preserve">Ketorolac: Increased side effects and </w:t>
      </w:r>
      <w:proofErr w:type="spellStart"/>
      <w:r>
        <w:t>haemorrhage</w:t>
      </w:r>
      <w:proofErr w:type="spellEnd"/>
      <w:r>
        <w:t xml:space="preserve"> if used with NSAIDs. </w:t>
      </w:r>
    </w:p>
    <w:p w14:paraId="4085B788" w14:textId="77777777" w:rsidR="003B525B" w:rsidRDefault="003B525B" w:rsidP="003B525B">
      <w:pPr>
        <w:pStyle w:val="BodyTextSMPC"/>
      </w:pPr>
      <w:r>
        <w:t xml:space="preserve">Penicillamine: Possible increased risk of nephrotoxicity. </w:t>
      </w:r>
    </w:p>
    <w:p w14:paraId="5080AF5C" w14:textId="3223B9F9" w:rsidR="003B525B" w:rsidRDefault="003B525B" w:rsidP="00B43ABA">
      <w:pPr>
        <w:pStyle w:val="BodyTextSMPC"/>
      </w:pPr>
      <w:r>
        <w:t xml:space="preserve">Erlotinib, </w:t>
      </w:r>
      <w:proofErr w:type="spellStart"/>
      <w:r>
        <w:t>iloprost</w:t>
      </w:r>
      <w:proofErr w:type="spellEnd"/>
      <w:r>
        <w:t xml:space="preserve">, pentoxifylline, sibutramine, venlafaxine: Possible increased risk of bleeding. </w:t>
      </w:r>
    </w:p>
    <w:p w14:paraId="73D42ACB" w14:textId="77777777" w:rsidR="003B525B" w:rsidRDefault="003B525B" w:rsidP="003B525B">
      <w:pPr>
        <w:pStyle w:val="BodyTextSMPC"/>
      </w:pPr>
      <w:r>
        <w:t xml:space="preserve">Phenytoin: NSAIDS possibly enhance effects of phenytoin. </w:t>
      </w:r>
    </w:p>
    <w:p w14:paraId="566A5548" w14:textId="2F746338" w:rsidR="003B525B" w:rsidRDefault="003B525B" w:rsidP="00B43ABA">
      <w:pPr>
        <w:pStyle w:val="BodyTextSMPC"/>
      </w:pPr>
      <w:r>
        <w:t xml:space="preserve">Ritonavir: Plasma concentration of NSAIDs possibly increased by ritonavir. </w:t>
      </w:r>
    </w:p>
    <w:p w14:paraId="671F337F" w14:textId="1F0F27D9" w:rsidR="003B51C2" w:rsidRDefault="003B525B" w:rsidP="00B43ABA">
      <w:pPr>
        <w:pStyle w:val="BodyTextSMPC"/>
      </w:pPr>
      <w:r>
        <w:t xml:space="preserve">Zidovudine: Increased risk of </w:t>
      </w:r>
      <w:proofErr w:type="spellStart"/>
      <w:r>
        <w:t>haematological</w:t>
      </w:r>
      <w:proofErr w:type="spellEnd"/>
      <w:r>
        <w:t xml:space="preserve"> toxicity when NSAIDs given with zidovudine. </w:t>
      </w:r>
      <w:r w:rsidR="00F70F86">
        <w:t xml:space="preserve"> </w:t>
      </w:r>
      <w:r w:rsidR="004B5CBB">
        <w:t xml:space="preserve"> </w:t>
      </w:r>
    </w:p>
    <w:p w14:paraId="622B2896" w14:textId="178152B9" w:rsidR="009D6FFD" w:rsidRPr="009D6FFD" w:rsidRDefault="006470B1"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7B58537" w14:textId="10B7C9A4" w:rsidR="00B43ABA" w:rsidRDefault="00B43ABA" w:rsidP="00B43ABA">
      <w:pPr>
        <w:pStyle w:val="BodyTextSMPC"/>
      </w:pPr>
      <w:r>
        <w:t>Inhibition of prostaglandin synthesis may adversely affect the pregnancy and/or the embryo/</w:t>
      </w:r>
      <w:proofErr w:type="spellStart"/>
      <w:r>
        <w:t>foetal</w:t>
      </w:r>
      <w:proofErr w:type="spellEnd"/>
      <w:r>
        <w:t xml:space="preserve">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 </w:t>
      </w:r>
    </w:p>
    <w:p w14:paraId="2443144F" w14:textId="11A71DC2" w:rsidR="00B43ABA" w:rsidRDefault="00B43ABA" w:rsidP="00B43ABA">
      <w:pPr>
        <w:pStyle w:val="BodyTextSMPC"/>
      </w:pPr>
      <w:r>
        <w:t>The risk is believed to increase with dose and duration of therapy. In animals, administration of a prostaglandin synthesis inhibitor has been shown to result in increased pre- and post-implantation loss and embryo-</w:t>
      </w:r>
      <w:proofErr w:type="spellStart"/>
      <w:r>
        <w:t>foetal</w:t>
      </w:r>
      <w:proofErr w:type="spellEnd"/>
      <w:r>
        <w:t xml:space="preserve"> lethality. In addition, increased incidences of various malformations, including cardiovascular, have been reported in animals </w:t>
      </w:r>
      <w:r>
        <w:lastRenderedPageBreak/>
        <w:t xml:space="preserve">given a prostaglandin synthesis inhibitor during the organogenetic period. </w:t>
      </w:r>
    </w:p>
    <w:p w14:paraId="4DCC3940" w14:textId="1BD24209" w:rsidR="00B43ABA" w:rsidRDefault="00B43ABA" w:rsidP="00B43ABA">
      <w:pPr>
        <w:pStyle w:val="BodyTextSMPC"/>
      </w:pPr>
      <w:r>
        <w:t xml:space="preserve">From the 20th week of pregnancy onward, diclofenac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diclofenac should not be given unless clearly necessary. If diclofenac is used by a woman attempting to conceive, or during the first and second trimester of pregnancy, the dose should be kept as low and duration of treatment as short as possible. Antenatal monitoring for oligohydramnios should be considered after exposure to diclofenac for several days from gestational week 20 onward. Diclofenac should be discontinued if oligohydramnios or ductus arteriosus constriction are found. During the third trimester of pregnancy, all prostaglandin synthesis inhibitors may expose the </w:t>
      </w:r>
      <w:proofErr w:type="spellStart"/>
      <w:r>
        <w:t>foetus</w:t>
      </w:r>
      <w:proofErr w:type="spellEnd"/>
      <w:r>
        <w:t xml:space="preserve"> to: </w:t>
      </w:r>
    </w:p>
    <w:p w14:paraId="29F50BD2" w14:textId="0E3B7F92" w:rsidR="00B43ABA" w:rsidRDefault="00B43ABA" w:rsidP="00B43ABA">
      <w:pPr>
        <w:pStyle w:val="BodyTextSMPC"/>
      </w:pPr>
      <w:r>
        <w:t xml:space="preserve">- cardiopulmonary toxicity (premature constriction/closure of the ductus arteriosus and pulmonary hypertension); </w:t>
      </w:r>
    </w:p>
    <w:p w14:paraId="1CE4FBC9" w14:textId="1B99AE9A" w:rsidR="00B43ABA" w:rsidRDefault="00B43ABA" w:rsidP="00B43ABA">
      <w:pPr>
        <w:pStyle w:val="BodyTextSMPC"/>
      </w:pPr>
      <w:r>
        <w:t xml:space="preserve">- renal dysfunction (see above), the mother and the neonate, at the end of pregnancy, to: </w:t>
      </w:r>
    </w:p>
    <w:p w14:paraId="583FA7CE" w14:textId="71CC0403" w:rsidR="00B43ABA" w:rsidRDefault="00B43ABA" w:rsidP="00B43ABA">
      <w:pPr>
        <w:pStyle w:val="BodyTextSMPC"/>
      </w:pPr>
      <w:r>
        <w:t xml:space="preserve">- possible prolongation of bleeding time, an anti-aggregating effect which may occur even at very low doses. </w:t>
      </w:r>
    </w:p>
    <w:p w14:paraId="5BA5D29A" w14:textId="3AC2DE87" w:rsidR="00B43ABA" w:rsidRDefault="00B43ABA" w:rsidP="00B43ABA">
      <w:pPr>
        <w:pStyle w:val="BodyTextSMPC"/>
      </w:pPr>
      <w:r>
        <w:t xml:space="preserve">- inhibition of uterine contractions resulting in delayed or prolonged </w:t>
      </w:r>
      <w:proofErr w:type="spellStart"/>
      <w:r>
        <w:t>labour</w:t>
      </w:r>
      <w:proofErr w:type="spellEnd"/>
      <w:r>
        <w:t xml:space="preserve">. </w:t>
      </w:r>
    </w:p>
    <w:p w14:paraId="7C31E3E4" w14:textId="6C3C1488" w:rsidR="00D32C40" w:rsidRDefault="00B43ABA" w:rsidP="00B43ABA">
      <w:pPr>
        <w:pStyle w:val="BodyTextSMPC"/>
      </w:pPr>
      <w:r>
        <w:t>Consequently, diclofenac are contraindicated during the third trimester of pregnancy (see sections 4.3 and 5.3)</w:t>
      </w:r>
    </w:p>
    <w:p w14:paraId="0F6D438F" w14:textId="21009765" w:rsidR="00D32C40" w:rsidRPr="00D32C40" w:rsidRDefault="00D32C40" w:rsidP="00D32C40">
      <w:pPr>
        <w:pStyle w:val="BodyTextSMPC"/>
        <w:rPr>
          <w:b/>
          <w:bCs/>
        </w:rPr>
      </w:pPr>
      <w:r w:rsidRPr="00D32C40">
        <w:rPr>
          <w:b/>
          <w:bCs/>
        </w:rPr>
        <w:t>Breast-feeding</w:t>
      </w:r>
    </w:p>
    <w:p w14:paraId="00C7C5F6" w14:textId="76A4A938" w:rsidR="001678C4" w:rsidRDefault="00B43ABA" w:rsidP="00B43ABA">
      <w:pPr>
        <w:pStyle w:val="BodyTextSMPC"/>
      </w:pPr>
      <w:r>
        <w:t>Like other NSAIDs, diclofenac passes into the breast milk in small amounts. Therefore, diclofenac should not be administered during breast feeding in order to avoid undesirable effects in the infant (see section 5.2)</w:t>
      </w:r>
      <w:r w:rsidR="00BA0700" w:rsidRPr="00BA0700">
        <w:t>.</w:t>
      </w:r>
    </w:p>
    <w:p w14:paraId="21F781EB" w14:textId="381BF575" w:rsidR="00EB692F" w:rsidRDefault="00EB692F" w:rsidP="00EB692F">
      <w:pPr>
        <w:pStyle w:val="BodyTextSMPC"/>
      </w:pPr>
      <w:r w:rsidRPr="00EB692F">
        <w:rPr>
          <w:b/>
          <w:bCs/>
        </w:rPr>
        <w:lastRenderedPageBreak/>
        <w:t>Fertility</w:t>
      </w:r>
      <w:r>
        <w:t xml:space="preserve"> </w:t>
      </w:r>
    </w:p>
    <w:p w14:paraId="7F9E4D3C" w14:textId="6FFB6BD0" w:rsidR="00EB692F" w:rsidRDefault="00B43ABA" w:rsidP="00B43ABA">
      <w:pPr>
        <w:pStyle w:val="BodyTextSMPC"/>
      </w:pPr>
      <w:r>
        <w:t>As with other NSAIDs, the use of diclofenac may impair female fertility and is not recommended in women attempting to conceive. In women who have difficulties conceiving or who are undergoing investigation of infertility, withdrawal of diclofenac should be considered (see also section 4.4 regarding female fertility)</w:t>
      </w:r>
      <w:r w:rsidR="00EB692F">
        <w:t>.</w:t>
      </w:r>
    </w:p>
    <w:p w14:paraId="6D62B196" w14:textId="223FFB6A" w:rsidR="00227FD4" w:rsidRPr="008F5678" w:rsidRDefault="006470B1" w:rsidP="00671E86">
      <w:pPr>
        <w:pStyle w:val="SubHeafingSMPC"/>
      </w:pPr>
      <w:r w:rsidRPr="008F5678">
        <w:t xml:space="preserve">Effects on ability to drive and use machines </w:t>
      </w:r>
    </w:p>
    <w:p w14:paraId="7E43B901" w14:textId="182184E1" w:rsidR="00227FD4" w:rsidRPr="009D6FFD" w:rsidRDefault="007C2ED9" w:rsidP="007C2ED9">
      <w:pPr>
        <w:pStyle w:val="BodyTextSMPC"/>
      </w:pPr>
      <w:r>
        <w:t>Patients who experience visual disturbances, dizziness, drowsiness, fatigue or other central nervous system disturbances while taking NSAIDs should refrain from driving or operating machinery</w:t>
      </w:r>
      <w:r w:rsidR="00EB692F">
        <w:t>.</w:t>
      </w:r>
    </w:p>
    <w:p w14:paraId="071D62C3" w14:textId="1176E362" w:rsidR="00227FD4" w:rsidRPr="008F5678" w:rsidRDefault="006470B1" w:rsidP="00671E86">
      <w:pPr>
        <w:pStyle w:val="SubHeafingSMPC"/>
      </w:pPr>
      <w:r w:rsidRPr="008F5678">
        <w:t xml:space="preserve">Undesirable effects </w:t>
      </w:r>
    </w:p>
    <w:p w14:paraId="540A9C45" w14:textId="6F27348E" w:rsidR="007C2ED9" w:rsidRDefault="007C2ED9" w:rsidP="007C2ED9">
      <w:pPr>
        <w:pStyle w:val="BodyTextSMPC"/>
        <w:spacing w:before="240"/>
      </w:pPr>
      <w:r>
        <w:t xml:space="preserve">Adverse reactions are ranked under heading of frequency, the most frequent first, </w:t>
      </w:r>
    </w:p>
    <w:p w14:paraId="1FB7F463" w14:textId="1093F34A" w:rsidR="007C2ED9" w:rsidRDefault="007C2ED9" w:rsidP="007C2ED9">
      <w:pPr>
        <w:pStyle w:val="BodyTextSMPC"/>
        <w:spacing w:before="240"/>
      </w:pPr>
      <w:r>
        <w:t xml:space="preserve">using the following convention: common (≥ 1/100, &lt; 1/10); uncommon (≥1/1,000, &lt; 1/100); rare (≥ 1/10,000, &lt; 1/1,000); very rare (&lt; 1/10,000), including isolated reports. </w:t>
      </w:r>
    </w:p>
    <w:p w14:paraId="707E5CF5" w14:textId="11826B39" w:rsidR="007C2ED9" w:rsidRDefault="007C2ED9" w:rsidP="007C2ED9">
      <w:pPr>
        <w:pStyle w:val="BodyTextSMPC"/>
        <w:spacing w:before="240"/>
      </w:pPr>
      <w:r>
        <w:t xml:space="preserve">The following undesirable effects include those reported with diclofenac gastro-resistant tablets and/or other pharmaceutical forms of diclofenac, with either short-term or long-term use. </w:t>
      </w:r>
    </w:p>
    <w:p w14:paraId="3AC124C8" w14:textId="77777777" w:rsidR="007C2ED9" w:rsidRPr="007C2ED9" w:rsidRDefault="007C2ED9" w:rsidP="007C2ED9">
      <w:pPr>
        <w:pStyle w:val="BodyTextSMPC"/>
        <w:spacing w:before="240"/>
        <w:rPr>
          <w:u w:val="single"/>
        </w:rPr>
      </w:pPr>
      <w:r w:rsidRPr="007C2ED9">
        <w:rPr>
          <w:u w:val="single"/>
        </w:rPr>
        <w:t xml:space="preserve">Blood and lymphatic system disorders </w:t>
      </w:r>
    </w:p>
    <w:p w14:paraId="67C90230" w14:textId="5358225A" w:rsidR="007C2ED9" w:rsidRDefault="007C2ED9" w:rsidP="007C2ED9">
      <w:pPr>
        <w:pStyle w:val="BodyTextSMPC"/>
        <w:spacing w:before="240"/>
      </w:pPr>
      <w:r>
        <w:t xml:space="preserve">Very rare: Thrombocytopenia, leukopenia, </w:t>
      </w:r>
      <w:proofErr w:type="spellStart"/>
      <w:r>
        <w:t>anaemia</w:t>
      </w:r>
      <w:proofErr w:type="spellEnd"/>
      <w:r>
        <w:t xml:space="preserve"> (including </w:t>
      </w:r>
      <w:proofErr w:type="spellStart"/>
      <w:r>
        <w:t>haemolytic</w:t>
      </w:r>
      <w:proofErr w:type="spellEnd"/>
      <w:r>
        <w:t xml:space="preserve"> and aplastic </w:t>
      </w:r>
      <w:proofErr w:type="spellStart"/>
      <w:r>
        <w:t>anaemia</w:t>
      </w:r>
      <w:proofErr w:type="spellEnd"/>
      <w:r>
        <w:t xml:space="preserve">), agranulocytosis. </w:t>
      </w:r>
    </w:p>
    <w:p w14:paraId="2565E7E5" w14:textId="77777777" w:rsidR="007C2ED9" w:rsidRPr="007C2ED9" w:rsidRDefault="007C2ED9" w:rsidP="007C2ED9">
      <w:pPr>
        <w:pStyle w:val="BodyTextSMPC"/>
        <w:spacing w:before="240"/>
        <w:rPr>
          <w:u w:val="single"/>
        </w:rPr>
      </w:pPr>
      <w:r w:rsidRPr="007C2ED9">
        <w:rPr>
          <w:u w:val="single"/>
        </w:rPr>
        <w:t xml:space="preserve">Immune system disorders </w:t>
      </w:r>
    </w:p>
    <w:p w14:paraId="6B6DF61B" w14:textId="772ABCD2" w:rsidR="007C2ED9" w:rsidRDefault="007C2ED9" w:rsidP="007C2ED9">
      <w:pPr>
        <w:pStyle w:val="BodyTextSMPC"/>
        <w:spacing w:before="240"/>
      </w:pPr>
      <w:r>
        <w:t xml:space="preserve">Rare: Hypersensitivity, anaphylactic and anaphylactoid reactions (including hypotension and shock). </w:t>
      </w:r>
    </w:p>
    <w:p w14:paraId="74874BA9" w14:textId="77777777" w:rsidR="007C2ED9" w:rsidRDefault="007C2ED9" w:rsidP="007C2ED9">
      <w:pPr>
        <w:pStyle w:val="BodyTextSMPC"/>
        <w:spacing w:before="240"/>
      </w:pPr>
      <w:r>
        <w:t xml:space="preserve">Very rare: Angioneurotic oedema (including face oedema). </w:t>
      </w:r>
    </w:p>
    <w:p w14:paraId="056E9B4B" w14:textId="77777777" w:rsidR="007C2ED9" w:rsidRPr="007C2ED9" w:rsidRDefault="007C2ED9" w:rsidP="007C2ED9">
      <w:pPr>
        <w:pStyle w:val="BodyTextSMPC"/>
        <w:spacing w:before="240"/>
        <w:rPr>
          <w:u w:val="single"/>
        </w:rPr>
      </w:pPr>
      <w:r w:rsidRPr="007C2ED9">
        <w:rPr>
          <w:u w:val="single"/>
        </w:rPr>
        <w:t xml:space="preserve">Psychiatric disorders </w:t>
      </w:r>
    </w:p>
    <w:p w14:paraId="10F27732" w14:textId="3D9AB43B" w:rsidR="007C2ED9" w:rsidRDefault="007C2ED9" w:rsidP="007C2ED9">
      <w:pPr>
        <w:pStyle w:val="BodyTextSMPC"/>
        <w:spacing w:before="240"/>
      </w:pPr>
      <w:r>
        <w:t xml:space="preserve">Very rare: Disorientation, depression, insomnia, nightmare, irritability, psychotic disorder/reactions, confusion, hallucinations. </w:t>
      </w:r>
    </w:p>
    <w:p w14:paraId="40D36226" w14:textId="77777777" w:rsidR="007C2ED9" w:rsidRPr="007C2ED9" w:rsidRDefault="007C2ED9" w:rsidP="007C2ED9">
      <w:pPr>
        <w:pStyle w:val="BodyTextSMPC"/>
        <w:spacing w:before="240"/>
        <w:rPr>
          <w:u w:val="single"/>
        </w:rPr>
      </w:pPr>
      <w:r w:rsidRPr="007C2ED9">
        <w:rPr>
          <w:u w:val="single"/>
        </w:rPr>
        <w:lastRenderedPageBreak/>
        <w:t xml:space="preserve">Nervous system disorders </w:t>
      </w:r>
    </w:p>
    <w:p w14:paraId="0869335C" w14:textId="77777777" w:rsidR="007C2ED9" w:rsidRDefault="007C2ED9" w:rsidP="007C2ED9">
      <w:pPr>
        <w:pStyle w:val="BodyTextSMPC"/>
        <w:spacing w:before="240"/>
      </w:pPr>
      <w:r>
        <w:t xml:space="preserve">Common: Headache, dizziness. </w:t>
      </w:r>
    </w:p>
    <w:p w14:paraId="46E404F2" w14:textId="77777777" w:rsidR="007C2ED9" w:rsidRDefault="007C2ED9" w:rsidP="007C2ED9">
      <w:pPr>
        <w:pStyle w:val="BodyTextSMPC"/>
        <w:spacing w:before="240"/>
      </w:pPr>
      <w:r>
        <w:t xml:space="preserve">Rare: Somnolence, drowsiness, tiredness, hypotension. </w:t>
      </w:r>
    </w:p>
    <w:p w14:paraId="64E2CBDE" w14:textId="24B4317A" w:rsidR="007C2ED9" w:rsidRDefault="007C2ED9" w:rsidP="007C2ED9">
      <w:pPr>
        <w:pStyle w:val="BodyTextSMPC"/>
        <w:spacing w:before="240"/>
      </w:pPr>
      <w:r>
        <w:t xml:space="preserve">Very rare: </w:t>
      </w:r>
      <w:proofErr w:type="spellStart"/>
      <w:r>
        <w:t>Paraesthesia</w:t>
      </w:r>
      <w:proofErr w:type="spellEnd"/>
      <w:r>
        <w:t xml:space="preserve">, memory impairment/disturbance, convulsion, anxiety, tremor, taste disturbances, cerebrovascular accident, disturbances of sensation, taste disturbances, malaise, aseptic meningitis (especially in patients with existing auto-immune disorders, such as systemic lupus erythematosus and mixed tissue disease) with symptoms such as fever, stiff neck, headache, nausea and vomiting. </w:t>
      </w:r>
    </w:p>
    <w:p w14:paraId="6BB3EE45" w14:textId="77777777" w:rsidR="007C2ED9" w:rsidRPr="007C2ED9" w:rsidRDefault="007C2ED9" w:rsidP="007C2ED9">
      <w:pPr>
        <w:pStyle w:val="BodyTextSMPC"/>
        <w:spacing w:before="240"/>
        <w:rPr>
          <w:u w:val="single"/>
        </w:rPr>
      </w:pPr>
      <w:r w:rsidRPr="007C2ED9">
        <w:rPr>
          <w:u w:val="single"/>
        </w:rPr>
        <w:t xml:space="preserve">Eye disorders </w:t>
      </w:r>
    </w:p>
    <w:p w14:paraId="5F7264AD" w14:textId="2FDADD41" w:rsidR="007C2ED9" w:rsidRDefault="007C2ED9" w:rsidP="007C2ED9">
      <w:pPr>
        <w:pStyle w:val="BodyTextSMPC"/>
        <w:spacing w:before="240"/>
      </w:pPr>
      <w:r>
        <w:t xml:space="preserve">Very rare: Visual disturbance, vision blurred, diplopia, optic neuritis. Ear and labyrinth disorders </w:t>
      </w:r>
    </w:p>
    <w:p w14:paraId="428D2447" w14:textId="77777777" w:rsidR="007C2ED9" w:rsidRDefault="007C2ED9" w:rsidP="007C2ED9">
      <w:pPr>
        <w:pStyle w:val="BodyTextSMPC"/>
        <w:spacing w:before="240"/>
      </w:pPr>
      <w:r>
        <w:t xml:space="preserve">Common: Vertigo. </w:t>
      </w:r>
    </w:p>
    <w:p w14:paraId="3BB5930E" w14:textId="77777777" w:rsidR="007C2ED9" w:rsidRDefault="007C2ED9" w:rsidP="007C2ED9">
      <w:pPr>
        <w:pStyle w:val="BodyTextSMPC"/>
        <w:spacing w:before="240"/>
      </w:pPr>
      <w:r>
        <w:t xml:space="preserve">Very rare: Tinnitus, hearing impaired. </w:t>
      </w:r>
    </w:p>
    <w:p w14:paraId="3FD76311" w14:textId="77777777" w:rsidR="007C2ED9" w:rsidRPr="007C2ED9" w:rsidRDefault="007C2ED9" w:rsidP="007C2ED9">
      <w:pPr>
        <w:pStyle w:val="BodyTextSMPC"/>
        <w:spacing w:before="240"/>
        <w:rPr>
          <w:u w:val="single"/>
        </w:rPr>
      </w:pPr>
      <w:r w:rsidRPr="007C2ED9">
        <w:rPr>
          <w:u w:val="single"/>
        </w:rPr>
        <w:t xml:space="preserve">Cardiac disorders </w:t>
      </w:r>
    </w:p>
    <w:p w14:paraId="39AF979E" w14:textId="7A66C879" w:rsidR="007C2ED9" w:rsidRDefault="007C2ED9" w:rsidP="007C2ED9">
      <w:pPr>
        <w:pStyle w:val="BodyTextSMPC"/>
        <w:spacing w:before="240"/>
      </w:pPr>
      <w:r>
        <w:t xml:space="preserve">Very rare: Palpitations, chest pain, cardiac failure/congestive heart failure, myocardial infarction. </w:t>
      </w:r>
    </w:p>
    <w:p w14:paraId="20585DF8" w14:textId="77777777" w:rsidR="007C2ED9" w:rsidRDefault="007C2ED9" w:rsidP="007C2ED9">
      <w:pPr>
        <w:pStyle w:val="BodyTextSMPC"/>
        <w:spacing w:before="240"/>
      </w:pPr>
      <w:r>
        <w:t xml:space="preserve">Unknown: </w:t>
      </w:r>
      <w:proofErr w:type="spellStart"/>
      <w:r>
        <w:t>Kounis</w:t>
      </w:r>
      <w:proofErr w:type="spellEnd"/>
      <w:r>
        <w:t xml:space="preserve"> syndrome </w:t>
      </w:r>
    </w:p>
    <w:p w14:paraId="5B04CDCF" w14:textId="2E9FD71B" w:rsidR="007C2ED9" w:rsidRDefault="007C2ED9" w:rsidP="007C2ED9">
      <w:pPr>
        <w:pStyle w:val="BodyTextSMPC"/>
        <w:spacing w:before="240"/>
      </w:pPr>
      <w:r>
        <w:t xml:space="preserve">Clinical trial and epidemiological data consistently point towards an increased risk of arterial thrombotic events (for example myocardial infarction or stroke) associated with the use of diclofenac, particularly at high dose (150mg daily) and in long term treatment. (see section 4.3 and 4.4 for Contraindications and Special warnings and special precautions for use). </w:t>
      </w:r>
    </w:p>
    <w:p w14:paraId="62586766" w14:textId="77777777" w:rsidR="007C2ED9" w:rsidRPr="007C2ED9" w:rsidRDefault="007C2ED9" w:rsidP="007C2ED9">
      <w:pPr>
        <w:pStyle w:val="BodyTextSMPC"/>
        <w:spacing w:before="240"/>
        <w:rPr>
          <w:u w:val="single"/>
        </w:rPr>
      </w:pPr>
      <w:r w:rsidRPr="007C2ED9">
        <w:rPr>
          <w:u w:val="single"/>
        </w:rPr>
        <w:t xml:space="preserve">Vascular disorders </w:t>
      </w:r>
    </w:p>
    <w:p w14:paraId="74838ECA" w14:textId="77777777" w:rsidR="007C2ED9" w:rsidRDefault="007C2ED9" w:rsidP="007C2ED9">
      <w:pPr>
        <w:pStyle w:val="BodyTextSMPC"/>
        <w:spacing w:before="240"/>
      </w:pPr>
      <w:r>
        <w:t xml:space="preserve">Very rare: Hypertension, vasculitis. </w:t>
      </w:r>
    </w:p>
    <w:p w14:paraId="7609DA4F" w14:textId="77777777" w:rsidR="007C2ED9" w:rsidRPr="007C2ED9" w:rsidRDefault="007C2ED9" w:rsidP="007C2ED9">
      <w:pPr>
        <w:pStyle w:val="BodyTextSMPC"/>
        <w:spacing w:before="240"/>
        <w:rPr>
          <w:u w:val="single"/>
        </w:rPr>
      </w:pPr>
      <w:r w:rsidRPr="007C2ED9">
        <w:rPr>
          <w:u w:val="single"/>
        </w:rPr>
        <w:t xml:space="preserve">Respiratory, thoracic and mediastinal disorders </w:t>
      </w:r>
    </w:p>
    <w:p w14:paraId="7308FD82" w14:textId="77777777" w:rsidR="007C2ED9" w:rsidRDefault="007C2ED9" w:rsidP="007C2ED9">
      <w:pPr>
        <w:pStyle w:val="BodyTextSMPC"/>
        <w:spacing w:before="240"/>
      </w:pPr>
      <w:r>
        <w:t xml:space="preserve">Rare: Asthma (including </w:t>
      </w:r>
      <w:proofErr w:type="spellStart"/>
      <w:r>
        <w:t>dyspnoea</w:t>
      </w:r>
      <w:proofErr w:type="spellEnd"/>
      <w:r>
        <w:t xml:space="preserve">), alveolitis, pulmonary eosinophilia. </w:t>
      </w:r>
    </w:p>
    <w:p w14:paraId="3AF26B53" w14:textId="77777777" w:rsidR="007C2ED9" w:rsidRDefault="007C2ED9" w:rsidP="007C2ED9">
      <w:pPr>
        <w:pStyle w:val="BodyTextSMPC"/>
        <w:spacing w:before="240"/>
      </w:pPr>
      <w:r>
        <w:lastRenderedPageBreak/>
        <w:t xml:space="preserve">Very rare: Pneumonitis. </w:t>
      </w:r>
    </w:p>
    <w:p w14:paraId="010C15D0" w14:textId="77777777" w:rsidR="007C2ED9" w:rsidRDefault="007C2ED9" w:rsidP="007C2ED9">
      <w:pPr>
        <w:pStyle w:val="BodyTextSMPC"/>
        <w:spacing w:before="240"/>
      </w:pPr>
      <w:r>
        <w:t xml:space="preserve">Aggravated asthma or bronchospasm have also been reported. </w:t>
      </w:r>
    </w:p>
    <w:p w14:paraId="47AD8B0D" w14:textId="77777777" w:rsidR="007C2ED9" w:rsidRPr="007C2ED9" w:rsidRDefault="007C2ED9" w:rsidP="007C2ED9">
      <w:pPr>
        <w:pStyle w:val="BodyTextSMPC"/>
        <w:spacing w:before="240"/>
        <w:rPr>
          <w:u w:val="single"/>
        </w:rPr>
      </w:pPr>
      <w:r w:rsidRPr="007C2ED9">
        <w:rPr>
          <w:u w:val="single"/>
        </w:rPr>
        <w:t xml:space="preserve">Gastrointestinal disorders </w:t>
      </w:r>
    </w:p>
    <w:p w14:paraId="407A501E" w14:textId="450BEEBD" w:rsidR="007C2ED9" w:rsidRDefault="007C2ED9" w:rsidP="007C2ED9">
      <w:pPr>
        <w:pStyle w:val="BodyTextSMPC"/>
        <w:spacing w:before="240"/>
      </w:pPr>
      <w:r>
        <w:t xml:space="preserve">Common: Nausea, vomiting, </w:t>
      </w:r>
      <w:proofErr w:type="spellStart"/>
      <w:r>
        <w:t>diarrhoea</w:t>
      </w:r>
      <w:proofErr w:type="spellEnd"/>
      <w:r>
        <w:t xml:space="preserve">, dyspepsia, abdominal pain or cramps, flatulence, anorexia. </w:t>
      </w:r>
    </w:p>
    <w:p w14:paraId="3F233088" w14:textId="1CEC624E" w:rsidR="007C2ED9" w:rsidRDefault="007C2ED9" w:rsidP="007C2ED9">
      <w:pPr>
        <w:pStyle w:val="BodyTextSMPC"/>
        <w:spacing w:before="240"/>
      </w:pPr>
      <w:r>
        <w:t xml:space="preserve">Rare: Gastritis, gastrointestinal </w:t>
      </w:r>
      <w:proofErr w:type="spellStart"/>
      <w:r>
        <w:t>haemorrhage</w:t>
      </w:r>
      <w:proofErr w:type="spellEnd"/>
      <w:r>
        <w:t xml:space="preserve"> or bleeding, </w:t>
      </w:r>
      <w:proofErr w:type="spellStart"/>
      <w:r>
        <w:t>haematemesis</w:t>
      </w:r>
      <w:proofErr w:type="spellEnd"/>
      <w:r>
        <w:t xml:space="preserve">, </w:t>
      </w:r>
      <w:proofErr w:type="spellStart"/>
      <w:r>
        <w:t>diarrhoea</w:t>
      </w:r>
      <w:proofErr w:type="spellEnd"/>
      <w:r>
        <w:t xml:space="preserve"> </w:t>
      </w:r>
      <w:proofErr w:type="spellStart"/>
      <w:r>
        <w:t>haemorrhagic</w:t>
      </w:r>
      <w:proofErr w:type="spellEnd"/>
      <w:r>
        <w:t xml:space="preserve">/bloody, melaena, gastrointestinal ulcer, with or without bleeding or perforation (sometimes fatal, particularly in the elderly). </w:t>
      </w:r>
    </w:p>
    <w:p w14:paraId="3147BFE9" w14:textId="75ACF179" w:rsidR="007C2ED9" w:rsidRDefault="007C2ED9" w:rsidP="007C2ED9">
      <w:pPr>
        <w:pStyle w:val="BodyTextSMPC"/>
        <w:spacing w:before="240"/>
      </w:pPr>
      <w:r>
        <w:t xml:space="preserve">Very rare: Lower gut disorders such as colitis (including colonic damage, </w:t>
      </w:r>
      <w:proofErr w:type="spellStart"/>
      <w:r>
        <w:t>non specific</w:t>
      </w:r>
      <w:proofErr w:type="spellEnd"/>
      <w:r>
        <w:t xml:space="preserve"> </w:t>
      </w:r>
      <w:proofErr w:type="spellStart"/>
      <w:r>
        <w:t>haemorrhagic</w:t>
      </w:r>
      <w:proofErr w:type="spellEnd"/>
      <w:r>
        <w:t xml:space="preserve"> colitis/ </w:t>
      </w:r>
      <w:proofErr w:type="spellStart"/>
      <w:r>
        <w:t>haemorrhagic</w:t>
      </w:r>
      <w:proofErr w:type="spellEnd"/>
      <w:r>
        <w:t xml:space="preserve"> colitis and exacerbation of ulcerative colitis or Crohn's disease/Crohn’s proctocolitis), constipation, stomatitis/aphthous stomatitis, glossitis, </w:t>
      </w:r>
      <w:proofErr w:type="spellStart"/>
      <w:r>
        <w:t>oesophageal</w:t>
      </w:r>
      <w:proofErr w:type="spellEnd"/>
      <w:r>
        <w:t xml:space="preserve"> disorder/lesions, diaphragm-like intestinal strictures/stricture formation, pancreatitis. </w:t>
      </w:r>
    </w:p>
    <w:p w14:paraId="289A192D" w14:textId="77777777" w:rsidR="007C2ED9" w:rsidRDefault="007C2ED9" w:rsidP="007C2ED9">
      <w:pPr>
        <w:pStyle w:val="BodyTextSMPC"/>
        <w:spacing w:before="240"/>
      </w:pPr>
      <w:r>
        <w:t xml:space="preserve">Not known: </w:t>
      </w:r>
      <w:proofErr w:type="spellStart"/>
      <w:r>
        <w:t>Ischaemic</w:t>
      </w:r>
      <w:proofErr w:type="spellEnd"/>
      <w:r>
        <w:t xml:space="preserve"> colitis</w:t>
      </w:r>
    </w:p>
    <w:p w14:paraId="3AC48A6C" w14:textId="77777777" w:rsidR="007C2ED9" w:rsidRPr="007C2ED9" w:rsidRDefault="007C2ED9" w:rsidP="007C2ED9">
      <w:pPr>
        <w:pStyle w:val="BodyTextSMPC"/>
        <w:spacing w:before="240"/>
        <w:rPr>
          <w:u w:val="single"/>
        </w:rPr>
      </w:pPr>
      <w:r w:rsidRPr="007C2ED9">
        <w:rPr>
          <w:u w:val="single"/>
        </w:rPr>
        <w:t xml:space="preserve">Hepatobiliary disorders </w:t>
      </w:r>
    </w:p>
    <w:p w14:paraId="754D0A4A" w14:textId="06B892FD" w:rsidR="007C2ED9" w:rsidRDefault="007C2ED9" w:rsidP="007C2ED9">
      <w:pPr>
        <w:pStyle w:val="BodyTextSMPC"/>
        <w:spacing w:before="240"/>
      </w:pPr>
      <w:r>
        <w:t>Common: Transaminases (serum aminotransferase enzymes) increased (</w:t>
      </w:r>
      <w:proofErr w:type="spellStart"/>
      <w:r>
        <w:t>eg</w:t>
      </w:r>
      <w:proofErr w:type="spellEnd"/>
      <w:r>
        <w:t xml:space="preserve"> AST, ALT). </w:t>
      </w:r>
    </w:p>
    <w:p w14:paraId="2790BF75" w14:textId="77777777" w:rsidR="007C2ED9" w:rsidRDefault="007C2ED9" w:rsidP="007C2ED9">
      <w:pPr>
        <w:pStyle w:val="BodyTextSMPC"/>
        <w:spacing w:before="240"/>
      </w:pPr>
      <w:r>
        <w:t xml:space="preserve">Rare: Hepatitis, jaundice, liver disorder. </w:t>
      </w:r>
    </w:p>
    <w:p w14:paraId="61E645DA" w14:textId="71EBBA44" w:rsidR="007C2ED9" w:rsidRDefault="007C2ED9" w:rsidP="007C2ED9">
      <w:pPr>
        <w:pStyle w:val="BodyTextSMPC"/>
        <w:spacing w:before="240"/>
      </w:pPr>
      <w:r>
        <w:t xml:space="preserve">Very rare: Fulminant hepatitis, hepatic necrosis, hepatic failure  </w:t>
      </w:r>
    </w:p>
    <w:p w14:paraId="5A12AA6A" w14:textId="7B55B20B" w:rsidR="007C2ED9" w:rsidRDefault="007C2ED9" w:rsidP="007C2ED9">
      <w:pPr>
        <w:pStyle w:val="BodyTextSMPC"/>
        <w:spacing w:before="240"/>
      </w:pPr>
      <w:r w:rsidRPr="007C2ED9">
        <w:rPr>
          <w:u w:val="single"/>
        </w:rPr>
        <w:t>Skin and subcutaneous tissue disorders</w:t>
      </w:r>
      <w:r>
        <w:t xml:space="preserve"> </w:t>
      </w:r>
    </w:p>
    <w:p w14:paraId="192085C4" w14:textId="77777777" w:rsidR="007C2ED9" w:rsidRDefault="007C2ED9" w:rsidP="007C2ED9">
      <w:pPr>
        <w:pStyle w:val="BodyTextSMPC"/>
        <w:spacing w:before="240"/>
      </w:pPr>
      <w:r>
        <w:t xml:space="preserve">Common: Rash, skin eruptions. </w:t>
      </w:r>
    </w:p>
    <w:p w14:paraId="0FB88134" w14:textId="77777777" w:rsidR="007C2ED9" w:rsidRDefault="007C2ED9" w:rsidP="007C2ED9">
      <w:pPr>
        <w:pStyle w:val="BodyTextSMPC"/>
        <w:spacing w:before="240"/>
      </w:pPr>
      <w:r>
        <w:t xml:space="preserve">Rare: Urticaria. </w:t>
      </w:r>
    </w:p>
    <w:p w14:paraId="76442922" w14:textId="3AD48029" w:rsidR="007C2ED9" w:rsidRDefault="007C2ED9" w:rsidP="007C2ED9">
      <w:pPr>
        <w:pStyle w:val="BodyTextSMPC"/>
        <w:spacing w:before="240"/>
      </w:pPr>
      <w:r>
        <w:t xml:space="preserve">Very rare: Bullous eruptions/dermatoses, eczema, erythema, erythema multiforme, Stevens-Johnson syndrome, toxic epidermal necrolysis/acute toxic epidermolysis (Lyell's syndrome), dermatitis exfoliative (erythroderma), loss of hair, photosensitivity reactions, purpura, allergic purpura, pruritus. </w:t>
      </w:r>
    </w:p>
    <w:p w14:paraId="2FEAFE3B" w14:textId="77777777" w:rsidR="007C2ED9" w:rsidRPr="007C2ED9" w:rsidRDefault="007C2ED9" w:rsidP="007C2ED9">
      <w:pPr>
        <w:pStyle w:val="BodyTextSMPC"/>
        <w:spacing w:before="240"/>
        <w:rPr>
          <w:u w:val="single"/>
        </w:rPr>
      </w:pPr>
      <w:r w:rsidRPr="007C2ED9">
        <w:rPr>
          <w:u w:val="single"/>
        </w:rPr>
        <w:lastRenderedPageBreak/>
        <w:t xml:space="preserve">Renal and urinary disorders </w:t>
      </w:r>
    </w:p>
    <w:p w14:paraId="45F33062" w14:textId="05458661" w:rsidR="007C2ED9" w:rsidRDefault="007C2ED9" w:rsidP="007C2ED9">
      <w:pPr>
        <w:pStyle w:val="BodyTextSMPC"/>
        <w:spacing w:before="240"/>
      </w:pPr>
      <w:r>
        <w:t xml:space="preserve">Rare: Interstitial fibrosis has been reported with NSAIDs and may lead to renal failure. </w:t>
      </w:r>
    </w:p>
    <w:p w14:paraId="3C3953A0" w14:textId="72480B54" w:rsidR="007C2ED9" w:rsidRDefault="007C2ED9" w:rsidP="007C2ED9">
      <w:pPr>
        <w:pStyle w:val="BodyTextSMPC"/>
        <w:spacing w:before="240"/>
      </w:pPr>
      <w:r>
        <w:t>Very rare: Acute renal failure or insufficiency, urinary abnormalities (</w:t>
      </w:r>
      <w:proofErr w:type="spellStart"/>
      <w:r>
        <w:t>eg</w:t>
      </w:r>
      <w:proofErr w:type="spellEnd"/>
      <w:r>
        <w:t xml:space="preserve"> </w:t>
      </w:r>
      <w:proofErr w:type="spellStart"/>
      <w:r>
        <w:t>haematuria</w:t>
      </w:r>
      <w:proofErr w:type="spellEnd"/>
      <w:r>
        <w:t xml:space="preserve">, proteinuria), nephrotic syndrome, interstitial nephritis, renal papillary necrosis. </w:t>
      </w:r>
    </w:p>
    <w:p w14:paraId="7E49EC80" w14:textId="77777777" w:rsidR="007C2ED9" w:rsidRPr="00E00F5C" w:rsidRDefault="007C2ED9" w:rsidP="007C2ED9">
      <w:pPr>
        <w:pStyle w:val="BodyTextSMPC"/>
        <w:spacing w:before="240"/>
        <w:rPr>
          <w:u w:val="single"/>
        </w:rPr>
      </w:pPr>
      <w:r w:rsidRPr="00E00F5C">
        <w:rPr>
          <w:u w:val="single"/>
        </w:rPr>
        <w:t xml:space="preserve">General disorders and administration site conditions </w:t>
      </w:r>
    </w:p>
    <w:p w14:paraId="7502E05C" w14:textId="77777777" w:rsidR="007C2ED9" w:rsidRDefault="007C2ED9" w:rsidP="007C2ED9">
      <w:pPr>
        <w:pStyle w:val="BodyTextSMPC"/>
        <w:spacing w:before="240"/>
      </w:pPr>
      <w:r>
        <w:t xml:space="preserve">Rare: Oedema. </w:t>
      </w:r>
    </w:p>
    <w:p w14:paraId="3DC0B0D1" w14:textId="76807337" w:rsidR="00EB692F" w:rsidRPr="00EB692F" w:rsidRDefault="007C2ED9" w:rsidP="00E00F5C">
      <w:pPr>
        <w:pStyle w:val="BodyTextSMPC"/>
        <w:spacing w:before="240"/>
      </w:pPr>
      <w:r>
        <w:t>Very rare: Impotence.</w:t>
      </w:r>
    </w:p>
    <w:p w14:paraId="6D003B03" w14:textId="6E048073" w:rsidR="00227FD4" w:rsidRPr="008F5678" w:rsidRDefault="006470B1"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6470B1"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6DAEED97" w14:textId="4E2DD4F5" w:rsidR="00F45471" w:rsidRDefault="00E00F5C" w:rsidP="00E00F5C">
      <w:pPr>
        <w:pStyle w:val="BodyTextSMPC"/>
      </w:pPr>
      <w:r>
        <w:t xml:space="preserve">There is no typical clinical picture resulting from diclofenac over dosage. Symptoms include headache, nausea, vomiting, epigastric pain, gastrointestinal bleeding, rarely </w:t>
      </w:r>
      <w:proofErr w:type="spellStart"/>
      <w:r>
        <w:t>diarrhoea</w:t>
      </w:r>
      <w:proofErr w:type="spellEnd"/>
      <w:r>
        <w:t>, disorientation, excitation, coma, drowsiness, tinnitus, fainting, occasionally, convulsions. In rare cases of significant poisoning acute renal failure and liver damage are possible</w:t>
      </w:r>
      <w:r w:rsidR="00F45471">
        <w:t>.</w:t>
      </w:r>
    </w:p>
    <w:p w14:paraId="54DEDE4D" w14:textId="6AC86F50" w:rsidR="00F45471" w:rsidRDefault="00F45471" w:rsidP="00F45471">
      <w:pPr>
        <w:pStyle w:val="BodyTextSMPC"/>
      </w:pPr>
      <w:r w:rsidRPr="00F45471">
        <w:rPr>
          <w:b/>
          <w:bCs/>
        </w:rPr>
        <w:t>Treatment</w:t>
      </w:r>
    </w:p>
    <w:p w14:paraId="4EECA8C8" w14:textId="77777777" w:rsidR="00E00F5C" w:rsidRDefault="00E00F5C" w:rsidP="00E00F5C">
      <w:pPr>
        <w:pStyle w:val="BodyTextSMPC"/>
      </w:pPr>
      <w:r>
        <w:t xml:space="preserve">Management of acute poisoning with NSAIDs, including diclofenac, essentially consists of supportive measures and symptomatic treatment. Supportive measures and symptomatic treatment should be given for complications, such as hypotension, renal failure, convulsions, gastrointestinal disorder and respiratory depression. </w:t>
      </w:r>
    </w:p>
    <w:p w14:paraId="2964C316" w14:textId="0B0B6349" w:rsidR="00E00F5C" w:rsidRDefault="00E00F5C" w:rsidP="00E00F5C">
      <w:pPr>
        <w:pStyle w:val="BodyTextSMPC"/>
      </w:pPr>
      <w:r>
        <w:lastRenderedPageBreak/>
        <w:t xml:space="preserve">Special measures, such as forced diuresis, dialysis or </w:t>
      </w:r>
      <w:proofErr w:type="spellStart"/>
      <w:r>
        <w:t>haemoperfusion</w:t>
      </w:r>
      <w:proofErr w:type="spellEnd"/>
      <w:r>
        <w:t xml:space="preserve"> are probably of no help in eliminating NSAIDs, including diclofenac, due to the high protein binding and extensive metabolism. </w:t>
      </w:r>
    </w:p>
    <w:p w14:paraId="779748E9" w14:textId="5DE59DF8" w:rsidR="00227FD4" w:rsidRPr="001D7E5E" w:rsidRDefault="00E00F5C" w:rsidP="00E00F5C">
      <w:pPr>
        <w:pStyle w:val="BodyTextSMPC"/>
      </w:pPr>
      <w:r>
        <w:t>Activated charcoal may be considered after ingestion of a potentially toxic overdose and gastric decontamination (e.g. vomiting, gastric lavage) after ingestion of a potentially life-threatening overdose</w:t>
      </w:r>
      <w:r w:rsidR="00CA4A4A">
        <w:t>.</w:t>
      </w:r>
    </w:p>
    <w:p w14:paraId="01D50C2F" w14:textId="727E5579" w:rsidR="00227FD4" w:rsidRPr="008F5678" w:rsidRDefault="006470B1" w:rsidP="00671E86">
      <w:pPr>
        <w:pStyle w:val="HEADING1SMPC"/>
      </w:pPr>
      <w:r w:rsidRPr="008F5678">
        <w:t xml:space="preserve">PHARMACOLOGICAL PROPERTIES </w:t>
      </w:r>
    </w:p>
    <w:p w14:paraId="65410C03" w14:textId="784FDABA" w:rsidR="00227FD4" w:rsidRPr="008F5678" w:rsidRDefault="006470B1" w:rsidP="00671E86">
      <w:pPr>
        <w:pStyle w:val="SubHeafingSMPC"/>
      </w:pPr>
      <w:r w:rsidRPr="008F5678">
        <w:t xml:space="preserve">Pharmacodynamic properties </w:t>
      </w:r>
    </w:p>
    <w:p w14:paraId="05A1C7FB" w14:textId="77777777" w:rsidR="00816147" w:rsidRDefault="00816147" w:rsidP="00816147">
      <w:pPr>
        <w:pStyle w:val="BodyTextSMPC"/>
      </w:pPr>
      <w:r>
        <w:t xml:space="preserve">Pharmacotherapeutic group: Acetic acid derivatives and related substances, </w:t>
      </w:r>
    </w:p>
    <w:p w14:paraId="5EFDE0C7" w14:textId="77777777" w:rsidR="00816147" w:rsidRDefault="00816147" w:rsidP="00816147">
      <w:pPr>
        <w:pStyle w:val="BodyTextSMPC"/>
      </w:pPr>
      <w:r>
        <w:t>ATC code: M01AB05</w:t>
      </w:r>
    </w:p>
    <w:p w14:paraId="128B7C7F" w14:textId="4BFDB462" w:rsidR="002A4FA2" w:rsidRDefault="002A4FA2" w:rsidP="00816147">
      <w:pPr>
        <w:pStyle w:val="BodyTextSMPC"/>
      </w:pPr>
      <w:r w:rsidRPr="00816147">
        <w:rPr>
          <w:b/>
          <w:bCs/>
        </w:rPr>
        <w:t>Mechanism of action</w:t>
      </w:r>
      <w:r>
        <w:t xml:space="preserve">: </w:t>
      </w:r>
    </w:p>
    <w:p w14:paraId="5E68D76D" w14:textId="3392A7FA" w:rsidR="002A4FA2" w:rsidRDefault="002A4FA2" w:rsidP="002A4FA2">
      <w:pPr>
        <w:pStyle w:val="BodyTextSMPC"/>
      </w:pPr>
      <w:r>
        <w:t xml:space="preserve">Diclofenac Sodium is a non-steroidal agent with marked analgesic/anti-inflammatory and antipyretic properties. Like most other drugs in this class, it is an inhibitor of prostaglandin synthetase, (cyclo-oxygenase). </w:t>
      </w:r>
    </w:p>
    <w:p w14:paraId="51641238" w14:textId="4E78AE31" w:rsidR="00351B91" w:rsidRDefault="002A4FA2" w:rsidP="002A4FA2">
      <w:pPr>
        <w:pStyle w:val="BodyTextSMPC"/>
      </w:pPr>
      <w:r>
        <w:t>Diclofenac sodium in vitro does not suppress proteoglycan biosynthesis in cartilage at concentrations equivalent to the concentrations reached in human beings</w:t>
      </w:r>
      <w:r w:rsidR="00BB0627">
        <w:t>.</w:t>
      </w:r>
    </w:p>
    <w:p w14:paraId="1B2570FC" w14:textId="3CB53918" w:rsidR="00934487" w:rsidRPr="00424399" w:rsidRDefault="006470B1" w:rsidP="00424399">
      <w:pPr>
        <w:pStyle w:val="SubHeafingSMPC"/>
      </w:pPr>
      <w:r w:rsidRPr="008F5678">
        <w:t xml:space="preserve">Pharmacokinetic properties </w:t>
      </w:r>
    </w:p>
    <w:p w14:paraId="0068A597" w14:textId="7BB18943" w:rsidR="00CA3714" w:rsidRDefault="00CA3714" w:rsidP="00CA3714">
      <w:pPr>
        <w:pStyle w:val="BodyTextSMPC"/>
      </w:pPr>
      <w:r>
        <w:t xml:space="preserve">After ingestion of the diclofenac slow release tablet, the active principle is slowly released into the gastrointestinal contents. Once released from the tablet, diclofenac is rapidly absorbed from the gastrointestinal tract but is subject to first-pass metabolism. Peak plasma concentrations occur about 4.5 hours after administration of the prolonged release tablets when taken with a meal. Food and antacids decrease the rate but not the extent of absorption of diclofenac. The systemic availability of diclofenac from the SR formulations is on average 82% of that achieved with the same dose of enteric-coated tablets (possibly due to release rate dependent first-pass metabolism). The active substance is 99.7% bound to plasma proteins, mainly albumin. Diclofenac enters the synovial fluid and peak synovial fluid concentrations at steady state exceed plasma concentrations. Furthermore, elimination from the synovial fluid is </w:t>
      </w:r>
      <w:r>
        <w:lastRenderedPageBreak/>
        <w:t xml:space="preserve">slower than from plasma. Diclofenac and its metabolites cross the placenta and traces of diclofenac have been found in the milk of lactating women. The half-life for the terminal elimination phase is 3 hours. Approximately 60% of the administered dose is excreted via the kidneys in the form of metabolites and less than 1% in unchanged form. About 30% of the dose is excreted via the bile in </w:t>
      </w:r>
      <w:proofErr w:type="spellStart"/>
      <w:r>
        <w:t>metabolised</w:t>
      </w:r>
      <w:proofErr w:type="spellEnd"/>
      <w:r>
        <w:t xml:space="preserve"> form. In patients with impaired renal function, accumulation of diclofenac sodium has not been reported. However, half-life of diclofenac may be prolonged in patients with severe renal impairment. </w:t>
      </w:r>
    </w:p>
    <w:p w14:paraId="72B1BE29" w14:textId="40CDBC2E" w:rsidR="00D73416" w:rsidRDefault="00CA3714" w:rsidP="00CA3714">
      <w:pPr>
        <w:pStyle w:val="BodyTextSMPC"/>
      </w:pPr>
      <w:r>
        <w:t xml:space="preserve">Five Diclofenac metabolites have been identified in human plasma and urine. The metabolites include 4'-hydroxy-, 5-hydroxy-, 3'-hydroxy-, 4',5-dihydroxy-and 3'-hydroxy-4'-methoxy-Diclofenac. The major Diclofenac metabolite, 4'-hydroxy-Diclofenac, has very weak pharmacologic activity. The formation of 4'-hydroxy Diclofenac is primarily mediated by CYP2C9. Both Diclofenac and its oxidative metabolites undergo glucuronidation or sulfation followed by biliary excretion. </w:t>
      </w:r>
      <w:proofErr w:type="spellStart"/>
      <w:r>
        <w:t>Acylglucuronidation</w:t>
      </w:r>
      <w:proofErr w:type="spellEnd"/>
      <w:r>
        <w:t xml:space="preserve"> mediated by UGT2B7 and oxidation mediated by CYP2C8 may also play a role in Diclofenac metabolism. CYP3A4 is responsible for the formation of minor metabolites, 5-hydroxy and 3'-hydroxy-Diclofenac. In patients with renal dysfunction, peak concentrations of metabolites 4'-hydroxy- and 5-hydroxy-Diclofenac were approximately 50% and 4% of the parent compound after single oral dosing compared to 27% and 1% in normal healthy subjects. </w:t>
      </w:r>
    </w:p>
    <w:p w14:paraId="0BBA0F2C" w14:textId="58A139F5" w:rsidR="00227FD4" w:rsidRPr="008F5678" w:rsidRDefault="006470B1" w:rsidP="00671E86">
      <w:pPr>
        <w:pStyle w:val="SubHeafingSMPC"/>
      </w:pPr>
      <w:r w:rsidRPr="008F5678">
        <w:t xml:space="preserve">Preclinical safety data </w:t>
      </w:r>
    </w:p>
    <w:p w14:paraId="7BE4B9BC" w14:textId="1E7E52A1" w:rsidR="00227FD4" w:rsidRPr="005574FA" w:rsidRDefault="00D73416" w:rsidP="00155D95">
      <w:pPr>
        <w:pStyle w:val="BodyTextSMPC"/>
      </w:pPr>
      <w:r w:rsidRPr="00D73416">
        <w:t>None stated</w:t>
      </w:r>
      <w:r w:rsidR="00155D95">
        <w:t>.</w:t>
      </w:r>
    </w:p>
    <w:p w14:paraId="1C50E84B" w14:textId="77777777" w:rsidR="00671E86" w:rsidRPr="008F5678" w:rsidRDefault="006470B1" w:rsidP="00671E86">
      <w:pPr>
        <w:pStyle w:val="HEADING1SMPC"/>
      </w:pPr>
      <w:r w:rsidRPr="008F5678">
        <w:t xml:space="preserve">PHARMACEUTICAL PARTICULARS </w:t>
      </w:r>
    </w:p>
    <w:p w14:paraId="1DA9BFB1" w14:textId="77777777" w:rsidR="00671E86" w:rsidRPr="008F5678" w:rsidRDefault="006470B1" w:rsidP="00671E86">
      <w:pPr>
        <w:pStyle w:val="SubHeafingSMPC"/>
        <w:rPr>
          <w:szCs w:val="48"/>
        </w:rPr>
      </w:pPr>
      <w:r w:rsidRPr="008F5678">
        <w:t>List of excipients</w:t>
      </w:r>
    </w:p>
    <w:p w14:paraId="29EE4701" w14:textId="1D0D2DFB" w:rsidR="00227FD4" w:rsidRPr="008F5678" w:rsidRDefault="006470B1"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6470B1" w:rsidP="00671E86">
      <w:pPr>
        <w:pStyle w:val="SubHeafingSMPC"/>
      </w:pPr>
      <w:r w:rsidRPr="008F5678">
        <w:t xml:space="preserve">Incompatibilities </w:t>
      </w:r>
    </w:p>
    <w:p w14:paraId="1EF971C7" w14:textId="111FC0EB" w:rsidR="00E139AC" w:rsidRPr="006E7537" w:rsidRDefault="00D73416" w:rsidP="00913543">
      <w:pPr>
        <w:pStyle w:val="BodyTextSMPC"/>
      </w:pPr>
      <w:r w:rsidRPr="00D73416">
        <w:t>Not Applicable</w:t>
      </w:r>
      <w:r w:rsidR="00155D95" w:rsidRPr="00155D95">
        <w:t xml:space="preserve"> </w:t>
      </w:r>
      <w:r w:rsidR="00913543">
        <w:t xml:space="preserve"> </w:t>
      </w:r>
    </w:p>
    <w:p w14:paraId="6ED2FEF3" w14:textId="77777777" w:rsidR="00671E86" w:rsidRPr="008F5678" w:rsidRDefault="006470B1" w:rsidP="00671E86">
      <w:pPr>
        <w:pStyle w:val="SubHeafingSMPC"/>
      </w:pPr>
      <w:r w:rsidRPr="008F5678">
        <w:t xml:space="preserve">Shelf life </w:t>
      </w:r>
    </w:p>
    <w:p w14:paraId="0B04EBD7" w14:textId="1C972E2C" w:rsidR="00227FD4" w:rsidRPr="008F5678" w:rsidRDefault="006470B1" w:rsidP="00671E86">
      <w:pPr>
        <w:pStyle w:val="BodyTextSMPC"/>
        <w:rPr>
          <w:color w:val="FF0000"/>
        </w:rPr>
      </w:pPr>
      <w:r w:rsidRPr="008F5678">
        <w:rPr>
          <w:color w:val="FF0000"/>
        </w:rPr>
        <w:lastRenderedPageBreak/>
        <w:t xml:space="preserve">&lt;REGARDING THE APPROVAL&gt; </w:t>
      </w:r>
    </w:p>
    <w:p w14:paraId="56D84F87" w14:textId="2DC2F430" w:rsidR="00227FD4" w:rsidRPr="008F5678" w:rsidRDefault="006470B1" w:rsidP="00671E86">
      <w:pPr>
        <w:pStyle w:val="SubHeafingSMPC"/>
      </w:pPr>
      <w:r w:rsidRPr="008F5678">
        <w:t xml:space="preserve">Special precautions for storage </w:t>
      </w:r>
    </w:p>
    <w:p w14:paraId="436FBF44" w14:textId="77777777" w:rsidR="00227FD4" w:rsidRPr="008F5678" w:rsidRDefault="006470B1" w:rsidP="00671E86">
      <w:pPr>
        <w:pStyle w:val="BodyTextSMPC"/>
        <w:rPr>
          <w:color w:val="FF0000"/>
        </w:rPr>
      </w:pPr>
      <w:r w:rsidRPr="008F5678">
        <w:rPr>
          <w:color w:val="FF0000"/>
        </w:rPr>
        <w:t xml:space="preserve">&lt;REGARDING THE APPROVAL&gt; </w:t>
      </w:r>
    </w:p>
    <w:p w14:paraId="310969A6" w14:textId="4DBA24FB" w:rsidR="00227FD4" w:rsidRPr="008F5678" w:rsidRDefault="006470B1" w:rsidP="00671E86">
      <w:pPr>
        <w:pStyle w:val="SubHeafingSMPC"/>
      </w:pPr>
      <w:r w:rsidRPr="008F5678">
        <w:t xml:space="preserve">Nature and contents of container </w:t>
      </w:r>
    </w:p>
    <w:p w14:paraId="5126C5E4" w14:textId="77777777" w:rsidR="00227FD4" w:rsidRPr="008F5678" w:rsidRDefault="006470B1" w:rsidP="00671E86">
      <w:pPr>
        <w:pStyle w:val="BodyTextSMPC"/>
        <w:rPr>
          <w:color w:val="FF0000"/>
        </w:rPr>
      </w:pPr>
      <w:r w:rsidRPr="008F5678">
        <w:rPr>
          <w:color w:val="FF0000"/>
        </w:rPr>
        <w:t xml:space="preserve">&lt;REGARDING THE APPROVAL&gt; </w:t>
      </w:r>
    </w:p>
    <w:p w14:paraId="39A2BB24" w14:textId="7EB7E170" w:rsidR="00353092" w:rsidRPr="00F62FFF" w:rsidRDefault="006470B1"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6470B1" w:rsidP="00671E86">
      <w:pPr>
        <w:pStyle w:val="HEADING1SMPC"/>
      </w:pPr>
      <w:r w:rsidRPr="008F5678">
        <w:t xml:space="preserve">MARKETING AUTHORISATION HOLDER </w:t>
      </w:r>
    </w:p>
    <w:p w14:paraId="1A4DEAFE" w14:textId="479FBF80" w:rsidR="00227FD4" w:rsidRPr="008F5678" w:rsidRDefault="006470B1" w:rsidP="00671E86">
      <w:pPr>
        <w:pStyle w:val="BodyTextSMPC"/>
        <w:rPr>
          <w:color w:val="FF0000"/>
        </w:rPr>
      </w:pPr>
      <w:r w:rsidRPr="008F5678">
        <w:rPr>
          <w:color w:val="FF0000"/>
        </w:rPr>
        <w:t xml:space="preserve">&lt;REGARDING THE APPROVAL&gt; </w:t>
      </w:r>
    </w:p>
    <w:p w14:paraId="7861388E" w14:textId="77777777" w:rsidR="00671E86" w:rsidRPr="008F5678" w:rsidRDefault="006470B1"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6470B1" w:rsidP="00671E86">
      <w:pPr>
        <w:pStyle w:val="BodyTextSMPC"/>
        <w:rPr>
          <w:color w:val="FF0000"/>
        </w:rPr>
      </w:pPr>
      <w:r w:rsidRPr="008F5678">
        <w:rPr>
          <w:color w:val="FF0000"/>
        </w:rPr>
        <w:t xml:space="preserve">&lt;REGARDING THE APPROVAL&gt; </w:t>
      </w:r>
    </w:p>
    <w:p w14:paraId="4BBFA2CA" w14:textId="43A70425" w:rsidR="00227FD4" w:rsidRPr="008F5678" w:rsidRDefault="006470B1"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6470B1" w:rsidP="00671E86">
      <w:pPr>
        <w:pStyle w:val="BodyTextSMPC"/>
        <w:rPr>
          <w:color w:val="FF0000"/>
        </w:rPr>
      </w:pPr>
      <w:r w:rsidRPr="008F5678">
        <w:rPr>
          <w:color w:val="FF0000"/>
        </w:rPr>
        <w:t>&lt;REGARDING THE APPROVAL&gt;</w:t>
      </w:r>
    </w:p>
    <w:p w14:paraId="61740F71" w14:textId="77777777" w:rsidR="00671E86" w:rsidRPr="008F5678" w:rsidRDefault="006470B1"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6470B1"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720D" w14:textId="77777777" w:rsidR="00CD0BE9" w:rsidRDefault="00CD0BE9" w:rsidP="008F5678">
      <w:pPr>
        <w:spacing w:line="240" w:lineRule="auto"/>
      </w:pPr>
      <w:r>
        <w:separator/>
      </w:r>
    </w:p>
  </w:endnote>
  <w:endnote w:type="continuationSeparator" w:id="0">
    <w:p w14:paraId="10803F13" w14:textId="77777777" w:rsidR="00CD0BE9" w:rsidRDefault="00CD0BE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EndPr>
      <w:rPr>
        <w:rStyle w:val="PageNumber"/>
      </w:rPr>
    </w:sdtEnd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EndPr>
      <w:rPr>
        <w:rStyle w:val="PageNumber"/>
      </w:rPr>
    </w:sdtEnd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5CC2EB1"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D73416">
      <w:rPr>
        <w:rFonts w:ascii="Times New Roman" w:hAnsi="Times New Roman" w:cs="Times New Roman"/>
        <w:sz w:val="24"/>
        <w:szCs w:val="24"/>
      </w:rPr>
      <w:t>Diclofenac</w:t>
    </w:r>
    <w:r w:rsidR="00DD1ED7">
      <w:rPr>
        <w:rFonts w:ascii="Times New Roman" w:hAnsi="Times New Roman" w:cs="Times New Roman"/>
        <w:sz w:val="24"/>
        <w:szCs w:val="24"/>
      </w:rPr>
      <w:t xml:space="preserve"> </w:t>
    </w:r>
    <w:r w:rsidR="00E048B3" w:rsidRPr="00E048B3">
      <w:rPr>
        <w:rFonts w:ascii="Times New Roman" w:hAnsi="Times New Roman" w:cs="Times New Roman"/>
        <w:sz w:val="24"/>
        <w:szCs w:val="24"/>
      </w:rPr>
      <w:t>prolonged-release tablets</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E048B3">
      <w:rPr>
        <w:rFonts w:ascii="Times New Roman" w:hAnsi="Times New Roman" w:cs="Times New Roman"/>
        <w:sz w:val="24"/>
        <w:szCs w:val="24"/>
      </w:rPr>
      <w:t>24/02/2024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AA2A1" w14:textId="77777777" w:rsidR="00CD0BE9" w:rsidRDefault="00CD0BE9" w:rsidP="008F5678">
      <w:pPr>
        <w:spacing w:line="240" w:lineRule="auto"/>
      </w:pPr>
      <w:r>
        <w:separator/>
      </w:r>
    </w:p>
  </w:footnote>
  <w:footnote w:type="continuationSeparator" w:id="0">
    <w:p w14:paraId="20597469" w14:textId="77777777" w:rsidR="00CD0BE9" w:rsidRDefault="00CD0BE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B3917"/>
    <w:rsid w:val="001D74D3"/>
    <w:rsid w:val="001D7E5E"/>
    <w:rsid w:val="001E1455"/>
    <w:rsid w:val="001E4A8C"/>
    <w:rsid w:val="00200B73"/>
    <w:rsid w:val="00203871"/>
    <w:rsid w:val="00210318"/>
    <w:rsid w:val="00217343"/>
    <w:rsid w:val="00227FD4"/>
    <w:rsid w:val="00232126"/>
    <w:rsid w:val="00233A79"/>
    <w:rsid w:val="00233EB4"/>
    <w:rsid w:val="002357B1"/>
    <w:rsid w:val="00254057"/>
    <w:rsid w:val="002630AC"/>
    <w:rsid w:val="00263B77"/>
    <w:rsid w:val="00272F4D"/>
    <w:rsid w:val="002933FE"/>
    <w:rsid w:val="002A4FA2"/>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B525B"/>
    <w:rsid w:val="003E51AD"/>
    <w:rsid w:val="003E756F"/>
    <w:rsid w:val="00400BAB"/>
    <w:rsid w:val="00411954"/>
    <w:rsid w:val="00415AF9"/>
    <w:rsid w:val="00415F30"/>
    <w:rsid w:val="00417A75"/>
    <w:rsid w:val="00421378"/>
    <w:rsid w:val="00424399"/>
    <w:rsid w:val="00424C7B"/>
    <w:rsid w:val="00424F84"/>
    <w:rsid w:val="004547B5"/>
    <w:rsid w:val="00462D7E"/>
    <w:rsid w:val="004707A7"/>
    <w:rsid w:val="00473071"/>
    <w:rsid w:val="00473DAC"/>
    <w:rsid w:val="00475F22"/>
    <w:rsid w:val="00480965"/>
    <w:rsid w:val="0048242B"/>
    <w:rsid w:val="004A007B"/>
    <w:rsid w:val="004A5AB4"/>
    <w:rsid w:val="004B5CBB"/>
    <w:rsid w:val="004D6737"/>
    <w:rsid w:val="004F658C"/>
    <w:rsid w:val="005122F4"/>
    <w:rsid w:val="00523E4C"/>
    <w:rsid w:val="005248D2"/>
    <w:rsid w:val="00527C32"/>
    <w:rsid w:val="005574FA"/>
    <w:rsid w:val="00573351"/>
    <w:rsid w:val="00577713"/>
    <w:rsid w:val="005B5962"/>
    <w:rsid w:val="005B78A4"/>
    <w:rsid w:val="00606B16"/>
    <w:rsid w:val="006101D5"/>
    <w:rsid w:val="00612EBE"/>
    <w:rsid w:val="006147EE"/>
    <w:rsid w:val="006224A3"/>
    <w:rsid w:val="0062302F"/>
    <w:rsid w:val="00641955"/>
    <w:rsid w:val="006448B7"/>
    <w:rsid w:val="00646ECA"/>
    <w:rsid w:val="006470B1"/>
    <w:rsid w:val="00671E86"/>
    <w:rsid w:val="006752B9"/>
    <w:rsid w:val="0069711D"/>
    <w:rsid w:val="006A7BA7"/>
    <w:rsid w:val="006B0EF4"/>
    <w:rsid w:val="006B41AF"/>
    <w:rsid w:val="006B462B"/>
    <w:rsid w:val="006C22F9"/>
    <w:rsid w:val="006D4823"/>
    <w:rsid w:val="006E3D76"/>
    <w:rsid w:val="006E7537"/>
    <w:rsid w:val="00702D8E"/>
    <w:rsid w:val="007257A9"/>
    <w:rsid w:val="007258BA"/>
    <w:rsid w:val="00732389"/>
    <w:rsid w:val="0073256D"/>
    <w:rsid w:val="00742D9B"/>
    <w:rsid w:val="0075380E"/>
    <w:rsid w:val="007547F4"/>
    <w:rsid w:val="00755C3B"/>
    <w:rsid w:val="00757ABD"/>
    <w:rsid w:val="0076728F"/>
    <w:rsid w:val="00774F68"/>
    <w:rsid w:val="00783899"/>
    <w:rsid w:val="007A4C62"/>
    <w:rsid w:val="007A70CC"/>
    <w:rsid w:val="007B01F4"/>
    <w:rsid w:val="007B18D7"/>
    <w:rsid w:val="007C2ED9"/>
    <w:rsid w:val="007C754A"/>
    <w:rsid w:val="007F2B3F"/>
    <w:rsid w:val="00816147"/>
    <w:rsid w:val="00816633"/>
    <w:rsid w:val="00817FAD"/>
    <w:rsid w:val="00834A79"/>
    <w:rsid w:val="008401B5"/>
    <w:rsid w:val="00842E18"/>
    <w:rsid w:val="008561A2"/>
    <w:rsid w:val="00857F59"/>
    <w:rsid w:val="008639E1"/>
    <w:rsid w:val="00876D3E"/>
    <w:rsid w:val="00894F3B"/>
    <w:rsid w:val="008A2A73"/>
    <w:rsid w:val="008B5BE5"/>
    <w:rsid w:val="008C17A5"/>
    <w:rsid w:val="008C66E8"/>
    <w:rsid w:val="008D0194"/>
    <w:rsid w:val="008D7A61"/>
    <w:rsid w:val="008F276B"/>
    <w:rsid w:val="008F3900"/>
    <w:rsid w:val="008F5678"/>
    <w:rsid w:val="00907B35"/>
    <w:rsid w:val="00913543"/>
    <w:rsid w:val="00920EDB"/>
    <w:rsid w:val="009242EA"/>
    <w:rsid w:val="00934487"/>
    <w:rsid w:val="0094110D"/>
    <w:rsid w:val="00955F90"/>
    <w:rsid w:val="00962771"/>
    <w:rsid w:val="00962985"/>
    <w:rsid w:val="009636A7"/>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BF6"/>
    <w:rsid w:val="00B054C9"/>
    <w:rsid w:val="00B14DD9"/>
    <w:rsid w:val="00B24321"/>
    <w:rsid w:val="00B2537D"/>
    <w:rsid w:val="00B36B0E"/>
    <w:rsid w:val="00B43ABA"/>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BE28CC"/>
    <w:rsid w:val="00C03E69"/>
    <w:rsid w:val="00C04DF2"/>
    <w:rsid w:val="00C069FE"/>
    <w:rsid w:val="00C07D84"/>
    <w:rsid w:val="00C15438"/>
    <w:rsid w:val="00C21A1C"/>
    <w:rsid w:val="00C34CD3"/>
    <w:rsid w:val="00C36E7B"/>
    <w:rsid w:val="00C44BFC"/>
    <w:rsid w:val="00C5591F"/>
    <w:rsid w:val="00C64664"/>
    <w:rsid w:val="00C77195"/>
    <w:rsid w:val="00CA053A"/>
    <w:rsid w:val="00CA3714"/>
    <w:rsid w:val="00CA4A4A"/>
    <w:rsid w:val="00CB12DC"/>
    <w:rsid w:val="00CB19BE"/>
    <w:rsid w:val="00CC4741"/>
    <w:rsid w:val="00CD0BE9"/>
    <w:rsid w:val="00CD5ED5"/>
    <w:rsid w:val="00CE7887"/>
    <w:rsid w:val="00D1697D"/>
    <w:rsid w:val="00D32C40"/>
    <w:rsid w:val="00D3643A"/>
    <w:rsid w:val="00D432B1"/>
    <w:rsid w:val="00D47475"/>
    <w:rsid w:val="00D5236F"/>
    <w:rsid w:val="00D73416"/>
    <w:rsid w:val="00D80544"/>
    <w:rsid w:val="00D90A3C"/>
    <w:rsid w:val="00DB6202"/>
    <w:rsid w:val="00DC23BB"/>
    <w:rsid w:val="00DD1ED7"/>
    <w:rsid w:val="00DF0DD2"/>
    <w:rsid w:val="00DF79C1"/>
    <w:rsid w:val="00E00F5C"/>
    <w:rsid w:val="00E01FDA"/>
    <w:rsid w:val="00E048B3"/>
    <w:rsid w:val="00E05AA0"/>
    <w:rsid w:val="00E139AC"/>
    <w:rsid w:val="00E21167"/>
    <w:rsid w:val="00E222B8"/>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250D"/>
    <w:rsid w:val="00F04BB0"/>
    <w:rsid w:val="00F17745"/>
    <w:rsid w:val="00F373F9"/>
    <w:rsid w:val="00F42790"/>
    <w:rsid w:val="00F4390B"/>
    <w:rsid w:val="00F45471"/>
    <w:rsid w:val="00F512AD"/>
    <w:rsid w:val="00F62E5E"/>
    <w:rsid w:val="00F62FFF"/>
    <w:rsid w:val="00F70F86"/>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paragraph" w:styleId="FootnoteText">
    <w:name w:val="footnote text"/>
    <w:basedOn w:val="Normal"/>
    <w:link w:val="FootnoteTextChar"/>
    <w:uiPriority w:val="99"/>
    <w:semiHidden/>
    <w:unhideWhenUsed/>
    <w:rsid w:val="00641955"/>
    <w:pPr>
      <w:spacing w:line="240" w:lineRule="auto"/>
    </w:pPr>
    <w:rPr>
      <w:rFonts w:cs="Cordia New"/>
      <w:sz w:val="20"/>
      <w:szCs w:val="25"/>
    </w:rPr>
  </w:style>
  <w:style w:type="character" w:customStyle="1" w:styleId="FootnoteTextChar">
    <w:name w:val="Footnote Text Char"/>
    <w:basedOn w:val="DefaultParagraphFont"/>
    <w:link w:val="FootnoteText"/>
    <w:uiPriority w:val="99"/>
    <w:semiHidden/>
    <w:rsid w:val="00641955"/>
    <w:rPr>
      <w:rFonts w:cs="Cordia New"/>
      <w:sz w:val="20"/>
      <w:szCs w:val="25"/>
    </w:rPr>
  </w:style>
  <w:style w:type="character" w:styleId="FootnoteReference">
    <w:name w:val="footnote reference"/>
    <w:basedOn w:val="DefaultParagraphFont"/>
    <w:uiPriority w:val="99"/>
    <w:semiHidden/>
    <w:unhideWhenUsed/>
    <w:rsid w:val="00641955"/>
    <w:rPr>
      <w:sz w:val="32"/>
      <w:szCs w:val="32"/>
      <w:vertAlign w:val="superscript"/>
    </w:rPr>
  </w:style>
  <w:style w:type="paragraph" w:styleId="EndnoteText">
    <w:name w:val="endnote text"/>
    <w:basedOn w:val="Normal"/>
    <w:link w:val="EndnoteTextChar"/>
    <w:uiPriority w:val="99"/>
    <w:semiHidden/>
    <w:unhideWhenUsed/>
    <w:rsid w:val="00641955"/>
    <w:pPr>
      <w:spacing w:line="240" w:lineRule="auto"/>
    </w:pPr>
    <w:rPr>
      <w:rFonts w:cs="Cordia New"/>
      <w:sz w:val="20"/>
      <w:szCs w:val="25"/>
    </w:rPr>
  </w:style>
  <w:style w:type="character" w:customStyle="1" w:styleId="EndnoteTextChar">
    <w:name w:val="Endnote Text Char"/>
    <w:basedOn w:val="DefaultParagraphFont"/>
    <w:link w:val="EndnoteText"/>
    <w:uiPriority w:val="99"/>
    <w:semiHidden/>
    <w:rsid w:val="00641955"/>
    <w:rPr>
      <w:rFonts w:cs="Cordia New"/>
      <w:sz w:val="20"/>
      <w:szCs w:val="25"/>
    </w:rPr>
  </w:style>
  <w:style w:type="character" w:styleId="EndnoteReference">
    <w:name w:val="endnote reference"/>
    <w:basedOn w:val="DefaultParagraphFont"/>
    <w:uiPriority w:val="99"/>
    <w:semiHidden/>
    <w:unhideWhenUsed/>
    <w:rsid w:val="00641955"/>
    <w:rPr>
      <w:sz w:val="32"/>
      <w:szCs w:val="32"/>
      <w:vertAlign w:val="superscript"/>
    </w:rPr>
  </w:style>
  <w:style w:type="paragraph" w:styleId="NormalWeb">
    <w:name w:val="Normal (Web)"/>
    <w:basedOn w:val="Normal"/>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TableGrid">
    <w:name w:val="Table Grid"/>
    <w:basedOn w:val="TableNormal"/>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4485</Words>
  <Characters>25569</Characters>
  <Application>Microsoft Office Word</Application>
  <DocSecurity>0</DocSecurity>
  <Lines>213</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PImlaphat Yommana</cp:lastModifiedBy>
  <cp:revision>5</cp:revision>
  <dcterms:created xsi:type="dcterms:W3CDTF">2024-08-03T05:30:00Z</dcterms:created>
  <dcterms:modified xsi:type="dcterms:W3CDTF">2024-11-27T15:50:00Z</dcterms:modified>
</cp:coreProperties>
</file>