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4690847" w:rsidR="00227FD4" w:rsidRPr="00E641A1" w:rsidRDefault="002933FE" w:rsidP="00AF212D">
      <w:pPr>
        <w:pStyle w:val="BodyTextSMPC"/>
        <w:rPr>
          <w:rFonts w:cstheme="minorBidi"/>
        </w:rPr>
      </w:pPr>
      <w:r w:rsidRPr="002933FE">
        <w:t>Cefazolin</w:t>
      </w:r>
      <w:r>
        <w:rPr>
          <w:color w:val="FF0000"/>
        </w:rPr>
        <w:t xml:space="preserve"> </w:t>
      </w:r>
      <w:r w:rsidR="00C069FE" w:rsidRPr="005574FA">
        <w:rPr>
          <w:color w:val="FF0000"/>
        </w:rPr>
        <w:t xml:space="preserve">&lt;TRADE NAME&gt; &lt;STRENGTH&gt; </w:t>
      </w:r>
      <w:r w:rsidR="00E641A1">
        <w:rPr>
          <w:rFonts w:cstheme="minorBidi" w:hint="cs"/>
          <w:cs/>
        </w:rPr>
        <w:t xml:space="preserve"> </w:t>
      </w:r>
      <w:r w:rsidR="00070173">
        <w:rPr>
          <w:rFonts w:cs="Angsana New"/>
          <w:szCs w:val="35"/>
        </w:rPr>
        <w:t>P</w:t>
      </w:r>
      <w:r w:rsidR="00E72F63" w:rsidRPr="00E72F63">
        <w:t>owders for solutions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0B03748E" w:rsidR="00AF212D" w:rsidRPr="008F5678" w:rsidRDefault="00FD2603" w:rsidP="00AF212D">
      <w:pPr>
        <w:pStyle w:val="BodyTextSMPC"/>
      </w:pPr>
      <w:r w:rsidRPr="00FD2603">
        <w:t xml:space="preserve">Each vial contains </w:t>
      </w:r>
      <w:r w:rsidRPr="005574FA">
        <w:rPr>
          <w:color w:val="FF0000"/>
        </w:rPr>
        <w:t xml:space="preserve">&lt;STRENGTH&gt; </w:t>
      </w:r>
      <w:r w:rsidRPr="00FD2603">
        <w:t>cefazolin (as cefazolin sodium)</w:t>
      </w:r>
      <w:r w:rsidR="002357B1" w:rsidRPr="002357B1">
        <w:t>.</w:t>
      </w:r>
      <w:r w:rsidR="00E641A1">
        <w:rPr>
          <w:rFonts w:cstheme="minorBidi" w:hint="cs"/>
          <w:cs/>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554CD5E4" w:rsidR="00227FD4" w:rsidRPr="00070173" w:rsidRDefault="00070173" w:rsidP="00AF212D">
      <w:pPr>
        <w:pStyle w:val="BodyTextSMPC"/>
        <w:rPr>
          <w:rFonts w:cs="Angsana New"/>
          <w:szCs w:val="35"/>
        </w:rPr>
      </w:pPr>
      <w:r>
        <w:t>P</w:t>
      </w:r>
      <w:r w:rsidRPr="00E72F63">
        <w:t>owders for solutions for injections or infusions</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7540588" w14:textId="43168D79" w:rsidR="00FD2603" w:rsidRPr="00FD2603" w:rsidRDefault="00FD2603" w:rsidP="00FD2603">
      <w:pPr>
        <w:pStyle w:val="BodyTextSMPC"/>
        <w:rPr>
          <w:rFonts w:cstheme="minorBidi"/>
        </w:rPr>
      </w:pPr>
      <w:r w:rsidRPr="00FD2603">
        <w:rPr>
          <w:rFonts w:cstheme="minorBidi"/>
        </w:rPr>
        <w:t xml:space="preserve">Cefazolin Powder for solution for injection/infusion is indicated for the treatment of the following infections caused by cefazolin-susceptible micro-organisms: </w:t>
      </w:r>
    </w:p>
    <w:p w14:paraId="0D64F8D8" w14:textId="77777777" w:rsidR="00FD2603" w:rsidRPr="00FD2603" w:rsidRDefault="00FD2603" w:rsidP="00FD2603">
      <w:pPr>
        <w:pStyle w:val="BodyTextSMPC"/>
        <w:rPr>
          <w:rFonts w:cstheme="minorBidi"/>
        </w:rPr>
      </w:pPr>
      <w:r w:rsidRPr="00FD2603">
        <w:rPr>
          <w:rFonts w:cstheme="minorBidi"/>
        </w:rPr>
        <w:t xml:space="preserve">- skin and soft tissue infections </w:t>
      </w:r>
    </w:p>
    <w:p w14:paraId="75AB200D" w14:textId="77777777" w:rsidR="00FD2603" w:rsidRPr="00FD2603" w:rsidRDefault="00FD2603" w:rsidP="00FD2603">
      <w:pPr>
        <w:pStyle w:val="BodyTextSMPC"/>
        <w:rPr>
          <w:rFonts w:cstheme="minorBidi"/>
        </w:rPr>
      </w:pPr>
      <w:r w:rsidRPr="00FD2603">
        <w:rPr>
          <w:rFonts w:cstheme="minorBidi"/>
        </w:rPr>
        <w:t xml:space="preserve">- bone and joint infections. </w:t>
      </w:r>
    </w:p>
    <w:p w14:paraId="126C824E" w14:textId="37FDE54D" w:rsidR="00FD2603" w:rsidRPr="00FD2603" w:rsidRDefault="00FD2603" w:rsidP="00FD2603">
      <w:pPr>
        <w:pStyle w:val="BodyTextSMPC"/>
        <w:rPr>
          <w:rFonts w:cstheme="minorBidi"/>
        </w:rPr>
      </w:pPr>
      <w:r w:rsidRPr="00FD2603">
        <w:rPr>
          <w:rFonts w:cstheme="minorBidi"/>
        </w:rPr>
        <w:t xml:space="preserve">Perioperative prophylaxis. For surgical operations with increased risk of infections with anaerobic pathogens, e.g. colorectal surgery, a combination with an appropriate drug with activity against anaerobes is recommended. </w:t>
      </w:r>
    </w:p>
    <w:p w14:paraId="67CFB257" w14:textId="77777777" w:rsidR="00FD2603" w:rsidRPr="00FD2603" w:rsidRDefault="00FD2603" w:rsidP="00FD2603">
      <w:pPr>
        <w:pStyle w:val="BodyTextSMPC"/>
        <w:rPr>
          <w:rFonts w:cstheme="minorBidi"/>
        </w:rPr>
      </w:pPr>
      <w:r w:rsidRPr="00FD2603">
        <w:rPr>
          <w:rFonts w:cstheme="minorBidi"/>
        </w:rPr>
        <w:t xml:space="preserve">The use of cefazolin should be limited to cases where parenteral treatment is needed. </w:t>
      </w:r>
    </w:p>
    <w:p w14:paraId="74E75B3A" w14:textId="22529437" w:rsidR="00FD2603" w:rsidRPr="00FD2603" w:rsidRDefault="00FD2603" w:rsidP="00FD2603">
      <w:pPr>
        <w:pStyle w:val="BodyTextSMPC"/>
        <w:rPr>
          <w:rFonts w:cstheme="minorBidi"/>
        </w:rPr>
      </w:pPr>
      <w:r w:rsidRPr="00FD2603">
        <w:rPr>
          <w:rFonts w:cstheme="minorBidi"/>
        </w:rPr>
        <w:lastRenderedPageBreak/>
        <w:t xml:space="preserve">Susceptibility of causative organism to the treatment should be tested (if possible), although therapy may be initiated before the results are available. </w:t>
      </w:r>
    </w:p>
    <w:p w14:paraId="13EF1B36" w14:textId="2C98C18F" w:rsidR="00177864" w:rsidRPr="00982EC5" w:rsidRDefault="00FD2603" w:rsidP="00FD2603">
      <w:pPr>
        <w:pStyle w:val="BodyTextSMPC"/>
        <w:rPr>
          <w:rFonts w:cstheme="minorBidi"/>
        </w:rPr>
      </w:pPr>
      <w:r w:rsidRPr="00FD2603">
        <w:rPr>
          <w:rFonts w:cstheme="minorBidi"/>
        </w:rPr>
        <w:t>Consideration should be given to official guidance on the appropriate use of antibacterial agents</w:t>
      </w:r>
      <w:r>
        <w:rPr>
          <w:rFonts w:cstheme="minorBidi"/>
        </w:rPr>
        <w:t>.</w:t>
      </w:r>
    </w:p>
    <w:p w14:paraId="1953512A" w14:textId="77777777" w:rsidR="00233A79" w:rsidRPr="008F5678" w:rsidRDefault="00000000" w:rsidP="00C21A1C">
      <w:pPr>
        <w:pStyle w:val="SubHeafingSMPC"/>
      </w:pPr>
      <w:r w:rsidRPr="008F5678">
        <w:t>Posology and method of administration</w:t>
      </w:r>
    </w:p>
    <w:p w14:paraId="15D9E641" w14:textId="707210A6" w:rsidR="00F7564F" w:rsidRPr="00FD2603" w:rsidRDefault="00FD2603" w:rsidP="00FD2603">
      <w:pPr>
        <w:pStyle w:val="BodyTextSMPC"/>
      </w:pPr>
      <w:r>
        <w:t>The dosage as well as the method of administration are dependent on the location and severity of the infection and on the clinical and bacteriological progress. Local therapeutic guidance should be taken into consideration.</w:t>
      </w:r>
    </w:p>
    <w:p w14:paraId="3F072594" w14:textId="562745D4" w:rsidR="00F7564F" w:rsidRDefault="00F7564F" w:rsidP="00F7564F">
      <w:pPr>
        <w:pStyle w:val="BodyTextSMPC"/>
      </w:pPr>
      <w:r w:rsidRPr="00F7564F">
        <w:rPr>
          <w:b/>
          <w:bCs/>
        </w:rPr>
        <w:t>Adults and adolescents (</w:t>
      </w:r>
      <w:r w:rsidR="00FD2603" w:rsidRPr="00FD2603">
        <w:rPr>
          <w:b/>
          <w:bCs/>
        </w:rPr>
        <w:t>above 12 years of age and ≥ 40 kg bodyweight</w:t>
      </w:r>
      <w:r w:rsidRPr="00F7564F">
        <w:rPr>
          <w:b/>
          <w:bCs/>
        </w:rPr>
        <w:t>)</w:t>
      </w:r>
    </w:p>
    <w:p w14:paraId="67BB1690" w14:textId="77777777" w:rsidR="00CD5ED5" w:rsidRDefault="00CD5ED5" w:rsidP="00CD5ED5">
      <w:pPr>
        <w:pStyle w:val="BodyTextSMPC"/>
        <w:numPr>
          <w:ilvl w:val="0"/>
          <w:numId w:val="6"/>
        </w:numPr>
      </w:pPr>
      <w:r>
        <w:t xml:space="preserve">Infections caused by sensitive micro-organisms: 1 g - 2 g cefazolin per day divided into 2-3 equal doses. </w:t>
      </w:r>
    </w:p>
    <w:p w14:paraId="7EA17331" w14:textId="5C518684" w:rsidR="00CD5ED5" w:rsidRDefault="00CD5ED5" w:rsidP="00CD5ED5">
      <w:pPr>
        <w:pStyle w:val="BodyTextSMPC"/>
        <w:numPr>
          <w:ilvl w:val="0"/>
          <w:numId w:val="6"/>
        </w:numPr>
      </w:pPr>
      <w:r>
        <w:t>Infections caused by moderately sensitive micro-organisms: 3 g - 4 g cefazolin per day divided into 3-4 equal doses.</w:t>
      </w:r>
    </w:p>
    <w:p w14:paraId="4B9C12F9" w14:textId="3D90BA84" w:rsidR="00CD5ED5" w:rsidRDefault="00CD5ED5" w:rsidP="00CD5ED5">
      <w:pPr>
        <w:pStyle w:val="BodyTextSMPC"/>
      </w:pPr>
      <w:r>
        <w:t>In severe infections, doses of up to 6 g per day can be administered in three or four equal doses (one dose every 6 or 8 hours).</w:t>
      </w:r>
    </w:p>
    <w:p w14:paraId="4BF645AD" w14:textId="77777777" w:rsidR="00CD5ED5" w:rsidRDefault="00CD5ED5" w:rsidP="00F7564F">
      <w:pPr>
        <w:pStyle w:val="BodyTextSMPC"/>
        <w:rPr>
          <w:b/>
          <w:bCs/>
        </w:rPr>
      </w:pPr>
      <w:r w:rsidRPr="00CD5ED5">
        <w:rPr>
          <w:b/>
          <w:bCs/>
        </w:rPr>
        <w:t>Special dosage recommendations</w:t>
      </w:r>
    </w:p>
    <w:p w14:paraId="4C620DFA" w14:textId="77777777" w:rsidR="00CD5ED5" w:rsidRDefault="00CD5ED5" w:rsidP="00CD5ED5">
      <w:pPr>
        <w:pStyle w:val="BodyTextSMPC"/>
      </w:pPr>
      <w:r>
        <w:t>Peri-operative prophylaxis</w:t>
      </w:r>
    </w:p>
    <w:p w14:paraId="2F036A8E" w14:textId="77777777" w:rsidR="00CD5ED5" w:rsidRDefault="00CD5ED5" w:rsidP="00CD5ED5">
      <w:pPr>
        <w:pStyle w:val="BodyTextSMPC"/>
        <w:numPr>
          <w:ilvl w:val="0"/>
          <w:numId w:val="6"/>
        </w:numPr>
      </w:pPr>
      <w:r>
        <w:t xml:space="preserve">To prevent postoperative infection in contaminated or potentially contaminated surgery, recommended doses are: 1 g cefazolin 30 – 60 minutes before surgery </w:t>
      </w:r>
    </w:p>
    <w:p w14:paraId="664A4A16" w14:textId="373E885E" w:rsidR="00CD5ED5" w:rsidRDefault="00CD5ED5" w:rsidP="00CD5ED5">
      <w:pPr>
        <w:pStyle w:val="BodyTextSMPC"/>
        <w:numPr>
          <w:ilvl w:val="0"/>
          <w:numId w:val="6"/>
        </w:numPr>
      </w:pPr>
      <w:r>
        <w:t xml:space="preserve">In case of long surgical interventions (2 hours or more) additional 0.5 - 1 g cefazolin during the intervention. </w:t>
      </w:r>
      <w:r>
        <w:t>–</w:t>
      </w:r>
    </w:p>
    <w:p w14:paraId="0C4CBA84" w14:textId="1C367D6C" w:rsidR="00CD5ED5" w:rsidRDefault="00CD5ED5" w:rsidP="00CD5ED5">
      <w:pPr>
        <w:pStyle w:val="BodyTextSMPC"/>
        <w:numPr>
          <w:ilvl w:val="0"/>
          <w:numId w:val="6"/>
        </w:numPr>
      </w:pPr>
      <w:r>
        <w:t>Prolonged continuation of administration beyond the surgical intervention should be supported by national official guidance.</w:t>
      </w:r>
    </w:p>
    <w:p w14:paraId="66DDE1C3" w14:textId="70D7D5E3" w:rsidR="00CD5ED5" w:rsidRDefault="00CD5ED5" w:rsidP="00CD5ED5">
      <w:pPr>
        <w:pStyle w:val="BodyTextSMPC"/>
      </w:pPr>
      <w:r>
        <w:t xml:space="preserve">It is important that (1) the preoperative dose be given just (30 min to 1 hour) prior to the start of surgery so that adequate antibiotic levels are present in the serum and tissues at the time of initial surgical incision; </w:t>
      </w:r>
      <w:r>
        <w:lastRenderedPageBreak/>
        <w:t>and (2) cefazolin be administered, if necessary, at appropriate intervals during surgery to provide sufficient levels of the antibiotic at the anticipated moments of greatest exposure to infective organisms.</w:t>
      </w:r>
    </w:p>
    <w:p w14:paraId="38E21148" w14:textId="7BF5E489" w:rsidR="0075380E" w:rsidRDefault="00CD5ED5" w:rsidP="00F04BB0">
      <w:pPr>
        <w:pStyle w:val="BodyTextSMPC"/>
      </w:pPr>
      <w:r w:rsidRPr="00CD5ED5">
        <w:rPr>
          <w:b/>
          <w:bCs/>
        </w:rPr>
        <w:t>Adult patients with renal impairment</w:t>
      </w:r>
    </w:p>
    <w:p w14:paraId="52392F2F" w14:textId="77777777" w:rsidR="00CD5ED5" w:rsidRDefault="00CD5ED5" w:rsidP="00CD5ED5">
      <w:pPr>
        <w:pStyle w:val="BodyTextSMPC"/>
      </w:pPr>
      <w:r>
        <w:t xml:space="preserve">Adults with renal impairment may need a lower dose to avoid overlapping. </w:t>
      </w:r>
    </w:p>
    <w:p w14:paraId="76D40CBE" w14:textId="77777777" w:rsidR="00CD5ED5" w:rsidRDefault="00CD5ED5" w:rsidP="00CD5ED5">
      <w:pPr>
        <w:pStyle w:val="BodyTextSMPC"/>
      </w:pPr>
      <w:r>
        <w:t xml:space="preserve">This lower dose may be guided by determining blood levels. If not possible, the </w:t>
      </w:r>
    </w:p>
    <w:p w14:paraId="4BF6BDA4" w14:textId="13C0F8A2" w:rsidR="0075380E" w:rsidRPr="00F7564F" w:rsidRDefault="00CD5ED5" w:rsidP="00CD5ED5">
      <w:pPr>
        <w:pStyle w:val="BodyTextSMPC"/>
      </w:pPr>
      <w:r>
        <w:t xml:space="preserve">dosage can be established based on creatinine clearance. </w:t>
      </w:r>
    </w:p>
    <w:p w14:paraId="27BF7043" w14:textId="76525FBD" w:rsidR="00DB6202" w:rsidRDefault="008D7A61" w:rsidP="00DB6202">
      <w:pPr>
        <w:pStyle w:val="BodyTextSMPC"/>
        <w:rPr>
          <w:b/>
          <w:bCs/>
        </w:rPr>
      </w:pPr>
      <w:r w:rsidRPr="008D7A61">
        <w:rPr>
          <w:b/>
          <w:bCs/>
        </w:rPr>
        <w:t>Cefazolin maintenance therapy in patients with renal impairment</w:t>
      </w:r>
    </w:p>
    <w:tbl>
      <w:tblPr>
        <w:tblStyle w:val="af5"/>
        <w:tblW w:w="0" w:type="auto"/>
        <w:tblInd w:w="794" w:type="dxa"/>
        <w:tblLook w:val="04A0" w:firstRow="1" w:lastRow="0" w:firstColumn="1" w:lastColumn="0" w:noHBand="0" w:noVBand="1"/>
      </w:tblPr>
      <w:tblGrid>
        <w:gridCol w:w="2833"/>
        <w:gridCol w:w="2582"/>
        <w:gridCol w:w="2582"/>
      </w:tblGrid>
      <w:tr w:rsidR="008D7A61" w14:paraId="4B41C576" w14:textId="77777777" w:rsidTr="008D7A61">
        <w:tc>
          <w:tcPr>
            <w:tcW w:w="2833" w:type="dxa"/>
          </w:tcPr>
          <w:p w14:paraId="4A0CA2BE" w14:textId="07D1D10A" w:rsidR="008D7A61" w:rsidRDefault="008D7A61" w:rsidP="008D7A61">
            <w:pPr>
              <w:pStyle w:val="BodyTextSMPC"/>
              <w:spacing w:after="0"/>
              <w:ind w:left="0"/>
              <w:jc w:val="center"/>
            </w:pPr>
            <w:r>
              <w:t>Creatinine clearance (mL /min)</w:t>
            </w:r>
          </w:p>
        </w:tc>
        <w:tc>
          <w:tcPr>
            <w:tcW w:w="2582" w:type="dxa"/>
          </w:tcPr>
          <w:p w14:paraId="61CC3926" w14:textId="174D23C8" w:rsidR="008D7A61" w:rsidRDefault="008D7A61" w:rsidP="008D7A61">
            <w:pPr>
              <w:pStyle w:val="BodyTextSMPC"/>
              <w:spacing w:after="0"/>
              <w:ind w:left="0"/>
              <w:jc w:val="center"/>
            </w:pPr>
            <w:r w:rsidRPr="002538DD">
              <w:t>Serum creatinine (mg / dL)</w:t>
            </w:r>
          </w:p>
        </w:tc>
        <w:tc>
          <w:tcPr>
            <w:tcW w:w="2582" w:type="dxa"/>
          </w:tcPr>
          <w:p w14:paraId="72B956BF" w14:textId="05627D83" w:rsidR="008D7A61" w:rsidRDefault="008D7A61" w:rsidP="008D7A61">
            <w:pPr>
              <w:pStyle w:val="BodyTextSMPC"/>
              <w:spacing w:after="0"/>
              <w:ind w:left="0"/>
              <w:jc w:val="center"/>
            </w:pPr>
            <w:r w:rsidRPr="002538DD">
              <w:t>Dosage</w:t>
            </w:r>
          </w:p>
        </w:tc>
      </w:tr>
      <w:tr w:rsidR="008D7A61" w14:paraId="649F635C" w14:textId="77777777" w:rsidTr="008D7A61">
        <w:tc>
          <w:tcPr>
            <w:tcW w:w="2833" w:type="dxa"/>
          </w:tcPr>
          <w:p w14:paraId="3541253F" w14:textId="607076DF" w:rsidR="008D7A61" w:rsidRDefault="008D7A61" w:rsidP="008D7A61">
            <w:pPr>
              <w:pStyle w:val="BodyTextSMPC"/>
              <w:spacing w:after="0"/>
              <w:ind w:left="0"/>
              <w:jc w:val="center"/>
            </w:pPr>
            <w:r w:rsidRPr="008D7A61">
              <w:t>≥ 55</w:t>
            </w:r>
          </w:p>
        </w:tc>
        <w:tc>
          <w:tcPr>
            <w:tcW w:w="2582" w:type="dxa"/>
          </w:tcPr>
          <w:p w14:paraId="1F3EB283" w14:textId="70ABDC66" w:rsidR="008D7A61" w:rsidRDefault="008D7A61" w:rsidP="008D7A61">
            <w:pPr>
              <w:pStyle w:val="BodyTextSMPC"/>
              <w:spacing w:after="0"/>
              <w:ind w:left="0"/>
              <w:jc w:val="center"/>
            </w:pPr>
            <w:r w:rsidRPr="008D7A61">
              <w:t>≤ 1.5</w:t>
            </w:r>
          </w:p>
        </w:tc>
        <w:tc>
          <w:tcPr>
            <w:tcW w:w="2582" w:type="dxa"/>
          </w:tcPr>
          <w:p w14:paraId="25047ABA" w14:textId="7417FA2B" w:rsidR="008D7A61" w:rsidRDefault="008D7A61" w:rsidP="008D7A61">
            <w:pPr>
              <w:pStyle w:val="BodyTextSMPC"/>
              <w:spacing w:after="0"/>
              <w:ind w:left="0"/>
              <w:jc w:val="center"/>
            </w:pPr>
            <w:r>
              <w:t>Normal dose and normal</w:t>
            </w:r>
          </w:p>
          <w:p w14:paraId="37E4F648" w14:textId="56E530B7" w:rsidR="008D7A61" w:rsidRDefault="008D7A61" w:rsidP="008D7A61">
            <w:pPr>
              <w:pStyle w:val="BodyTextSMPC"/>
              <w:spacing w:after="0"/>
              <w:ind w:left="0"/>
              <w:jc w:val="center"/>
            </w:pPr>
            <w:r>
              <w:t>dosage</w:t>
            </w:r>
          </w:p>
          <w:p w14:paraId="43531026" w14:textId="65C8F149" w:rsidR="008D7A61" w:rsidRDefault="008D7A61" w:rsidP="008D7A61">
            <w:pPr>
              <w:pStyle w:val="BodyTextSMPC"/>
              <w:spacing w:after="0"/>
              <w:ind w:left="0"/>
              <w:jc w:val="center"/>
            </w:pPr>
            <w:r>
              <w:t>interval</w:t>
            </w:r>
          </w:p>
        </w:tc>
      </w:tr>
      <w:tr w:rsidR="008D7A61" w14:paraId="4E242A7C" w14:textId="77777777" w:rsidTr="008D7A61">
        <w:tc>
          <w:tcPr>
            <w:tcW w:w="2833" w:type="dxa"/>
          </w:tcPr>
          <w:p w14:paraId="51B3AD4B" w14:textId="53BE14B1" w:rsidR="008D7A61" w:rsidRDefault="008D7A61" w:rsidP="008D7A61">
            <w:pPr>
              <w:pStyle w:val="BodyTextSMPC"/>
              <w:spacing w:after="0"/>
              <w:ind w:left="0"/>
              <w:jc w:val="center"/>
            </w:pPr>
            <w:r w:rsidRPr="008D7A61">
              <w:t>35 – 54</w:t>
            </w:r>
          </w:p>
        </w:tc>
        <w:tc>
          <w:tcPr>
            <w:tcW w:w="2582" w:type="dxa"/>
          </w:tcPr>
          <w:p w14:paraId="750BED29" w14:textId="3E58EA0E" w:rsidR="008D7A61" w:rsidRDefault="008D7A61" w:rsidP="008D7A61">
            <w:pPr>
              <w:pStyle w:val="BodyTextSMPC"/>
              <w:spacing w:after="0"/>
              <w:ind w:left="0"/>
              <w:jc w:val="center"/>
            </w:pPr>
            <w:r w:rsidRPr="008D7A61">
              <w:t>1.6 – 3.0</w:t>
            </w:r>
          </w:p>
        </w:tc>
        <w:tc>
          <w:tcPr>
            <w:tcW w:w="2582" w:type="dxa"/>
          </w:tcPr>
          <w:p w14:paraId="659632B5" w14:textId="1696B8F0" w:rsidR="008D7A61" w:rsidRDefault="008D7A61" w:rsidP="008D7A61">
            <w:pPr>
              <w:pStyle w:val="BodyTextSMPC"/>
              <w:spacing w:after="0"/>
              <w:ind w:left="0"/>
              <w:jc w:val="center"/>
            </w:pPr>
            <w:r w:rsidRPr="008D7A61">
              <w:t>Normal dose, every 8 hours</w:t>
            </w:r>
          </w:p>
        </w:tc>
      </w:tr>
      <w:tr w:rsidR="008D7A61" w14:paraId="56F4EBBD" w14:textId="77777777" w:rsidTr="008D7A61">
        <w:tc>
          <w:tcPr>
            <w:tcW w:w="2833" w:type="dxa"/>
          </w:tcPr>
          <w:p w14:paraId="5C7EC3FE" w14:textId="795DA123" w:rsidR="008D7A61" w:rsidRDefault="008D7A61" w:rsidP="008D7A61">
            <w:pPr>
              <w:pStyle w:val="BodyTextSMPC"/>
              <w:spacing w:after="0"/>
              <w:ind w:left="0"/>
              <w:jc w:val="center"/>
            </w:pPr>
            <w:r w:rsidRPr="008D7A61">
              <w:t>11 – 34</w:t>
            </w:r>
          </w:p>
        </w:tc>
        <w:tc>
          <w:tcPr>
            <w:tcW w:w="2582" w:type="dxa"/>
          </w:tcPr>
          <w:p w14:paraId="0631C52A" w14:textId="78E1CC20" w:rsidR="008D7A61" w:rsidRDefault="008D7A61" w:rsidP="008D7A61">
            <w:pPr>
              <w:pStyle w:val="BodyTextSMPC"/>
              <w:spacing w:after="0"/>
              <w:ind w:left="0"/>
              <w:jc w:val="center"/>
            </w:pPr>
            <w:r w:rsidRPr="008D7A61">
              <w:t>3.1 – 4.5</w:t>
            </w:r>
          </w:p>
        </w:tc>
        <w:tc>
          <w:tcPr>
            <w:tcW w:w="2582" w:type="dxa"/>
          </w:tcPr>
          <w:p w14:paraId="6FDA31F3" w14:textId="318AC84E" w:rsidR="008D7A61" w:rsidRDefault="008D7A61" w:rsidP="008D7A61">
            <w:pPr>
              <w:pStyle w:val="BodyTextSMPC"/>
              <w:spacing w:after="0"/>
              <w:ind w:left="0"/>
              <w:jc w:val="center"/>
            </w:pPr>
            <w:r>
              <w:t>Half of the normal dose every</w:t>
            </w:r>
          </w:p>
          <w:p w14:paraId="3E658039" w14:textId="20BB1936" w:rsidR="008D7A61" w:rsidRDefault="008D7A61" w:rsidP="008D7A61">
            <w:pPr>
              <w:pStyle w:val="BodyTextSMPC"/>
              <w:spacing w:after="0"/>
              <w:ind w:left="0"/>
              <w:jc w:val="center"/>
            </w:pPr>
            <w:r>
              <w:t>12 hours</w:t>
            </w:r>
          </w:p>
        </w:tc>
      </w:tr>
      <w:tr w:rsidR="008D7A61" w14:paraId="1A07FC6C" w14:textId="77777777" w:rsidTr="008D7A61">
        <w:tc>
          <w:tcPr>
            <w:tcW w:w="2833" w:type="dxa"/>
          </w:tcPr>
          <w:p w14:paraId="0D04941F" w14:textId="13611BA2" w:rsidR="008D7A61" w:rsidRDefault="008D7A61" w:rsidP="008D7A61">
            <w:pPr>
              <w:pStyle w:val="BodyTextSMPC"/>
              <w:spacing w:after="0"/>
              <w:ind w:left="0"/>
              <w:jc w:val="center"/>
            </w:pPr>
            <w:r w:rsidRPr="008D7A61">
              <w:t>≤ 10</w:t>
            </w:r>
          </w:p>
        </w:tc>
        <w:tc>
          <w:tcPr>
            <w:tcW w:w="2582" w:type="dxa"/>
          </w:tcPr>
          <w:p w14:paraId="03B3104E" w14:textId="4D7D9DF2" w:rsidR="008D7A61" w:rsidRDefault="008D7A61" w:rsidP="008D7A61">
            <w:pPr>
              <w:pStyle w:val="BodyTextSMPC"/>
              <w:spacing w:after="0"/>
              <w:ind w:left="0"/>
              <w:jc w:val="center"/>
            </w:pPr>
            <w:r w:rsidRPr="008D7A61">
              <w:t>≥ 4.6</w:t>
            </w:r>
          </w:p>
        </w:tc>
        <w:tc>
          <w:tcPr>
            <w:tcW w:w="2582" w:type="dxa"/>
          </w:tcPr>
          <w:p w14:paraId="589C381A" w14:textId="34331A6C" w:rsidR="008D7A61" w:rsidRDefault="008D7A61" w:rsidP="008D7A61">
            <w:pPr>
              <w:pStyle w:val="BodyTextSMPC"/>
              <w:spacing w:after="0"/>
              <w:ind w:left="0" w:firstLine="720"/>
              <w:jc w:val="center"/>
            </w:pPr>
            <w:r>
              <w:t>Half of the normal dose every</w:t>
            </w:r>
          </w:p>
          <w:p w14:paraId="078525CE" w14:textId="7C212644" w:rsidR="008D7A61" w:rsidRDefault="008D7A61" w:rsidP="008D7A61">
            <w:pPr>
              <w:pStyle w:val="BodyTextSMPC"/>
              <w:spacing w:after="0"/>
              <w:ind w:left="0" w:firstLine="720"/>
              <w:jc w:val="center"/>
            </w:pPr>
            <w:r>
              <w:t>18-24 hours</w:t>
            </w:r>
          </w:p>
        </w:tc>
      </w:tr>
    </w:tbl>
    <w:p w14:paraId="478737E7" w14:textId="215DC6B6" w:rsidR="00E222B8" w:rsidRDefault="004547B5" w:rsidP="004547B5">
      <w:pPr>
        <w:pStyle w:val="BodyTextSMPC"/>
        <w:spacing w:before="240"/>
      </w:pPr>
      <w:r>
        <w:t xml:space="preserve">In </w:t>
      </w:r>
      <w:proofErr w:type="spellStart"/>
      <w:r>
        <w:t>haemodialysis</w:t>
      </w:r>
      <w:proofErr w:type="spellEnd"/>
      <w:r>
        <w:t xml:space="preserve"> patients, the treatment schedule depends on the dialysis conditions. </w:t>
      </w:r>
    </w:p>
    <w:p w14:paraId="4A5907D6" w14:textId="18C46EEB" w:rsidR="005122F4" w:rsidRDefault="005122F4" w:rsidP="004547B5">
      <w:pPr>
        <w:pStyle w:val="BodyTextSMPC"/>
        <w:spacing w:before="240"/>
        <w:rPr>
          <w:b/>
          <w:bCs/>
        </w:rPr>
      </w:pPr>
      <w:r w:rsidRPr="005122F4">
        <w:rPr>
          <w:b/>
          <w:bCs/>
        </w:rPr>
        <w:t>Guidelines for adult dosage</w:t>
      </w:r>
    </w:p>
    <w:p w14:paraId="222C11B9" w14:textId="21714F83" w:rsidR="005122F4" w:rsidRPr="005122F4" w:rsidRDefault="005122F4" w:rsidP="004547B5">
      <w:pPr>
        <w:pStyle w:val="BodyTextSMPC"/>
        <w:spacing w:before="240"/>
        <w:rPr>
          <w:b/>
          <w:bCs/>
        </w:rPr>
      </w:pPr>
      <w:r w:rsidRPr="008F5678">
        <w:rPr>
          <w:color w:val="FF0000"/>
        </w:rPr>
        <w:t>&lt;REGARDING THE APPROVAL&gt;</w:t>
      </w:r>
    </w:p>
    <w:p w14:paraId="0E9D79B8" w14:textId="495AE1F3" w:rsidR="00E222B8" w:rsidRDefault="004547B5" w:rsidP="00E222B8">
      <w:pPr>
        <w:pStyle w:val="BodyTextSMPC"/>
        <w:spacing w:before="240"/>
      </w:pPr>
      <w:proofErr w:type="spellStart"/>
      <w:r w:rsidRPr="004547B5">
        <w:rPr>
          <w:b/>
          <w:bCs/>
        </w:rPr>
        <w:t>Paediatric</w:t>
      </w:r>
      <w:proofErr w:type="spellEnd"/>
      <w:r w:rsidRPr="004547B5">
        <w:rPr>
          <w:b/>
          <w:bCs/>
        </w:rPr>
        <w:t xml:space="preserve"> population</w:t>
      </w:r>
    </w:p>
    <w:p w14:paraId="523455F3" w14:textId="77777777" w:rsidR="004547B5" w:rsidRPr="004547B5" w:rsidRDefault="004547B5" w:rsidP="004547B5">
      <w:pPr>
        <w:pStyle w:val="BodyTextSMPC"/>
        <w:spacing w:before="240"/>
        <w:rPr>
          <w:b/>
          <w:bCs/>
        </w:rPr>
      </w:pPr>
      <w:r w:rsidRPr="004547B5">
        <w:rPr>
          <w:b/>
          <w:bCs/>
        </w:rPr>
        <w:t xml:space="preserve">Infections caused by sensitive microorganisms </w:t>
      </w:r>
    </w:p>
    <w:p w14:paraId="1DCBDB7E" w14:textId="30B038C8" w:rsidR="004547B5" w:rsidRDefault="004547B5" w:rsidP="004547B5">
      <w:pPr>
        <w:pStyle w:val="BodyTextSMPC"/>
        <w:spacing w:before="240"/>
      </w:pPr>
      <w:r>
        <w:lastRenderedPageBreak/>
        <w:t>A dose of 25-50 mg / kg body weight divided into two to four equal doses per day is recommended (one dose every 6, 8 or 12 hours)</w:t>
      </w:r>
    </w:p>
    <w:p w14:paraId="5DD07CF3" w14:textId="77777777" w:rsidR="004547B5" w:rsidRPr="004547B5" w:rsidRDefault="004547B5" w:rsidP="004547B5">
      <w:pPr>
        <w:pStyle w:val="BodyTextSMPC"/>
        <w:spacing w:before="240"/>
        <w:rPr>
          <w:b/>
          <w:bCs/>
        </w:rPr>
      </w:pPr>
      <w:r w:rsidRPr="004547B5">
        <w:rPr>
          <w:b/>
          <w:bCs/>
        </w:rPr>
        <w:t xml:space="preserve">Infections caused by moderately sensitive microorganisms </w:t>
      </w:r>
    </w:p>
    <w:p w14:paraId="6E01992A" w14:textId="4EEB8FE4" w:rsidR="004547B5" w:rsidRDefault="004547B5" w:rsidP="004547B5">
      <w:pPr>
        <w:pStyle w:val="BodyTextSMPC"/>
        <w:spacing w:before="240"/>
      </w:pPr>
      <w:r>
        <w:t>A dose of up to 100 mg / kg body weight divided in three or four equal doses is recommended (one dose every 6 or 8 hours).</w:t>
      </w:r>
    </w:p>
    <w:p w14:paraId="629575B2" w14:textId="77777777" w:rsidR="004547B5" w:rsidRDefault="004547B5" w:rsidP="004547B5">
      <w:pPr>
        <w:pStyle w:val="BodyTextSMPC"/>
        <w:spacing w:before="240"/>
        <w:rPr>
          <w:b/>
          <w:bCs/>
        </w:rPr>
      </w:pPr>
      <w:proofErr w:type="spellStart"/>
      <w:r w:rsidRPr="004547B5">
        <w:rPr>
          <w:b/>
          <w:bCs/>
        </w:rPr>
        <w:t>Prematures</w:t>
      </w:r>
      <w:proofErr w:type="spellEnd"/>
      <w:r w:rsidRPr="004547B5">
        <w:rPr>
          <w:b/>
          <w:bCs/>
        </w:rPr>
        <w:t xml:space="preserve"> and infants below the age of 1 month </w:t>
      </w:r>
    </w:p>
    <w:p w14:paraId="304C10E6" w14:textId="5937D8E8" w:rsidR="004547B5" w:rsidRDefault="004547B5" w:rsidP="004547B5">
      <w:pPr>
        <w:pStyle w:val="BodyTextSMPC"/>
        <w:spacing w:before="240"/>
      </w:pPr>
      <w:r>
        <w:t xml:space="preserve">Since safety of use in </w:t>
      </w:r>
      <w:proofErr w:type="spellStart"/>
      <w:r>
        <w:t>prematures</w:t>
      </w:r>
      <w:proofErr w:type="spellEnd"/>
      <w:r>
        <w:t xml:space="preserve"> and infants below the age of one month has not been determined, the use of Cefazolin Powder for solution for injection/infusion in these patients is not recommended. See also section 4.4.</w:t>
      </w:r>
    </w:p>
    <w:p w14:paraId="7DB3AA73" w14:textId="138FB8B9" w:rsidR="005122F4" w:rsidRDefault="005122F4" w:rsidP="005122F4">
      <w:pPr>
        <w:pStyle w:val="BodyTextSMPC"/>
        <w:spacing w:before="240"/>
        <w:rPr>
          <w:b/>
          <w:bCs/>
        </w:rPr>
      </w:pPr>
      <w:r w:rsidRPr="005122F4">
        <w:rPr>
          <w:b/>
          <w:bCs/>
        </w:rPr>
        <w:t xml:space="preserve">Guidelines for </w:t>
      </w:r>
      <w:proofErr w:type="spellStart"/>
      <w:r>
        <w:rPr>
          <w:b/>
          <w:bCs/>
        </w:rPr>
        <w:t>p</w:t>
      </w:r>
      <w:r w:rsidRPr="004547B5">
        <w:rPr>
          <w:b/>
          <w:bCs/>
        </w:rPr>
        <w:t>aediatric</w:t>
      </w:r>
      <w:proofErr w:type="spellEnd"/>
      <w:r w:rsidRPr="004547B5">
        <w:rPr>
          <w:b/>
          <w:bCs/>
        </w:rPr>
        <w:t xml:space="preserve"> </w:t>
      </w:r>
      <w:r w:rsidRPr="005122F4">
        <w:rPr>
          <w:b/>
          <w:bCs/>
        </w:rPr>
        <w:t>dosage</w:t>
      </w:r>
    </w:p>
    <w:p w14:paraId="709EF356" w14:textId="77777777" w:rsidR="005122F4" w:rsidRPr="005122F4" w:rsidRDefault="005122F4" w:rsidP="005122F4">
      <w:pPr>
        <w:pStyle w:val="BodyTextSMPC"/>
        <w:spacing w:before="240"/>
        <w:rPr>
          <w:b/>
          <w:bCs/>
        </w:rPr>
      </w:pPr>
      <w:r w:rsidRPr="008F5678">
        <w:rPr>
          <w:color w:val="FF0000"/>
        </w:rPr>
        <w:t>&lt;REGARDING THE APPROVAL&gt;</w:t>
      </w:r>
    </w:p>
    <w:p w14:paraId="5A5798B2" w14:textId="77777777" w:rsidR="005122F4" w:rsidRPr="005122F4" w:rsidRDefault="005122F4" w:rsidP="005122F4">
      <w:pPr>
        <w:pStyle w:val="BodyTextSMPC"/>
        <w:spacing w:before="240"/>
        <w:rPr>
          <w:b/>
          <w:bCs/>
        </w:rPr>
      </w:pPr>
      <w:proofErr w:type="spellStart"/>
      <w:r w:rsidRPr="005122F4">
        <w:rPr>
          <w:b/>
          <w:bCs/>
        </w:rPr>
        <w:t>Paediatric</w:t>
      </w:r>
      <w:proofErr w:type="spellEnd"/>
      <w:r w:rsidRPr="005122F4">
        <w:rPr>
          <w:b/>
          <w:bCs/>
        </w:rPr>
        <w:t xml:space="preserve"> patients with renal impairment </w:t>
      </w:r>
    </w:p>
    <w:p w14:paraId="58164FC4" w14:textId="1BC5D5FA" w:rsidR="005122F4" w:rsidRDefault="005122F4" w:rsidP="005122F4">
      <w:pPr>
        <w:pStyle w:val="BodyTextSMPC"/>
        <w:spacing w:before="240"/>
      </w:pPr>
      <w:r>
        <w:t xml:space="preserve">Children with renal impairment (like adults) may need a lower dose to avoid overlapping. </w:t>
      </w:r>
    </w:p>
    <w:p w14:paraId="24522073" w14:textId="3564FCD1" w:rsidR="005122F4" w:rsidRDefault="005122F4" w:rsidP="005122F4">
      <w:pPr>
        <w:pStyle w:val="BodyTextSMPC"/>
        <w:spacing w:before="240"/>
      </w:pPr>
      <w:r>
        <w:t>This lower dose may be guided by determining blood levels. If not possible, the dosage may be determined based on creatinine clearance, according to the following guidelines.</w:t>
      </w:r>
    </w:p>
    <w:p w14:paraId="6587664F" w14:textId="7F8D0335" w:rsidR="005122F4" w:rsidRDefault="005122F4" w:rsidP="005122F4">
      <w:pPr>
        <w:pStyle w:val="BodyTextSMPC"/>
        <w:spacing w:before="240"/>
      </w:pPr>
      <w:r>
        <w:t xml:space="preserve">In children with moderate impairment (creatinine clearance 40 – 20 mL / min), 25% of the normal daily dose, divided into doses every 12 hours are sufficient. In children with severe impairment (creatinine 20 – 5 mL / min) will be 10% of normal daily dose, given every 24 hours are sufficient. </w:t>
      </w:r>
    </w:p>
    <w:p w14:paraId="166CDB04" w14:textId="77777777" w:rsidR="005122F4" w:rsidRDefault="005122F4" w:rsidP="005122F4">
      <w:pPr>
        <w:pStyle w:val="BodyTextSMPC"/>
        <w:spacing w:before="240"/>
      </w:pPr>
      <w:r>
        <w:t xml:space="preserve">All these guidelines are valid after an initial starting dose. See also section 4.4. </w:t>
      </w:r>
    </w:p>
    <w:p w14:paraId="691AD4A9" w14:textId="254FC738" w:rsidR="005122F4" w:rsidRDefault="005122F4" w:rsidP="005122F4">
      <w:pPr>
        <w:pStyle w:val="BodyTextSMPC"/>
        <w:spacing w:before="240"/>
      </w:pPr>
      <w:r w:rsidRPr="005122F4">
        <w:rPr>
          <w:b/>
          <w:bCs/>
        </w:rPr>
        <w:t>Elderly</w:t>
      </w:r>
    </w:p>
    <w:p w14:paraId="14ECCBE7" w14:textId="3175DC2F" w:rsidR="001162E6" w:rsidRDefault="005122F4" w:rsidP="005122F4">
      <w:pPr>
        <w:pStyle w:val="BodyTextSMPC"/>
        <w:spacing w:before="240"/>
      </w:pPr>
      <w:r>
        <w:t>In elderly patients with normal renal function no dosage adjustment is necessary.</w:t>
      </w:r>
    </w:p>
    <w:p w14:paraId="121BC8F5" w14:textId="79A45D86" w:rsidR="006448B7" w:rsidRPr="006448B7" w:rsidRDefault="006448B7" w:rsidP="006448B7">
      <w:pPr>
        <w:pStyle w:val="BodyTextSMPC"/>
        <w:spacing w:before="240"/>
        <w:rPr>
          <w:b/>
          <w:bCs/>
        </w:rPr>
      </w:pPr>
      <w:r w:rsidRPr="006448B7">
        <w:rPr>
          <w:b/>
          <w:bCs/>
        </w:rPr>
        <w:t>Method of administration</w:t>
      </w:r>
    </w:p>
    <w:p w14:paraId="134D0345" w14:textId="51696A8D" w:rsidR="005122F4" w:rsidRDefault="005122F4" w:rsidP="005122F4">
      <w:pPr>
        <w:pStyle w:val="BodyTextSMPC"/>
        <w:spacing w:before="240"/>
      </w:pPr>
      <w:r>
        <w:lastRenderedPageBreak/>
        <w:t>Cefazolin</w:t>
      </w:r>
      <w:r>
        <w:t xml:space="preserve"> </w:t>
      </w:r>
      <w:r>
        <w:t xml:space="preserve">Powder for solution for injection/infusion may be administered by slow intravenous injection or by intravenous infusion after dilution. Single doses exceeding 1 g should be given as intravenous infusion. </w:t>
      </w:r>
    </w:p>
    <w:p w14:paraId="21C0F418" w14:textId="378C07B8" w:rsidR="005122F4" w:rsidRDefault="005122F4" w:rsidP="00E712A3">
      <w:pPr>
        <w:pStyle w:val="BodyTextSMPC"/>
        <w:spacing w:before="240"/>
      </w:pPr>
      <w:r>
        <w:t xml:space="preserve">The volume and type of diluent to be used for the reconstitution is dependent upon the method of administration. </w:t>
      </w:r>
    </w:p>
    <w:p w14:paraId="6104851F" w14:textId="1210E960" w:rsidR="005122F4" w:rsidRDefault="005122F4" w:rsidP="00E712A3">
      <w:pPr>
        <w:pStyle w:val="BodyTextSMPC"/>
        <w:spacing w:before="240"/>
      </w:pPr>
      <w:r>
        <w:t xml:space="preserve">For instructions on the reconstitution of the medicinal product before administration, please see section 6.6. </w:t>
      </w:r>
    </w:p>
    <w:p w14:paraId="07BE1181" w14:textId="7C0B3728" w:rsidR="005122F4" w:rsidRDefault="005122F4" w:rsidP="00E712A3">
      <w:pPr>
        <w:pStyle w:val="BodyTextSMPC"/>
        <w:spacing w:before="240"/>
      </w:pPr>
      <w:r>
        <w:t xml:space="preserve">If lidocaine is used as a solvent, the resulting solution should never be administered intravenously (see section 4.3). </w:t>
      </w:r>
      <w:proofErr w:type="spellStart"/>
      <w:r>
        <w:t>Τhe</w:t>
      </w:r>
      <w:proofErr w:type="spellEnd"/>
      <w:r>
        <w:t xml:space="preserve"> information in the Summary of Product Characteristics of lidocaine should be considered. </w:t>
      </w:r>
    </w:p>
    <w:p w14:paraId="02AE373F" w14:textId="09CDF999" w:rsidR="006448B7" w:rsidRPr="006448B7" w:rsidRDefault="006448B7" w:rsidP="006448B7">
      <w:pPr>
        <w:pStyle w:val="BodyTextSMPC"/>
        <w:spacing w:before="240"/>
        <w:rPr>
          <w:b/>
          <w:bCs/>
        </w:rPr>
      </w:pPr>
      <w:r w:rsidRPr="006448B7">
        <w:rPr>
          <w:b/>
          <w:bCs/>
        </w:rPr>
        <w:t xml:space="preserve">Duration of </w:t>
      </w:r>
      <w:r w:rsidR="00E712A3" w:rsidRPr="00E712A3">
        <w:rPr>
          <w:b/>
          <w:bCs/>
        </w:rPr>
        <w:t>treatment</w:t>
      </w:r>
    </w:p>
    <w:p w14:paraId="34777EC2" w14:textId="0C962022" w:rsidR="006448B7" w:rsidRPr="001162E6" w:rsidRDefault="00E712A3" w:rsidP="00E712A3">
      <w:pPr>
        <w:pStyle w:val="BodyTextSMPC"/>
        <w:spacing w:before="240"/>
      </w:pPr>
      <w:r>
        <w:t>The duration of the treatment depends on the severity of the infection as well as on the clinical and bacteriological progress.</w:t>
      </w:r>
    </w:p>
    <w:p w14:paraId="5B05A77F" w14:textId="77777777" w:rsidR="00671E86" w:rsidRPr="008F5678" w:rsidRDefault="00000000" w:rsidP="00233A79">
      <w:pPr>
        <w:pStyle w:val="SubHeafingSMPC"/>
      </w:pPr>
      <w:r w:rsidRPr="008F5678">
        <w:t>Contraindications</w:t>
      </w:r>
    </w:p>
    <w:p w14:paraId="3C820A4F" w14:textId="60D114DC" w:rsidR="00FF69A1" w:rsidRDefault="00FF69A1" w:rsidP="00FF69A1">
      <w:pPr>
        <w:pStyle w:val="BodyTextSMPC"/>
      </w:pPr>
      <w:r>
        <w:t xml:space="preserve">Hypersensitivity to cefazolin sodium. </w:t>
      </w:r>
    </w:p>
    <w:p w14:paraId="63D25C94" w14:textId="77777777" w:rsidR="00FF69A1" w:rsidRDefault="00FF69A1" w:rsidP="00FF69A1">
      <w:pPr>
        <w:pStyle w:val="BodyTextSMPC"/>
      </w:pPr>
      <w:r>
        <w:t xml:space="preserve">Patients with known hypersensitivity to cephalosporin antibiotics. </w:t>
      </w:r>
    </w:p>
    <w:p w14:paraId="7188A033" w14:textId="501A1F93" w:rsidR="00FF69A1" w:rsidRDefault="00FF69A1" w:rsidP="00FF69A1">
      <w:pPr>
        <w:pStyle w:val="BodyTextSMPC"/>
      </w:pPr>
      <w:r>
        <w:t>History of severe hypersensitivity (e.g. anaphylactic reaction) to any other type of beta-lactam antibacterial agent (</w:t>
      </w:r>
      <w:proofErr w:type="spellStart"/>
      <w:r>
        <w:t>penicillins</w:t>
      </w:r>
      <w:proofErr w:type="spellEnd"/>
      <w:r>
        <w:t>, monobactams and carbapenems).</w:t>
      </w:r>
      <w:r>
        <w:t xml:space="preserve"> </w:t>
      </w:r>
    </w:p>
    <w:p w14:paraId="713C0F8C" w14:textId="54799B17" w:rsidR="00FF69A1" w:rsidRDefault="00FF69A1" w:rsidP="00FF69A1">
      <w:pPr>
        <w:pStyle w:val="BodyTextSMPC"/>
      </w:pPr>
      <w:r>
        <w:t xml:space="preserve">Contraindications to lidocaine must be excluded before intramuscular injection of cefazolin when lidocaine solution is used as a solvent (see section 4.4). See information in the Summary of Product Characteristics of lidocaine, especially </w:t>
      </w:r>
      <w:r>
        <w:t>contraindications</w:t>
      </w:r>
      <w:r>
        <w:t xml:space="preserve">: </w:t>
      </w:r>
    </w:p>
    <w:p w14:paraId="2D4C6998" w14:textId="77777777" w:rsidR="00FF69A1" w:rsidRDefault="00FF69A1" w:rsidP="00FF69A1">
      <w:pPr>
        <w:pStyle w:val="BodyTextSMPC"/>
        <w:numPr>
          <w:ilvl w:val="0"/>
          <w:numId w:val="6"/>
        </w:numPr>
      </w:pPr>
      <w:r>
        <w:t xml:space="preserve">known history of hypersensitivity to lidocaine or other local anesthetics of the amide type </w:t>
      </w:r>
    </w:p>
    <w:p w14:paraId="51ADC039" w14:textId="77777777" w:rsidR="00FF69A1" w:rsidRDefault="00FF69A1" w:rsidP="00FF69A1">
      <w:pPr>
        <w:pStyle w:val="BodyTextSMPC"/>
        <w:numPr>
          <w:ilvl w:val="0"/>
          <w:numId w:val="6"/>
        </w:numPr>
      </w:pPr>
      <w:r>
        <w:t xml:space="preserve">non-paced heart block </w:t>
      </w:r>
    </w:p>
    <w:p w14:paraId="2D9A0182" w14:textId="77777777" w:rsidR="00FF69A1" w:rsidRDefault="00FF69A1" w:rsidP="00FF69A1">
      <w:pPr>
        <w:pStyle w:val="BodyTextSMPC"/>
        <w:numPr>
          <w:ilvl w:val="0"/>
          <w:numId w:val="6"/>
        </w:numPr>
      </w:pPr>
      <w:r>
        <w:t xml:space="preserve">severe heart failure </w:t>
      </w:r>
    </w:p>
    <w:p w14:paraId="56294E3C" w14:textId="77777777" w:rsidR="00FF69A1" w:rsidRDefault="00FF69A1" w:rsidP="00FF69A1">
      <w:pPr>
        <w:pStyle w:val="BodyTextSMPC"/>
        <w:numPr>
          <w:ilvl w:val="0"/>
          <w:numId w:val="6"/>
        </w:numPr>
      </w:pPr>
      <w:r>
        <w:t xml:space="preserve">administration by the intravenous route </w:t>
      </w:r>
    </w:p>
    <w:p w14:paraId="214C7091" w14:textId="166FB2C1" w:rsidR="00FF69A1" w:rsidRDefault="00FF69A1" w:rsidP="00FF69A1">
      <w:pPr>
        <w:pStyle w:val="BodyTextSMPC"/>
        <w:numPr>
          <w:ilvl w:val="0"/>
          <w:numId w:val="6"/>
        </w:numPr>
      </w:pPr>
      <w:r>
        <w:lastRenderedPageBreak/>
        <w:t xml:space="preserve">infants aged less than 30 months of age </w:t>
      </w:r>
    </w:p>
    <w:p w14:paraId="75E5C9A7" w14:textId="0C8735E8" w:rsidR="00FF69A1" w:rsidRDefault="00FF69A1" w:rsidP="00FF69A1">
      <w:pPr>
        <w:pStyle w:val="BodyTextSMPC"/>
      </w:pPr>
      <w:r>
        <w:t>Cefazolin solutions containing lidocaine should never be administered intravenously.</w:t>
      </w:r>
    </w:p>
    <w:p w14:paraId="6955ACE4" w14:textId="77777777" w:rsidR="00A144D2" w:rsidRPr="008F5678" w:rsidRDefault="00000000" w:rsidP="00671E86">
      <w:pPr>
        <w:pStyle w:val="SubHeafingSMPC"/>
      </w:pPr>
      <w:r w:rsidRPr="008F5678">
        <w:t xml:space="preserve">Special warnings and precautions for use </w:t>
      </w:r>
    </w:p>
    <w:p w14:paraId="15E16CDF" w14:textId="1484ED11" w:rsidR="00816633" w:rsidRDefault="00816633" w:rsidP="007F2B3F">
      <w:pPr>
        <w:pStyle w:val="BodyTextSMPC"/>
        <w:jc w:val="thaiDistribute"/>
        <w:rPr>
          <w:b/>
          <w:bCs/>
        </w:rPr>
      </w:pPr>
      <w:r w:rsidRPr="00816633">
        <w:rPr>
          <w:b/>
          <w:bCs/>
        </w:rPr>
        <w:t>Warnings</w:t>
      </w:r>
    </w:p>
    <w:p w14:paraId="7D51A8A9" w14:textId="44AAC3FC" w:rsidR="00816633" w:rsidRDefault="00816633" w:rsidP="00816633">
      <w:pPr>
        <w:pStyle w:val="BodyTextSMPC"/>
        <w:jc w:val="thaiDistribute"/>
      </w:pPr>
      <w:r>
        <w:t xml:space="preserve">In case of any known hypersensitivity to </w:t>
      </w:r>
      <w:proofErr w:type="spellStart"/>
      <w:r>
        <w:t>penicillins</w:t>
      </w:r>
      <w:proofErr w:type="spellEnd"/>
      <w:r>
        <w:t xml:space="preserve"> or other beta-lactam antibiotics, attention is to be paid to a possible cross-sensitivity (see section 4.3). </w:t>
      </w:r>
    </w:p>
    <w:p w14:paraId="44AF4BC1" w14:textId="45CEBFCA" w:rsidR="00816633" w:rsidRDefault="00816633" w:rsidP="00816633">
      <w:pPr>
        <w:pStyle w:val="BodyTextSMPC"/>
        <w:jc w:val="thaiDistribute"/>
      </w:pPr>
      <w:r>
        <w:t xml:space="preserve">As with all beta-lactam antibacterial agents, serious and occasionally fatal hypersensitivity reactions have been reported. In case of severe hypersensitivity reactions, treatment with cefazolin must be discontinued immediately and adequate emergency measures must be initiated. </w:t>
      </w:r>
    </w:p>
    <w:p w14:paraId="20B03493" w14:textId="5B7C986B" w:rsidR="00816633" w:rsidRDefault="00816633" w:rsidP="00816633">
      <w:pPr>
        <w:pStyle w:val="BodyTextSMPC"/>
        <w:jc w:val="thaiDistribute"/>
      </w:pPr>
      <w:r>
        <w:t xml:space="preserve">Before beginning treatment, it should be established whether the patient has a history of severe hypersensitivity reactions to cefazolin, to other cephalosporins or to any other type of beta-lactam agent. Caution should be used if cefazolin is given to patients with a history of non-severe hypersensitivity to other beta-lactam agents. </w:t>
      </w:r>
    </w:p>
    <w:p w14:paraId="3ED64916" w14:textId="787C9B6E" w:rsidR="00816633" w:rsidRDefault="00816633" w:rsidP="00816633">
      <w:pPr>
        <w:pStyle w:val="BodyTextSMPC"/>
        <w:jc w:val="thaiDistribute"/>
      </w:pPr>
      <w:r>
        <w:t xml:space="preserve">Cefazolin should be administered only with special caution to patients with allergic reactivity (e. g. allergic rhinitis or bronchial asthma) as the risk for a serious hypersensitivity reaction is increased. </w:t>
      </w:r>
    </w:p>
    <w:p w14:paraId="0954F111" w14:textId="6C86D529" w:rsidR="00816633" w:rsidRDefault="00816633" w:rsidP="00816633">
      <w:pPr>
        <w:pStyle w:val="BodyTextSMPC"/>
        <w:jc w:val="thaiDistribute"/>
      </w:pPr>
      <w:r>
        <w:t xml:space="preserve">Antibacterial agent-associated pseudomembranous colitis has been reported with use of cefazolin and may range in severity from mild to life threatening. This diagnosis should be considered in patients with </w:t>
      </w:r>
      <w:proofErr w:type="spellStart"/>
      <w:r>
        <w:t>diarrhoea</w:t>
      </w:r>
      <w:proofErr w:type="spellEnd"/>
      <w:r>
        <w:t xml:space="preserve"> during or subsequent to the administration of cefazolin (see section 4.8). Discontinuation of therapy with cefazolin and the administration of specific treatment for Clostridium difficile should be considered. Medicinal products that inhibit peristalsis should not be given. </w:t>
      </w:r>
    </w:p>
    <w:p w14:paraId="5F463EE5" w14:textId="393D959A" w:rsidR="00816633" w:rsidRDefault="00816633" w:rsidP="00816633">
      <w:pPr>
        <w:pStyle w:val="BodyTextSMPC"/>
        <w:jc w:val="thaiDistribute"/>
      </w:pPr>
      <w:proofErr w:type="spellStart"/>
      <w:r>
        <w:t>Paediatric</w:t>
      </w:r>
      <w:proofErr w:type="spellEnd"/>
      <w:r>
        <w:t xml:space="preserve"> use: As there are no sufficient experiences available so far, Cefazolin Powder for solution for injection/infusion must not be applied to new-</w:t>
      </w:r>
      <w:proofErr w:type="spellStart"/>
      <w:r>
        <w:t>borns</w:t>
      </w:r>
      <w:proofErr w:type="spellEnd"/>
      <w:r>
        <w:t xml:space="preserve"> and babies in the first month of life. </w:t>
      </w:r>
    </w:p>
    <w:p w14:paraId="24E7ADF6" w14:textId="77777777" w:rsidR="00816633" w:rsidRDefault="00816633" w:rsidP="00816633">
      <w:pPr>
        <w:pStyle w:val="BodyTextSMPC"/>
        <w:jc w:val="thaiDistribute"/>
      </w:pPr>
      <w:r>
        <w:lastRenderedPageBreak/>
        <w:t xml:space="preserve">Use of lidocaine: </w:t>
      </w:r>
    </w:p>
    <w:p w14:paraId="4EF3902D" w14:textId="2CF5100F" w:rsidR="00816633" w:rsidRDefault="00816633" w:rsidP="00816633">
      <w:pPr>
        <w:pStyle w:val="BodyTextSMPC"/>
        <w:jc w:val="thaiDistribute"/>
      </w:pPr>
      <w:r>
        <w:t xml:space="preserve">In case a lidocaine solution is used as a solvent, cefazolin solutions must only be used for intramuscular injection. </w:t>
      </w:r>
      <w:proofErr w:type="spellStart"/>
      <w:r>
        <w:t>Contraidications</w:t>
      </w:r>
      <w:proofErr w:type="spellEnd"/>
      <w:r>
        <w:t xml:space="preserve"> to lidocaine, warnings and other relevant information as detailed in the Summary of Product Characteristics of lidocaine must be considered before use (see section 4.3). </w:t>
      </w:r>
    </w:p>
    <w:p w14:paraId="48B0CA30" w14:textId="70EEE21D" w:rsidR="00816633" w:rsidRDefault="00816633" w:rsidP="00816633">
      <w:pPr>
        <w:pStyle w:val="BodyTextSMPC"/>
        <w:jc w:val="thaiDistribute"/>
      </w:pPr>
      <w:r>
        <w:t>The lidocaine solution should never be administered intravenously.</w:t>
      </w:r>
    </w:p>
    <w:p w14:paraId="6C60F341" w14:textId="77777777" w:rsidR="00B771AD" w:rsidRPr="00B771AD" w:rsidRDefault="00B771AD" w:rsidP="00B771AD">
      <w:pPr>
        <w:pStyle w:val="BodyTextSMPC"/>
        <w:jc w:val="thaiDistribute"/>
        <w:rPr>
          <w:b/>
          <w:bCs/>
        </w:rPr>
      </w:pPr>
      <w:r w:rsidRPr="00B771AD">
        <w:rPr>
          <w:b/>
          <w:bCs/>
        </w:rPr>
        <w:t xml:space="preserve">Precautions </w:t>
      </w:r>
    </w:p>
    <w:p w14:paraId="5D0AA8B2" w14:textId="3075DED4" w:rsidR="00B771AD" w:rsidRDefault="00B771AD" w:rsidP="00B771AD">
      <w:pPr>
        <w:pStyle w:val="BodyTextSMPC"/>
        <w:jc w:val="thaiDistribute"/>
      </w:pPr>
      <w:r>
        <w:t xml:space="preserve">In case of a renal insufficiency with a glomerular filtration rate under 55 mL / min, an accumulation of cefazolin must be taken into consideration. Therefore, the dosage has to be reduced accordingly or the dosage interval has to be prolonged (see section 4.2). </w:t>
      </w:r>
    </w:p>
    <w:p w14:paraId="1C0A626A" w14:textId="34F2417C" w:rsidR="00B771AD" w:rsidRDefault="00B771AD" w:rsidP="00B771AD">
      <w:pPr>
        <w:pStyle w:val="BodyTextSMPC"/>
        <w:jc w:val="thaiDistribute"/>
      </w:pPr>
      <w:r>
        <w:t xml:space="preserve">In patients with renal impairment the use of cefazolin may be associated with seizures. </w:t>
      </w:r>
    </w:p>
    <w:p w14:paraId="591779BC" w14:textId="2C6511C0" w:rsidR="00B771AD" w:rsidRDefault="00B771AD" w:rsidP="00B14DD9">
      <w:pPr>
        <w:pStyle w:val="BodyTextSMPC"/>
        <w:jc w:val="thaiDistribute"/>
      </w:pPr>
      <w:r>
        <w:t xml:space="preserve">Prolonged prothrombin time may occur in patients with renal or hepatic impairment or poor nutritional state, as well as in patients receiving a protracted course of antimicrobial therapy, and patients previously </w:t>
      </w:r>
      <w:proofErr w:type="spellStart"/>
      <w:r>
        <w:t>stabilised</w:t>
      </w:r>
      <w:proofErr w:type="spellEnd"/>
      <w:r>
        <w:t xml:space="preserve"> on anticoagulant therapy. In these patients the prolongation of prothrombin time has to be monitored under treatment with cefazolin since it can very rarely cause plasmatic blood coagulation diseases (see sections 4.5 and 4.8). Therefore, INR (International </w:t>
      </w:r>
      <w:proofErr w:type="spellStart"/>
      <w:r>
        <w:t>Normalised</w:t>
      </w:r>
      <w:proofErr w:type="spellEnd"/>
      <w:r>
        <w:t xml:space="preserve"> Ratio) has to be measured regularly in patients with diseases which can cause </w:t>
      </w:r>
      <w:proofErr w:type="spellStart"/>
      <w:r>
        <w:t>haemorrhages</w:t>
      </w:r>
      <w:proofErr w:type="spellEnd"/>
      <w:r>
        <w:t xml:space="preserve"> (e.g. gastro-intestinal ulcers) as well as in patients with coagulation defects (inherited: e.g. </w:t>
      </w:r>
      <w:proofErr w:type="spellStart"/>
      <w:r>
        <w:t>haemophilia</w:t>
      </w:r>
      <w:proofErr w:type="spellEnd"/>
      <w:r>
        <w:t xml:space="preserve">; acquired: e.g. by parenteral feeding, malnutrition, disordered liver or renal function or thrombocytopenia; caused by drugs: e.g. by heparin or other oral anticoagulants). Vitamin K can be substituted (10 mg per week) if necessary. </w:t>
      </w:r>
    </w:p>
    <w:p w14:paraId="74A6131C" w14:textId="77777777" w:rsidR="00B771AD" w:rsidRDefault="00B771AD" w:rsidP="00B771AD">
      <w:pPr>
        <w:pStyle w:val="BodyTextSMPC"/>
        <w:jc w:val="thaiDistribute"/>
      </w:pPr>
      <w:r>
        <w:t xml:space="preserve">Long-term and repeated administration can lead to overgrowth of resistant organisms. </w:t>
      </w:r>
    </w:p>
    <w:p w14:paraId="22381601" w14:textId="77777777" w:rsidR="00B771AD" w:rsidRDefault="00B771AD" w:rsidP="00B771AD">
      <w:pPr>
        <w:pStyle w:val="BodyTextSMPC"/>
        <w:jc w:val="thaiDistribute"/>
      </w:pPr>
      <w:r>
        <w:t xml:space="preserve">If superinfection occurs during therapy, appropriate measures should be taken. </w:t>
      </w:r>
    </w:p>
    <w:p w14:paraId="4BE28CDB" w14:textId="77777777" w:rsidR="00B14DD9" w:rsidRDefault="00B771AD" w:rsidP="00B14DD9">
      <w:pPr>
        <w:pStyle w:val="BodyTextSMPC"/>
        <w:jc w:val="thaiDistribute"/>
        <w:rPr>
          <w:u w:val="single"/>
        </w:rPr>
      </w:pPr>
      <w:r w:rsidRPr="00B14DD9">
        <w:rPr>
          <w:u w:val="single"/>
        </w:rPr>
        <w:t>Effects on laboratory tests</w:t>
      </w:r>
    </w:p>
    <w:p w14:paraId="7BBDAB9B" w14:textId="1C919C0C" w:rsidR="001E1455" w:rsidRPr="00B14DD9" w:rsidRDefault="00B771AD" w:rsidP="00B14DD9">
      <w:pPr>
        <w:pStyle w:val="BodyTextSMPC"/>
        <w:jc w:val="thaiDistribute"/>
        <w:rPr>
          <w:u w:val="single"/>
          <w:cs/>
        </w:rPr>
      </w:pPr>
      <w:r>
        <w:lastRenderedPageBreak/>
        <w:t>In rare cases, the non-enzymatic urine sugar test and the Coombs test can show false positive results.</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4BE4EC4" w14:textId="2367269E" w:rsidR="00473071" w:rsidRPr="00473071" w:rsidRDefault="00473071" w:rsidP="00473071">
      <w:pPr>
        <w:pStyle w:val="BodyTextSMPC"/>
        <w:rPr>
          <w:b/>
          <w:bCs/>
        </w:rPr>
      </w:pPr>
      <w:r w:rsidRPr="00473071">
        <w:rPr>
          <w:b/>
          <w:bCs/>
        </w:rPr>
        <w:t>Anticoagulants</w:t>
      </w:r>
    </w:p>
    <w:p w14:paraId="62F958AC" w14:textId="2C370776" w:rsidR="00473071" w:rsidRDefault="00473071" w:rsidP="00473071">
      <w:pPr>
        <w:pStyle w:val="BodyTextSMPC"/>
      </w:pPr>
      <w:r>
        <w:t xml:space="preserve">Cephalosporins may very rarely cause bleeding disorders (see 4.4). During concomitant use with oral anticoagulants (for e.g. warfarin or heparin) in high doses, the coagulation parameters should be monitored. </w:t>
      </w:r>
    </w:p>
    <w:p w14:paraId="12CB9F72" w14:textId="77777777" w:rsidR="00473071" w:rsidRPr="00473071" w:rsidRDefault="00473071" w:rsidP="00473071">
      <w:pPr>
        <w:pStyle w:val="BodyTextSMPC"/>
        <w:rPr>
          <w:b/>
          <w:bCs/>
        </w:rPr>
      </w:pPr>
      <w:r w:rsidRPr="00473071">
        <w:rPr>
          <w:b/>
          <w:bCs/>
        </w:rPr>
        <w:t>Vitamin K1</w:t>
      </w:r>
    </w:p>
    <w:p w14:paraId="6CE2D07B" w14:textId="0A3CC18E" w:rsidR="00473071" w:rsidRDefault="00473071" w:rsidP="00473071">
      <w:pPr>
        <w:pStyle w:val="BodyTextSMPC"/>
      </w:pPr>
      <w:r>
        <w:t xml:space="preserve">Some </w:t>
      </w:r>
      <w:proofErr w:type="spellStart"/>
      <w:r>
        <w:t>cefalosporins</w:t>
      </w:r>
      <w:proofErr w:type="spellEnd"/>
      <w:r>
        <w:t xml:space="preserve"> such as </w:t>
      </w:r>
      <w:proofErr w:type="spellStart"/>
      <w:r>
        <w:t>cefamandol</w:t>
      </w:r>
      <w:proofErr w:type="spellEnd"/>
      <w:r>
        <w:t xml:space="preserve">, cefazolin and cefotetan can cause interference in the metabolism of vitamin K1, especially in cases of vitamin K1 deficiency. This may require vitamin K1 supplementation. </w:t>
      </w:r>
    </w:p>
    <w:p w14:paraId="5464FB83" w14:textId="77777777" w:rsidR="00473071" w:rsidRPr="00473071" w:rsidRDefault="00473071" w:rsidP="00473071">
      <w:pPr>
        <w:pStyle w:val="BodyTextSMPC"/>
        <w:rPr>
          <w:b/>
          <w:bCs/>
        </w:rPr>
      </w:pPr>
      <w:r w:rsidRPr="00473071">
        <w:rPr>
          <w:b/>
          <w:bCs/>
        </w:rPr>
        <w:t>Probenecid</w:t>
      </w:r>
    </w:p>
    <w:p w14:paraId="615066C4" w14:textId="57DA1DC1" w:rsidR="00473071" w:rsidRDefault="00473071" w:rsidP="00473071">
      <w:pPr>
        <w:pStyle w:val="BodyTextSMPC"/>
      </w:pPr>
      <w:r>
        <w:t xml:space="preserve">Due to its inhibitory effect on the renal diuresis, the administration of </w:t>
      </w:r>
      <w:proofErr w:type="spellStart"/>
      <w:r>
        <w:t>probenicid</w:t>
      </w:r>
      <w:proofErr w:type="spellEnd"/>
      <w:r>
        <w:t xml:space="preserve"> induces a higher concentration and a longer retention time of cefazolin in the blood. </w:t>
      </w:r>
    </w:p>
    <w:p w14:paraId="648348B0" w14:textId="77777777" w:rsidR="00473071" w:rsidRPr="00473071" w:rsidRDefault="00473071" w:rsidP="00473071">
      <w:pPr>
        <w:pStyle w:val="BodyTextSMPC"/>
        <w:rPr>
          <w:b/>
          <w:bCs/>
        </w:rPr>
      </w:pPr>
      <w:r w:rsidRPr="00473071">
        <w:rPr>
          <w:b/>
          <w:bCs/>
        </w:rPr>
        <w:t>Nephrotoxic substances</w:t>
      </w:r>
    </w:p>
    <w:p w14:paraId="75F12885" w14:textId="65E332BF" w:rsidR="00227FD4" w:rsidRPr="006E7537" w:rsidRDefault="00473071" w:rsidP="00473071">
      <w:pPr>
        <w:pStyle w:val="BodyTextSMPC"/>
      </w:pPr>
      <w:r>
        <w:t xml:space="preserve">It cannot be excluded that the nephrotoxic effect of antibiotics (e.g. aminoglycosides, colistin, polymyxin B), iodine-containing contrast agents, organoplatinum compounds, high-dose methotrexate, some antivirals (e.g. </w:t>
      </w:r>
      <w:proofErr w:type="spellStart"/>
      <w:r>
        <w:t>aciclovir</w:t>
      </w:r>
      <w:proofErr w:type="spellEnd"/>
      <w:r>
        <w:t>, foscarnet), pentamidine, ciclosporin, tacrolimus and diuretics (e.g. furosemide) is increased. When co-administered with cefazolin, kidney function tests must be carefully monitored.</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7C31E3E4" w14:textId="3C5FE409" w:rsidR="00D32C40" w:rsidRDefault="00473071" w:rsidP="00473071">
      <w:pPr>
        <w:pStyle w:val="BodyTextSMPC"/>
      </w:pPr>
      <w:r>
        <w:lastRenderedPageBreak/>
        <w:t>Cefazolin reaches the embryo/</w:t>
      </w:r>
      <w:proofErr w:type="spellStart"/>
      <w:r>
        <w:t>foetus</w:t>
      </w:r>
      <w:proofErr w:type="spellEnd"/>
      <w:r>
        <w:t xml:space="preserve"> via the placenta. Animal studies do not indicate direct or indirect harmful effects with respect to reproductive toxicity. There is not sufficient experience in the human use of cefazolin. As a precautionary measure, it is preferable to avoid the use of Cefazolin Powder for solution for injection/infusion during pregnancy, if the use is not necessary.</w:t>
      </w:r>
    </w:p>
    <w:p w14:paraId="0F6D438F" w14:textId="21009765" w:rsidR="00D32C40" w:rsidRPr="00D32C40" w:rsidRDefault="00D32C40" w:rsidP="00D32C40">
      <w:pPr>
        <w:pStyle w:val="BodyTextSMPC"/>
        <w:rPr>
          <w:b/>
          <w:bCs/>
        </w:rPr>
      </w:pPr>
      <w:r w:rsidRPr="00D32C40">
        <w:rPr>
          <w:b/>
          <w:bCs/>
        </w:rPr>
        <w:t>Breast-feeding</w:t>
      </w:r>
    </w:p>
    <w:p w14:paraId="6DAB7900" w14:textId="68311810" w:rsidR="0076728F" w:rsidRDefault="00473071" w:rsidP="00473071">
      <w:pPr>
        <w:pStyle w:val="BodyTextSMPC"/>
      </w:pPr>
      <w:r>
        <w:t xml:space="preserve">Cefazolin passes into breast milk in very low concentrations, and therefore at therapeutic doses, no effects on the infant are expected. If </w:t>
      </w:r>
      <w:proofErr w:type="spellStart"/>
      <w:r>
        <w:t>diarrhoea</w:t>
      </w:r>
      <w:proofErr w:type="spellEnd"/>
      <w:r>
        <w:t xml:space="preserve"> or </w:t>
      </w:r>
      <w:proofErr w:type="spellStart"/>
      <w:r>
        <w:t>candidosis</w:t>
      </w:r>
      <w:proofErr w:type="spellEnd"/>
      <w:r>
        <w:t xml:space="preserve"> occurs in the infant during breastfeeding, the mother should stop breastfeeding or cefazolin should be withdrawn</w:t>
      </w:r>
      <w:r w:rsidR="00D32C40">
        <w:t>.</w:t>
      </w:r>
    </w:p>
    <w:p w14:paraId="2ADADF99" w14:textId="77777777" w:rsidR="004A5AB4" w:rsidRDefault="004A5AB4" w:rsidP="004A5AB4">
      <w:pPr>
        <w:pStyle w:val="BodyTextSMPC"/>
        <w:rPr>
          <w:b/>
          <w:bCs/>
        </w:rPr>
      </w:pPr>
      <w:r w:rsidRPr="009D6FFD">
        <w:rPr>
          <w:b/>
          <w:bCs/>
        </w:rPr>
        <w:t>Fertility</w:t>
      </w:r>
    </w:p>
    <w:p w14:paraId="001B1AAC" w14:textId="7D367F50" w:rsidR="004A5AB4" w:rsidRDefault="00473071" w:rsidP="004A5AB4">
      <w:pPr>
        <w:pStyle w:val="BodyTextSMPC"/>
      </w:pPr>
      <w:r w:rsidRPr="00473071">
        <w:t>Animal studies have shown no effects on fertility</w:t>
      </w:r>
      <w:r w:rsidR="004A5AB4" w:rsidRPr="009D6FFD">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3918A064" w:rsidR="00227FD4" w:rsidRPr="009D6FFD" w:rsidRDefault="00473071" w:rsidP="006B41AF">
      <w:pPr>
        <w:pStyle w:val="BodyTextSMPC"/>
      </w:pPr>
      <w:r w:rsidRPr="00473071">
        <w:t>Cefazolin has no or negligible influence on the ability to drive and use machines</w:t>
      </w:r>
      <w:r w:rsidR="006B41AF">
        <w:t>.</w:t>
      </w:r>
    </w:p>
    <w:p w14:paraId="071D62C3" w14:textId="1176E362" w:rsidR="00227FD4" w:rsidRPr="008F5678" w:rsidRDefault="00000000" w:rsidP="00671E86">
      <w:pPr>
        <w:pStyle w:val="SubHeafingSMPC"/>
      </w:pPr>
      <w:r w:rsidRPr="008F5678">
        <w:t xml:space="preserve">Undesirable effects </w:t>
      </w:r>
    </w:p>
    <w:p w14:paraId="48042B67" w14:textId="6046F1D4" w:rsidR="006B41AF" w:rsidRDefault="006B41AF" w:rsidP="009D6FFD">
      <w:pPr>
        <w:pStyle w:val="BodyTextSMPC"/>
      </w:pPr>
      <w:r w:rsidRPr="006B41AF">
        <w:t>Undesirable effects are ranked according to body system and frequency according to the following classification:</w:t>
      </w:r>
    </w:p>
    <w:p w14:paraId="47289EE7" w14:textId="77777777" w:rsidR="006B41AF" w:rsidRDefault="006B41AF" w:rsidP="006B41AF">
      <w:pPr>
        <w:pStyle w:val="BodyTextSMPC"/>
      </w:pPr>
      <w:r>
        <w:t>Very common (≥1/10)</w:t>
      </w:r>
    </w:p>
    <w:p w14:paraId="7C64EBB1" w14:textId="77777777" w:rsidR="006B41AF" w:rsidRDefault="006B41AF" w:rsidP="006B41AF">
      <w:pPr>
        <w:pStyle w:val="BodyTextSMPC"/>
      </w:pPr>
      <w:r>
        <w:t xml:space="preserve">Common (≥1/100 to &lt;1/10) </w:t>
      </w:r>
    </w:p>
    <w:p w14:paraId="46B2D518" w14:textId="77777777" w:rsidR="006B41AF" w:rsidRDefault="006B41AF" w:rsidP="006B41AF">
      <w:pPr>
        <w:pStyle w:val="BodyTextSMPC"/>
      </w:pPr>
      <w:r>
        <w:t xml:space="preserve">Uncommon (≥1/1,000 to &lt;1/100) </w:t>
      </w:r>
    </w:p>
    <w:p w14:paraId="55A5D3DB" w14:textId="77777777" w:rsidR="006B41AF" w:rsidRDefault="006B41AF" w:rsidP="006B41AF">
      <w:pPr>
        <w:pStyle w:val="BodyTextSMPC"/>
      </w:pPr>
      <w:r>
        <w:t>Rare (≥1/10,000 to &lt;1/1,000)</w:t>
      </w:r>
    </w:p>
    <w:p w14:paraId="55BD661A" w14:textId="77777777" w:rsidR="006B41AF" w:rsidRDefault="006B41AF" w:rsidP="006B41AF">
      <w:pPr>
        <w:pStyle w:val="BodyTextSMPC"/>
      </w:pPr>
      <w:r>
        <w:t>Very rare (&lt;1/10,000)</w:t>
      </w:r>
    </w:p>
    <w:p w14:paraId="4046CB37" w14:textId="5E02E2B6" w:rsidR="006B41AF" w:rsidRDefault="006B41AF" w:rsidP="006B41AF">
      <w:pPr>
        <w:pStyle w:val="BodyTextSMPC"/>
      </w:pPr>
      <w:r>
        <w:t>Not known (cannot be estimated from the available data).</w:t>
      </w:r>
    </w:p>
    <w:tbl>
      <w:tblPr>
        <w:tblW w:w="9072" w:type="dxa"/>
        <w:tblCellSpacing w:w="0" w:type="dxa"/>
        <w:tblInd w:w="41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1559"/>
        <w:gridCol w:w="1419"/>
        <w:gridCol w:w="1415"/>
        <w:gridCol w:w="1560"/>
        <w:gridCol w:w="1559"/>
      </w:tblGrid>
      <w:tr w:rsidR="00316A60" w:rsidRPr="00316A60" w14:paraId="253CAD1A" w14:textId="77777777" w:rsidTr="00982CEB">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57345D68" w14:textId="77777777" w:rsidR="00316A60" w:rsidRPr="00982CEB" w:rsidRDefault="00316A60" w:rsidP="00982CEB">
            <w:pPr>
              <w:pStyle w:val="BodyTextSMPC"/>
              <w:spacing w:after="0"/>
              <w:ind w:left="0"/>
              <w:jc w:val="left"/>
              <w:rPr>
                <w:sz w:val="22"/>
                <w:szCs w:val="22"/>
              </w:rPr>
            </w:pPr>
            <w:r w:rsidRPr="00982CEB">
              <w:rPr>
                <w:b/>
                <w:bCs/>
                <w:sz w:val="22"/>
                <w:szCs w:val="22"/>
              </w:rPr>
              <w:t>System Organ Class (MedDRA)</w:t>
            </w:r>
          </w:p>
        </w:tc>
        <w:tc>
          <w:tcPr>
            <w:tcW w:w="859" w:type="pct"/>
            <w:tcBorders>
              <w:top w:val="outset" w:sz="6" w:space="0" w:color="auto"/>
              <w:left w:val="outset" w:sz="6" w:space="0" w:color="auto"/>
              <w:bottom w:val="outset" w:sz="6" w:space="0" w:color="auto"/>
              <w:right w:val="outset" w:sz="6" w:space="0" w:color="auto"/>
            </w:tcBorders>
            <w:hideMark/>
          </w:tcPr>
          <w:p w14:paraId="0EF033E7" w14:textId="77777777" w:rsidR="00316A60" w:rsidRPr="00316A60" w:rsidRDefault="00316A60" w:rsidP="00982CEB">
            <w:pPr>
              <w:pStyle w:val="BodyTextSMPC"/>
              <w:spacing w:after="0"/>
              <w:ind w:left="0"/>
              <w:jc w:val="left"/>
              <w:rPr>
                <w:sz w:val="22"/>
                <w:szCs w:val="22"/>
              </w:rPr>
            </w:pPr>
            <w:r w:rsidRPr="00316A60">
              <w:rPr>
                <w:b/>
                <w:bCs/>
                <w:sz w:val="22"/>
                <w:szCs w:val="22"/>
              </w:rPr>
              <w:t>Common</w:t>
            </w:r>
          </w:p>
        </w:tc>
        <w:tc>
          <w:tcPr>
            <w:tcW w:w="782" w:type="pct"/>
            <w:tcBorders>
              <w:top w:val="outset" w:sz="6" w:space="0" w:color="auto"/>
              <w:left w:val="outset" w:sz="6" w:space="0" w:color="auto"/>
              <w:bottom w:val="outset" w:sz="6" w:space="0" w:color="auto"/>
              <w:right w:val="outset" w:sz="6" w:space="0" w:color="auto"/>
            </w:tcBorders>
            <w:hideMark/>
          </w:tcPr>
          <w:p w14:paraId="3003E595" w14:textId="77777777" w:rsidR="00316A60" w:rsidRPr="00316A60" w:rsidRDefault="00316A60" w:rsidP="00982CEB">
            <w:pPr>
              <w:pStyle w:val="BodyTextSMPC"/>
              <w:spacing w:after="0"/>
              <w:ind w:left="0"/>
              <w:jc w:val="left"/>
              <w:rPr>
                <w:sz w:val="22"/>
                <w:szCs w:val="22"/>
              </w:rPr>
            </w:pPr>
            <w:r w:rsidRPr="00316A60">
              <w:rPr>
                <w:b/>
                <w:bCs/>
                <w:sz w:val="22"/>
                <w:szCs w:val="22"/>
              </w:rPr>
              <w:t>Uncommon</w:t>
            </w:r>
          </w:p>
        </w:tc>
        <w:tc>
          <w:tcPr>
            <w:tcW w:w="780" w:type="pct"/>
            <w:tcBorders>
              <w:top w:val="outset" w:sz="6" w:space="0" w:color="auto"/>
              <w:left w:val="outset" w:sz="6" w:space="0" w:color="auto"/>
              <w:bottom w:val="outset" w:sz="6" w:space="0" w:color="auto"/>
              <w:right w:val="outset" w:sz="6" w:space="0" w:color="auto"/>
            </w:tcBorders>
            <w:hideMark/>
          </w:tcPr>
          <w:p w14:paraId="208B559B" w14:textId="77777777" w:rsidR="00316A60" w:rsidRPr="00316A60" w:rsidRDefault="00316A60" w:rsidP="00982CEB">
            <w:pPr>
              <w:pStyle w:val="BodyTextSMPC"/>
              <w:spacing w:after="0"/>
              <w:ind w:left="0"/>
              <w:jc w:val="left"/>
              <w:rPr>
                <w:sz w:val="22"/>
                <w:szCs w:val="22"/>
              </w:rPr>
            </w:pPr>
            <w:r w:rsidRPr="00316A60">
              <w:rPr>
                <w:b/>
                <w:bCs/>
                <w:sz w:val="22"/>
                <w:szCs w:val="22"/>
              </w:rPr>
              <w:t>Rare</w:t>
            </w:r>
          </w:p>
        </w:tc>
        <w:tc>
          <w:tcPr>
            <w:tcW w:w="860" w:type="pct"/>
            <w:tcBorders>
              <w:top w:val="outset" w:sz="6" w:space="0" w:color="auto"/>
              <w:left w:val="outset" w:sz="6" w:space="0" w:color="auto"/>
              <w:bottom w:val="outset" w:sz="6" w:space="0" w:color="auto"/>
              <w:right w:val="outset" w:sz="6" w:space="0" w:color="auto"/>
            </w:tcBorders>
            <w:hideMark/>
          </w:tcPr>
          <w:p w14:paraId="1C5FD1EF" w14:textId="77777777" w:rsidR="00316A60" w:rsidRPr="00316A60" w:rsidRDefault="00316A60" w:rsidP="00982CEB">
            <w:pPr>
              <w:pStyle w:val="BodyTextSMPC"/>
              <w:spacing w:after="0"/>
              <w:ind w:left="0"/>
              <w:jc w:val="left"/>
              <w:rPr>
                <w:sz w:val="22"/>
                <w:szCs w:val="22"/>
              </w:rPr>
            </w:pPr>
            <w:r w:rsidRPr="00316A60">
              <w:rPr>
                <w:b/>
                <w:bCs/>
                <w:sz w:val="22"/>
                <w:szCs w:val="22"/>
              </w:rPr>
              <w:t>Very rare</w:t>
            </w:r>
          </w:p>
        </w:tc>
        <w:tc>
          <w:tcPr>
            <w:tcW w:w="859" w:type="pct"/>
            <w:tcBorders>
              <w:top w:val="outset" w:sz="6" w:space="0" w:color="auto"/>
              <w:left w:val="outset" w:sz="6" w:space="0" w:color="auto"/>
              <w:bottom w:val="outset" w:sz="6" w:space="0" w:color="auto"/>
              <w:right w:val="outset" w:sz="6" w:space="0" w:color="auto"/>
            </w:tcBorders>
            <w:hideMark/>
          </w:tcPr>
          <w:p w14:paraId="23058143" w14:textId="77777777" w:rsidR="00316A60" w:rsidRPr="00316A60" w:rsidRDefault="00316A60" w:rsidP="00982CEB">
            <w:pPr>
              <w:pStyle w:val="BodyTextSMPC"/>
              <w:spacing w:after="0"/>
              <w:ind w:left="0"/>
              <w:jc w:val="left"/>
              <w:rPr>
                <w:sz w:val="22"/>
                <w:szCs w:val="22"/>
              </w:rPr>
            </w:pPr>
            <w:r w:rsidRPr="00316A60">
              <w:rPr>
                <w:b/>
                <w:bCs/>
                <w:sz w:val="22"/>
                <w:szCs w:val="22"/>
              </w:rPr>
              <w:t>Not known</w:t>
            </w:r>
          </w:p>
        </w:tc>
      </w:tr>
      <w:tr w:rsidR="00316A60" w:rsidRPr="00316A60" w14:paraId="46912D39" w14:textId="77777777" w:rsidTr="00982CEB">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23C9760B" w14:textId="663DE786" w:rsidR="00316A60" w:rsidRPr="00982CEB" w:rsidRDefault="00982CEB" w:rsidP="00982CEB">
            <w:pPr>
              <w:pStyle w:val="BodyTextSMPC"/>
              <w:spacing w:after="0"/>
              <w:ind w:left="0"/>
              <w:jc w:val="left"/>
              <w:rPr>
                <w:sz w:val="22"/>
                <w:szCs w:val="22"/>
              </w:rPr>
            </w:pPr>
            <w:r>
              <w:rPr>
                <w:b/>
                <w:bCs/>
                <w:sz w:val="22"/>
                <w:szCs w:val="22"/>
              </w:rPr>
              <w:lastRenderedPageBreak/>
              <w:t>I</w:t>
            </w:r>
            <w:r w:rsidRPr="00982CEB">
              <w:rPr>
                <w:b/>
                <w:bCs/>
                <w:sz w:val="22"/>
                <w:szCs w:val="22"/>
              </w:rPr>
              <w:t>nfections and infestations</w:t>
            </w:r>
          </w:p>
        </w:tc>
        <w:tc>
          <w:tcPr>
            <w:tcW w:w="859" w:type="pct"/>
            <w:tcBorders>
              <w:top w:val="outset" w:sz="6" w:space="0" w:color="auto"/>
              <w:left w:val="outset" w:sz="6" w:space="0" w:color="auto"/>
              <w:bottom w:val="outset" w:sz="6" w:space="0" w:color="auto"/>
              <w:right w:val="outset" w:sz="6" w:space="0" w:color="auto"/>
            </w:tcBorders>
            <w:hideMark/>
          </w:tcPr>
          <w:p w14:paraId="02C2554C" w14:textId="77777777" w:rsidR="00316A60" w:rsidRPr="00316A60" w:rsidRDefault="00316A60" w:rsidP="00982CEB">
            <w:pPr>
              <w:pStyle w:val="BodyTextSMPC"/>
              <w:spacing w:after="0"/>
              <w:ind w:left="0"/>
              <w:jc w:val="left"/>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744EFB28" w14:textId="4CB35C9F" w:rsidR="00316A60" w:rsidRPr="00316A60" w:rsidRDefault="00982CEB" w:rsidP="00982CEB">
            <w:pPr>
              <w:pStyle w:val="BodyTextSMPC"/>
              <w:spacing w:after="0"/>
              <w:ind w:left="0"/>
              <w:jc w:val="left"/>
              <w:rPr>
                <w:sz w:val="22"/>
                <w:szCs w:val="22"/>
              </w:rPr>
            </w:pPr>
            <w:r w:rsidRPr="00982CEB">
              <w:rPr>
                <w:sz w:val="22"/>
                <w:szCs w:val="22"/>
              </w:rPr>
              <w:t>Oral candidiasis (prolonged use).</w:t>
            </w:r>
          </w:p>
        </w:tc>
        <w:tc>
          <w:tcPr>
            <w:tcW w:w="780" w:type="pct"/>
            <w:tcBorders>
              <w:top w:val="outset" w:sz="6" w:space="0" w:color="auto"/>
              <w:left w:val="outset" w:sz="6" w:space="0" w:color="auto"/>
              <w:bottom w:val="outset" w:sz="6" w:space="0" w:color="auto"/>
              <w:right w:val="outset" w:sz="6" w:space="0" w:color="auto"/>
            </w:tcBorders>
            <w:hideMark/>
          </w:tcPr>
          <w:p w14:paraId="1506105E" w14:textId="716D68B6" w:rsidR="00316A60" w:rsidRPr="00316A60" w:rsidRDefault="00982CEB" w:rsidP="00982CEB">
            <w:pPr>
              <w:pStyle w:val="BodyTextSMPC"/>
              <w:spacing w:after="0"/>
              <w:ind w:left="0"/>
              <w:jc w:val="left"/>
              <w:rPr>
                <w:sz w:val="22"/>
                <w:szCs w:val="22"/>
              </w:rPr>
            </w:pPr>
            <w:r w:rsidRPr="00982CEB">
              <w:rPr>
                <w:sz w:val="22"/>
                <w:szCs w:val="22"/>
              </w:rPr>
              <w:t>Genital candidiasis (</w:t>
            </w:r>
            <w:proofErr w:type="spellStart"/>
            <w:r w:rsidRPr="00982CEB">
              <w:rPr>
                <w:sz w:val="22"/>
                <w:szCs w:val="22"/>
              </w:rPr>
              <w:t>monoliasis</w:t>
            </w:r>
            <w:proofErr w:type="spellEnd"/>
            <w:r w:rsidRPr="00982CEB">
              <w:rPr>
                <w:sz w:val="22"/>
                <w:szCs w:val="22"/>
              </w:rPr>
              <w:t>), vaginitis</w:t>
            </w:r>
          </w:p>
        </w:tc>
        <w:tc>
          <w:tcPr>
            <w:tcW w:w="860" w:type="pct"/>
            <w:tcBorders>
              <w:top w:val="outset" w:sz="6" w:space="0" w:color="auto"/>
              <w:left w:val="outset" w:sz="6" w:space="0" w:color="auto"/>
              <w:bottom w:val="outset" w:sz="6" w:space="0" w:color="auto"/>
              <w:right w:val="outset" w:sz="6" w:space="0" w:color="auto"/>
            </w:tcBorders>
          </w:tcPr>
          <w:p w14:paraId="24AEA0AB" w14:textId="501C0623" w:rsidR="00316A60" w:rsidRPr="00316A60" w:rsidRDefault="00316A60" w:rsidP="00982CEB">
            <w:pPr>
              <w:pStyle w:val="BodyTextSMPC"/>
              <w:spacing w:after="0"/>
              <w:ind w:left="0"/>
              <w:jc w:val="left"/>
              <w:rPr>
                <w:sz w:val="22"/>
                <w:szCs w:val="22"/>
              </w:rPr>
            </w:pPr>
          </w:p>
        </w:tc>
        <w:tc>
          <w:tcPr>
            <w:tcW w:w="859" w:type="pct"/>
            <w:tcBorders>
              <w:top w:val="outset" w:sz="6" w:space="0" w:color="auto"/>
              <w:left w:val="outset" w:sz="6" w:space="0" w:color="auto"/>
              <w:bottom w:val="outset" w:sz="6" w:space="0" w:color="auto"/>
              <w:right w:val="outset" w:sz="6" w:space="0" w:color="auto"/>
            </w:tcBorders>
          </w:tcPr>
          <w:p w14:paraId="5A5694A4" w14:textId="5E244ECB" w:rsidR="00316A60" w:rsidRPr="00316A60" w:rsidRDefault="00316A60" w:rsidP="00982CEB">
            <w:pPr>
              <w:pStyle w:val="BodyTextSMPC"/>
              <w:spacing w:after="0"/>
              <w:ind w:left="0"/>
              <w:jc w:val="left"/>
              <w:rPr>
                <w:sz w:val="22"/>
                <w:szCs w:val="22"/>
              </w:rPr>
            </w:pPr>
          </w:p>
        </w:tc>
      </w:tr>
      <w:tr w:rsidR="00982CEB" w:rsidRPr="00316A60" w14:paraId="5F2B6C7D" w14:textId="77777777" w:rsidTr="00072659">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4A80AEC9" w14:textId="0F0D0382" w:rsidR="00982CEB" w:rsidRPr="00982CEB" w:rsidRDefault="00982CEB" w:rsidP="00982CEB">
            <w:pPr>
              <w:pStyle w:val="BodyTextSMPC"/>
              <w:spacing w:after="0"/>
              <w:ind w:left="0"/>
              <w:jc w:val="left"/>
              <w:rPr>
                <w:sz w:val="22"/>
                <w:szCs w:val="22"/>
              </w:rPr>
            </w:pPr>
            <w:r w:rsidRPr="00982CEB">
              <w:rPr>
                <w:b/>
                <w:bCs/>
                <w:sz w:val="22"/>
                <w:szCs w:val="22"/>
              </w:rPr>
              <w:t>Blood and lymphatic system disorder</w:t>
            </w:r>
          </w:p>
        </w:tc>
        <w:tc>
          <w:tcPr>
            <w:tcW w:w="859" w:type="pct"/>
            <w:tcBorders>
              <w:top w:val="outset" w:sz="6" w:space="0" w:color="auto"/>
              <w:left w:val="outset" w:sz="6" w:space="0" w:color="auto"/>
              <w:bottom w:val="outset" w:sz="6" w:space="0" w:color="auto"/>
              <w:right w:val="outset" w:sz="6" w:space="0" w:color="auto"/>
            </w:tcBorders>
            <w:hideMark/>
          </w:tcPr>
          <w:p w14:paraId="45BE2F02" w14:textId="77777777" w:rsidR="00982CEB" w:rsidRPr="00316A60" w:rsidRDefault="00982CEB" w:rsidP="00982CEB">
            <w:pPr>
              <w:pStyle w:val="BodyTextSMPC"/>
              <w:spacing w:after="0"/>
              <w:ind w:left="0"/>
              <w:jc w:val="left"/>
              <w:rPr>
                <w:sz w:val="22"/>
                <w:szCs w:val="22"/>
              </w:rPr>
            </w:pPr>
          </w:p>
        </w:tc>
        <w:tc>
          <w:tcPr>
            <w:tcW w:w="782" w:type="pct"/>
            <w:tcBorders>
              <w:top w:val="outset" w:sz="6" w:space="0" w:color="auto"/>
              <w:left w:val="outset" w:sz="6" w:space="0" w:color="auto"/>
              <w:bottom w:val="outset" w:sz="6" w:space="0" w:color="auto"/>
              <w:right w:val="outset" w:sz="6" w:space="0" w:color="auto"/>
            </w:tcBorders>
          </w:tcPr>
          <w:p w14:paraId="2C1E3F56" w14:textId="28709814" w:rsidR="00982CEB" w:rsidRPr="00316A60" w:rsidRDefault="00982CEB" w:rsidP="00982CEB">
            <w:pPr>
              <w:pStyle w:val="BodyTextSMPC"/>
              <w:spacing w:after="0"/>
              <w:ind w:left="0"/>
              <w:jc w:val="left"/>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1F709764" w14:textId="2C5D2DE4" w:rsidR="00982CEB" w:rsidRPr="00316A60" w:rsidRDefault="00982CEB" w:rsidP="00982CEB">
            <w:pPr>
              <w:pStyle w:val="BodyTextSMPC"/>
              <w:spacing w:after="0"/>
              <w:ind w:left="0"/>
              <w:jc w:val="left"/>
              <w:rPr>
                <w:sz w:val="22"/>
                <w:szCs w:val="22"/>
              </w:rPr>
            </w:pPr>
            <w:r w:rsidRPr="00982CEB">
              <w:rPr>
                <w:sz w:val="22"/>
                <w:szCs w:val="22"/>
              </w:rPr>
              <w:t>Increase or decrease in blood glucose concentration (</w:t>
            </w:r>
            <w:proofErr w:type="spellStart"/>
            <w:r w:rsidRPr="00982CEB">
              <w:rPr>
                <w:sz w:val="22"/>
                <w:szCs w:val="22"/>
              </w:rPr>
              <w:t>hyperglycaem</w:t>
            </w:r>
            <w:proofErr w:type="spellEnd"/>
            <w:r w:rsidRPr="00982CEB">
              <w:rPr>
                <w:sz w:val="22"/>
                <w:szCs w:val="22"/>
              </w:rPr>
              <w:t xml:space="preserve"> </w:t>
            </w:r>
            <w:proofErr w:type="spellStart"/>
            <w:r w:rsidRPr="00982CEB">
              <w:rPr>
                <w:sz w:val="22"/>
                <w:szCs w:val="22"/>
              </w:rPr>
              <w:t>ia</w:t>
            </w:r>
            <w:proofErr w:type="spellEnd"/>
            <w:r w:rsidRPr="00982CEB">
              <w:rPr>
                <w:sz w:val="22"/>
                <w:szCs w:val="22"/>
              </w:rPr>
              <w:t xml:space="preserve"> or </w:t>
            </w:r>
            <w:proofErr w:type="spellStart"/>
            <w:r w:rsidRPr="00982CEB">
              <w:rPr>
                <w:sz w:val="22"/>
                <w:szCs w:val="22"/>
              </w:rPr>
              <w:t>hypoglycaemia</w:t>
            </w:r>
            <w:proofErr w:type="spellEnd"/>
            <w:r w:rsidRPr="00982CEB">
              <w:rPr>
                <w:sz w:val="22"/>
                <w:szCs w:val="22"/>
              </w:rPr>
              <w:t xml:space="preserve"> ). Leukopenia, Granulocytopenia, neutropenia, thrombocytopenia, Coagulation (blood clotting) disorders and bleeding as a consequence. At risk for these side effects are patients with a deficiency of vitamin K or other blood clotting leukocytosis, </w:t>
            </w:r>
            <w:proofErr w:type="spellStart"/>
            <w:r w:rsidRPr="00982CEB">
              <w:rPr>
                <w:sz w:val="22"/>
                <w:szCs w:val="22"/>
              </w:rPr>
              <w:t>granulocytosis</w:t>
            </w:r>
            <w:proofErr w:type="spellEnd"/>
            <w:r w:rsidRPr="00982CEB">
              <w:rPr>
                <w:sz w:val="22"/>
                <w:szCs w:val="22"/>
              </w:rPr>
              <w:t>, monocytosis, lymphocytopenia, basophilia and eosinophilia were observed in blood counts. These effects are rare and reversible.</w:t>
            </w:r>
          </w:p>
        </w:tc>
        <w:tc>
          <w:tcPr>
            <w:tcW w:w="860" w:type="pct"/>
            <w:tcBorders>
              <w:top w:val="outset" w:sz="6" w:space="0" w:color="auto"/>
              <w:left w:val="outset" w:sz="6" w:space="0" w:color="auto"/>
              <w:bottom w:val="outset" w:sz="6" w:space="0" w:color="auto"/>
              <w:right w:val="outset" w:sz="6" w:space="0" w:color="auto"/>
            </w:tcBorders>
            <w:hideMark/>
          </w:tcPr>
          <w:p w14:paraId="3D6CA64E" w14:textId="013B03FE" w:rsidR="00982CEB" w:rsidRPr="00316A60" w:rsidRDefault="00072659" w:rsidP="00982CEB">
            <w:pPr>
              <w:pStyle w:val="BodyTextSMPC"/>
              <w:spacing w:after="0"/>
              <w:ind w:left="0"/>
              <w:jc w:val="left"/>
              <w:rPr>
                <w:sz w:val="22"/>
                <w:szCs w:val="22"/>
              </w:rPr>
            </w:pPr>
            <w:r w:rsidRPr="00072659">
              <w:rPr>
                <w:sz w:val="22"/>
                <w:szCs w:val="22"/>
              </w:rPr>
              <w:t>Coagulation (blood clotting) disorders and bleeding as a consequence. At risk for these side effects are patients with a deficiency of vitamin K or other blood clotting</w:t>
            </w:r>
            <w:r>
              <w:rPr>
                <w:sz w:val="22"/>
                <w:szCs w:val="22"/>
              </w:rPr>
              <w:t xml:space="preserve"> </w:t>
            </w:r>
            <w:r w:rsidRPr="00072659">
              <w:rPr>
                <w:sz w:val="22"/>
                <w:szCs w:val="22"/>
              </w:rPr>
              <w:t xml:space="preserve">factors, or patients on artificial nutrition, inadequate diet, impaired liver and renal function, thrombocytopenia and patients with disorders or diseases that cause bleeding (e.g., </w:t>
            </w:r>
            <w:proofErr w:type="spellStart"/>
            <w:r w:rsidRPr="00072659">
              <w:rPr>
                <w:sz w:val="22"/>
                <w:szCs w:val="22"/>
              </w:rPr>
              <w:t>haemophilia</w:t>
            </w:r>
            <w:proofErr w:type="spellEnd"/>
            <w:r w:rsidRPr="00072659">
              <w:rPr>
                <w:sz w:val="22"/>
                <w:szCs w:val="22"/>
              </w:rPr>
              <w:t xml:space="preserve">, stomach and duodenal ulcers). Also see sections 4.4 and 4.5. Decreased </w:t>
            </w:r>
            <w:proofErr w:type="spellStart"/>
            <w:r w:rsidRPr="00072659">
              <w:rPr>
                <w:sz w:val="22"/>
                <w:szCs w:val="22"/>
              </w:rPr>
              <w:t>haemoglobin</w:t>
            </w:r>
            <w:proofErr w:type="spellEnd"/>
            <w:r w:rsidRPr="00072659">
              <w:rPr>
                <w:sz w:val="22"/>
                <w:szCs w:val="22"/>
              </w:rPr>
              <w:t xml:space="preserve"> and/or hematocrit, </w:t>
            </w:r>
            <w:proofErr w:type="spellStart"/>
            <w:r w:rsidRPr="00072659">
              <w:rPr>
                <w:sz w:val="22"/>
                <w:szCs w:val="22"/>
              </w:rPr>
              <w:t>anaemia</w:t>
            </w:r>
            <w:proofErr w:type="spellEnd"/>
            <w:r w:rsidRPr="00072659">
              <w:rPr>
                <w:sz w:val="22"/>
                <w:szCs w:val="22"/>
              </w:rPr>
              <w:t xml:space="preserve">, </w:t>
            </w:r>
            <w:proofErr w:type="spellStart"/>
            <w:r w:rsidRPr="00072659">
              <w:rPr>
                <w:sz w:val="22"/>
                <w:szCs w:val="22"/>
              </w:rPr>
              <w:t>agranulocytosi</w:t>
            </w:r>
            <w:proofErr w:type="spellEnd"/>
            <w:r w:rsidRPr="00072659">
              <w:rPr>
                <w:sz w:val="22"/>
                <w:szCs w:val="22"/>
              </w:rPr>
              <w:t xml:space="preserve"> s, aplastic </w:t>
            </w:r>
            <w:proofErr w:type="spellStart"/>
            <w:r w:rsidRPr="00072659">
              <w:rPr>
                <w:sz w:val="22"/>
                <w:szCs w:val="22"/>
              </w:rPr>
              <w:t>anaemia</w:t>
            </w:r>
            <w:proofErr w:type="spellEnd"/>
            <w:r w:rsidRPr="00072659">
              <w:rPr>
                <w:sz w:val="22"/>
                <w:szCs w:val="22"/>
              </w:rPr>
              <w:t xml:space="preserve">, pancytopenia and hemolytic </w:t>
            </w:r>
            <w:proofErr w:type="spellStart"/>
            <w:r w:rsidRPr="00072659">
              <w:rPr>
                <w:sz w:val="22"/>
                <w:szCs w:val="22"/>
              </w:rPr>
              <w:t>anaemia</w:t>
            </w:r>
            <w:proofErr w:type="spellEnd"/>
          </w:p>
        </w:tc>
        <w:tc>
          <w:tcPr>
            <w:tcW w:w="859" w:type="pct"/>
            <w:tcBorders>
              <w:top w:val="outset" w:sz="6" w:space="0" w:color="auto"/>
              <w:left w:val="outset" w:sz="6" w:space="0" w:color="auto"/>
              <w:bottom w:val="outset" w:sz="6" w:space="0" w:color="auto"/>
              <w:right w:val="outset" w:sz="6" w:space="0" w:color="auto"/>
            </w:tcBorders>
          </w:tcPr>
          <w:p w14:paraId="0C34C30C" w14:textId="05496F50" w:rsidR="00982CEB" w:rsidRPr="00316A60" w:rsidRDefault="00982CEB" w:rsidP="00982CEB">
            <w:pPr>
              <w:pStyle w:val="BodyTextSMPC"/>
              <w:spacing w:after="0"/>
              <w:ind w:left="0"/>
              <w:jc w:val="left"/>
              <w:rPr>
                <w:sz w:val="22"/>
                <w:szCs w:val="22"/>
              </w:rPr>
            </w:pPr>
          </w:p>
        </w:tc>
      </w:tr>
      <w:tr w:rsidR="00982CEB" w:rsidRPr="00316A60" w14:paraId="346D8A2C" w14:textId="77777777" w:rsidTr="00982CEB">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1FEDDC0B" w14:textId="50F524C3" w:rsidR="00982CEB" w:rsidRPr="00982CEB" w:rsidRDefault="00072659" w:rsidP="00982CEB">
            <w:pPr>
              <w:pStyle w:val="BodyTextSMPC"/>
              <w:spacing w:after="0"/>
              <w:ind w:left="0"/>
              <w:jc w:val="left"/>
              <w:rPr>
                <w:sz w:val="22"/>
                <w:szCs w:val="22"/>
              </w:rPr>
            </w:pPr>
            <w:r w:rsidRPr="00072659">
              <w:rPr>
                <w:b/>
                <w:bCs/>
                <w:sz w:val="22"/>
                <w:szCs w:val="22"/>
              </w:rPr>
              <w:t>Immune system disorders</w:t>
            </w:r>
          </w:p>
        </w:tc>
        <w:tc>
          <w:tcPr>
            <w:tcW w:w="859" w:type="pct"/>
            <w:tcBorders>
              <w:top w:val="outset" w:sz="6" w:space="0" w:color="auto"/>
              <w:left w:val="outset" w:sz="6" w:space="0" w:color="auto"/>
              <w:bottom w:val="outset" w:sz="6" w:space="0" w:color="auto"/>
              <w:right w:val="outset" w:sz="6" w:space="0" w:color="auto"/>
            </w:tcBorders>
            <w:hideMark/>
          </w:tcPr>
          <w:p w14:paraId="031F434E" w14:textId="77777777" w:rsidR="00982CEB" w:rsidRPr="00316A60" w:rsidRDefault="00982CEB" w:rsidP="00982CEB">
            <w:pPr>
              <w:pStyle w:val="BodyTextSMPC"/>
              <w:spacing w:after="0"/>
              <w:ind w:left="0"/>
              <w:jc w:val="left"/>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6165A861" w14:textId="550FC143" w:rsidR="00982CEB" w:rsidRPr="00316A60" w:rsidRDefault="00072659" w:rsidP="00982CEB">
            <w:pPr>
              <w:pStyle w:val="BodyTextSMPC"/>
              <w:spacing w:after="0"/>
              <w:ind w:left="0"/>
              <w:jc w:val="left"/>
              <w:rPr>
                <w:sz w:val="22"/>
                <w:szCs w:val="22"/>
              </w:rPr>
            </w:pPr>
            <w:r w:rsidRPr="00072659">
              <w:rPr>
                <w:sz w:val="22"/>
                <w:szCs w:val="22"/>
              </w:rPr>
              <w:t xml:space="preserve">Erythema, erythema multiforme, exanthema, </w:t>
            </w:r>
            <w:r w:rsidRPr="00072659">
              <w:rPr>
                <w:sz w:val="22"/>
                <w:szCs w:val="22"/>
              </w:rPr>
              <w:lastRenderedPageBreak/>
              <w:t>urticaria, reversible local permeability of the blood vessels, joints, or mucous membranes (angioedema) , drug-induced</w:t>
            </w:r>
            <w:r>
              <w:rPr>
                <w:sz w:val="22"/>
                <w:szCs w:val="22"/>
              </w:rPr>
              <w:t xml:space="preserve"> </w:t>
            </w:r>
            <w:r w:rsidRPr="00072659">
              <w:rPr>
                <w:sz w:val="22"/>
                <w:szCs w:val="22"/>
              </w:rPr>
              <w:t>fever and interstitial pneumonia or pneumonitis</w:t>
            </w:r>
          </w:p>
        </w:tc>
        <w:tc>
          <w:tcPr>
            <w:tcW w:w="780" w:type="pct"/>
            <w:tcBorders>
              <w:top w:val="outset" w:sz="6" w:space="0" w:color="auto"/>
              <w:left w:val="outset" w:sz="6" w:space="0" w:color="auto"/>
              <w:bottom w:val="outset" w:sz="6" w:space="0" w:color="auto"/>
              <w:right w:val="outset" w:sz="6" w:space="0" w:color="auto"/>
            </w:tcBorders>
            <w:hideMark/>
          </w:tcPr>
          <w:p w14:paraId="13F96F0E" w14:textId="4800377C" w:rsidR="00982CEB" w:rsidRPr="00316A60" w:rsidRDefault="00072659" w:rsidP="00982CEB">
            <w:pPr>
              <w:pStyle w:val="BodyTextSMPC"/>
              <w:spacing w:after="0"/>
              <w:ind w:left="0"/>
              <w:jc w:val="left"/>
              <w:rPr>
                <w:sz w:val="22"/>
                <w:szCs w:val="22"/>
              </w:rPr>
            </w:pPr>
            <w:r w:rsidRPr="00072659">
              <w:rPr>
                <w:sz w:val="22"/>
                <w:szCs w:val="22"/>
              </w:rPr>
              <w:lastRenderedPageBreak/>
              <w:t xml:space="preserve">Toxic epidermal necrolysis (Lyell's </w:t>
            </w:r>
            <w:r w:rsidRPr="00072659">
              <w:rPr>
                <w:sz w:val="22"/>
                <w:szCs w:val="22"/>
              </w:rPr>
              <w:lastRenderedPageBreak/>
              <w:t>syndrome), Stevens</w:t>
            </w:r>
            <w:r>
              <w:rPr>
                <w:sz w:val="22"/>
                <w:szCs w:val="22"/>
              </w:rPr>
              <w:t>-</w:t>
            </w:r>
            <w:r w:rsidRPr="00072659">
              <w:rPr>
                <w:sz w:val="22"/>
                <w:szCs w:val="22"/>
              </w:rPr>
              <w:t>Johnson syndrome.</w:t>
            </w:r>
          </w:p>
        </w:tc>
        <w:tc>
          <w:tcPr>
            <w:tcW w:w="860" w:type="pct"/>
            <w:tcBorders>
              <w:top w:val="outset" w:sz="6" w:space="0" w:color="auto"/>
              <w:left w:val="outset" w:sz="6" w:space="0" w:color="auto"/>
              <w:bottom w:val="outset" w:sz="6" w:space="0" w:color="auto"/>
              <w:right w:val="outset" w:sz="6" w:space="0" w:color="auto"/>
            </w:tcBorders>
            <w:hideMark/>
          </w:tcPr>
          <w:p w14:paraId="63262016" w14:textId="7CEAF5E6" w:rsidR="00982CEB" w:rsidRPr="00316A60" w:rsidRDefault="00072659" w:rsidP="00982CEB">
            <w:pPr>
              <w:pStyle w:val="BodyTextSMPC"/>
              <w:spacing w:after="0"/>
              <w:ind w:left="0"/>
              <w:jc w:val="left"/>
              <w:rPr>
                <w:sz w:val="22"/>
                <w:szCs w:val="22"/>
              </w:rPr>
            </w:pPr>
            <w:r w:rsidRPr="00072659">
              <w:rPr>
                <w:sz w:val="22"/>
                <w:szCs w:val="22"/>
              </w:rPr>
              <w:lastRenderedPageBreak/>
              <w:t xml:space="preserve">Anaphylactic shock, swelling of the larynx with narrowing </w:t>
            </w:r>
            <w:r w:rsidRPr="00072659">
              <w:rPr>
                <w:sz w:val="22"/>
                <w:szCs w:val="22"/>
              </w:rPr>
              <w:lastRenderedPageBreak/>
              <w:t>of the airways , increased heart rate, shortness of breath, falling blood pressure, swollen tongue, anal pruritus, genital pruritus</w:t>
            </w:r>
            <w:r>
              <w:rPr>
                <w:sz w:val="22"/>
                <w:szCs w:val="22"/>
              </w:rPr>
              <w:t>,</w:t>
            </w:r>
            <w:r>
              <w:t xml:space="preserve"> </w:t>
            </w:r>
            <w:r w:rsidRPr="00072659">
              <w:rPr>
                <w:sz w:val="22"/>
                <w:szCs w:val="22"/>
              </w:rPr>
              <w:t>face edema.</w:t>
            </w:r>
          </w:p>
        </w:tc>
        <w:tc>
          <w:tcPr>
            <w:tcW w:w="859" w:type="pct"/>
            <w:tcBorders>
              <w:top w:val="outset" w:sz="6" w:space="0" w:color="auto"/>
              <w:left w:val="outset" w:sz="6" w:space="0" w:color="auto"/>
              <w:bottom w:val="outset" w:sz="6" w:space="0" w:color="auto"/>
              <w:right w:val="outset" w:sz="6" w:space="0" w:color="auto"/>
            </w:tcBorders>
            <w:hideMark/>
          </w:tcPr>
          <w:p w14:paraId="48A9C814" w14:textId="77777777" w:rsidR="00982CEB" w:rsidRPr="00316A60" w:rsidRDefault="00982CEB" w:rsidP="00982CEB">
            <w:pPr>
              <w:pStyle w:val="BodyTextSMPC"/>
              <w:spacing w:after="0"/>
              <w:ind w:left="0"/>
              <w:jc w:val="left"/>
              <w:rPr>
                <w:sz w:val="22"/>
                <w:szCs w:val="22"/>
              </w:rPr>
            </w:pPr>
          </w:p>
        </w:tc>
      </w:tr>
      <w:tr w:rsidR="00982CEB" w:rsidRPr="00316A60" w14:paraId="4CABD551" w14:textId="77777777" w:rsidTr="008C17A5">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695A8AD4" w14:textId="77777777" w:rsidR="00982CEB" w:rsidRPr="00982CEB" w:rsidRDefault="00982CEB" w:rsidP="00982CEB">
            <w:pPr>
              <w:pStyle w:val="BodyTextSMPC"/>
              <w:spacing w:after="0"/>
              <w:ind w:left="0"/>
              <w:jc w:val="left"/>
              <w:rPr>
                <w:sz w:val="22"/>
                <w:szCs w:val="22"/>
              </w:rPr>
            </w:pPr>
            <w:r w:rsidRPr="00982CEB">
              <w:rPr>
                <w:b/>
                <w:bCs/>
                <w:sz w:val="22"/>
                <w:szCs w:val="22"/>
              </w:rPr>
              <w:t>Nervous system disorders</w:t>
            </w:r>
          </w:p>
        </w:tc>
        <w:tc>
          <w:tcPr>
            <w:tcW w:w="859" w:type="pct"/>
            <w:tcBorders>
              <w:top w:val="outset" w:sz="6" w:space="0" w:color="auto"/>
              <w:left w:val="outset" w:sz="6" w:space="0" w:color="auto"/>
              <w:bottom w:val="outset" w:sz="6" w:space="0" w:color="auto"/>
              <w:right w:val="outset" w:sz="6" w:space="0" w:color="auto"/>
            </w:tcBorders>
            <w:hideMark/>
          </w:tcPr>
          <w:p w14:paraId="518CE6D8" w14:textId="77777777" w:rsidR="00982CEB" w:rsidRPr="00316A60" w:rsidRDefault="00982CEB" w:rsidP="00982CEB">
            <w:pPr>
              <w:pStyle w:val="BodyTextSMPC"/>
              <w:spacing w:after="0"/>
              <w:ind w:left="0"/>
              <w:jc w:val="left"/>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2580C1AA" w14:textId="261CF8D3" w:rsidR="00982CEB" w:rsidRPr="00316A60" w:rsidRDefault="008C17A5" w:rsidP="00982CEB">
            <w:pPr>
              <w:pStyle w:val="BodyTextSMPC"/>
              <w:spacing w:after="0"/>
              <w:ind w:left="0"/>
              <w:jc w:val="left"/>
              <w:rPr>
                <w:sz w:val="22"/>
                <w:szCs w:val="22"/>
              </w:rPr>
            </w:pPr>
            <w:r>
              <w:rPr>
                <w:sz w:val="22"/>
                <w:szCs w:val="22"/>
              </w:rPr>
              <w:t>S</w:t>
            </w:r>
            <w:r w:rsidRPr="008C17A5">
              <w:rPr>
                <w:sz w:val="22"/>
                <w:szCs w:val="22"/>
              </w:rPr>
              <w:t>eizures (in patients with renal dysfunction, with inappropriate high treated doses)</w:t>
            </w:r>
          </w:p>
        </w:tc>
        <w:tc>
          <w:tcPr>
            <w:tcW w:w="780" w:type="pct"/>
            <w:tcBorders>
              <w:top w:val="outset" w:sz="6" w:space="0" w:color="auto"/>
              <w:left w:val="outset" w:sz="6" w:space="0" w:color="auto"/>
              <w:bottom w:val="outset" w:sz="6" w:space="0" w:color="auto"/>
              <w:right w:val="outset" w:sz="6" w:space="0" w:color="auto"/>
            </w:tcBorders>
          </w:tcPr>
          <w:p w14:paraId="57925E63" w14:textId="6A6511BE" w:rsidR="00982CEB" w:rsidRPr="00316A60" w:rsidRDefault="008C17A5" w:rsidP="00982CEB">
            <w:pPr>
              <w:pStyle w:val="BodyTextSMPC"/>
              <w:spacing w:after="0"/>
              <w:ind w:left="0"/>
              <w:jc w:val="left"/>
              <w:rPr>
                <w:sz w:val="22"/>
                <w:szCs w:val="22"/>
              </w:rPr>
            </w:pPr>
            <w:r w:rsidRPr="008C17A5">
              <w:rPr>
                <w:sz w:val="22"/>
                <w:szCs w:val="22"/>
              </w:rPr>
              <w:t xml:space="preserve">Dizziness, malaise, fatigue. Nightmares, vertigo, hyperactivity, nervousness or anxiety, insomnia, drowsiness, weakness, hot flushes, disturbed </w:t>
            </w:r>
            <w:proofErr w:type="spellStart"/>
            <w:r w:rsidRPr="008C17A5">
              <w:rPr>
                <w:sz w:val="22"/>
                <w:szCs w:val="22"/>
              </w:rPr>
              <w:t>colour</w:t>
            </w:r>
            <w:proofErr w:type="spellEnd"/>
            <w:r w:rsidRPr="008C17A5">
              <w:rPr>
                <w:sz w:val="22"/>
                <w:szCs w:val="22"/>
              </w:rPr>
              <w:t xml:space="preserve"> vision, confusion and epileptogenic activity.</w:t>
            </w:r>
          </w:p>
        </w:tc>
        <w:tc>
          <w:tcPr>
            <w:tcW w:w="860" w:type="pct"/>
            <w:tcBorders>
              <w:top w:val="outset" w:sz="6" w:space="0" w:color="auto"/>
              <w:left w:val="outset" w:sz="6" w:space="0" w:color="auto"/>
              <w:bottom w:val="outset" w:sz="6" w:space="0" w:color="auto"/>
              <w:right w:val="outset" w:sz="6" w:space="0" w:color="auto"/>
            </w:tcBorders>
            <w:hideMark/>
          </w:tcPr>
          <w:p w14:paraId="253BEEAF" w14:textId="77777777" w:rsidR="00982CEB" w:rsidRPr="00316A60" w:rsidRDefault="00982CEB" w:rsidP="00982CEB">
            <w:pPr>
              <w:pStyle w:val="BodyTextSMPC"/>
              <w:spacing w:after="0"/>
              <w:ind w:left="0"/>
              <w:jc w:val="left"/>
              <w:rPr>
                <w:sz w:val="22"/>
                <w:szCs w:val="22"/>
              </w:rPr>
            </w:pPr>
          </w:p>
        </w:tc>
        <w:tc>
          <w:tcPr>
            <w:tcW w:w="859" w:type="pct"/>
            <w:tcBorders>
              <w:top w:val="outset" w:sz="6" w:space="0" w:color="auto"/>
              <w:left w:val="outset" w:sz="6" w:space="0" w:color="auto"/>
              <w:bottom w:val="outset" w:sz="6" w:space="0" w:color="auto"/>
              <w:right w:val="outset" w:sz="6" w:space="0" w:color="auto"/>
            </w:tcBorders>
          </w:tcPr>
          <w:p w14:paraId="07406693" w14:textId="3E263B7E" w:rsidR="00982CEB" w:rsidRPr="00316A60" w:rsidRDefault="00982CEB" w:rsidP="00982CEB">
            <w:pPr>
              <w:pStyle w:val="BodyTextSMPC"/>
              <w:spacing w:after="0"/>
              <w:ind w:left="0"/>
              <w:jc w:val="left"/>
              <w:rPr>
                <w:sz w:val="22"/>
                <w:szCs w:val="22"/>
              </w:rPr>
            </w:pPr>
          </w:p>
        </w:tc>
      </w:tr>
      <w:tr w:rsidR="00982CEB" w:rsidRPr="00316A60" w14:paraId="416E3746" w14:textId="77777777" w:rsidTr="008C17A5">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77235BF0" w14:textId="4644DD1E" w:rsidR="00982CEB" w:rsidRPr="008C17A5" w:rsidRDefault="008C17A5" w:rsidP="00982CEB">
            <w:pPr>
              <w:pStyle w:val="BodyTextSMPC"/>
              <w:spacing w:after="0"/>
              <w:ind w:left="0"/>
              <w:jc w:val="left"/>
              <w:rPr>
                <w:b/>
                <w:bCs/>
                <w:sz w:val="22"/>
                <w:szCs w:val="22"/>
              </w:rPr>
            </w:pPr>
            <w:r w:rsidRPr="008C17A5">
              <w:rPr>
                <w:b/>
                <w:bCs/>
                <w:sz w:val="22"/>
                <w:szCs w:val="22"/>
              </w:rPr>
              <w:t>R</w:t>
            </w:r>
            <w:r w:rsidRPr="008C17A5">
              <w:rPr>
                <w:b/>
                <w:bCs/>
                <w:sz w:val="22"/>
                <w:szCs w:val="22"/>
              </w:rPr>
              <w:t>espiratory, thoracic and mediastinal disorders</w:t>
            </w:r>
          </w:p>
        </w:tc>
        <w:tc>
          <w:tcPr>
            <w:tcW w:w="859" w:type="pct"/>
            <w:tcBorders>
              <w:top w:val="outset" w:sz="6" w:space="0" w:color="auto"/>
              <w:left w:val="outset" w:sz="6" w:space="0" w:color="auto"/>
              <w:bottom w:val="outset" w:sz="6" w:space="0" w:color="auto"/>
              <w:right w:val="outset" w:sz="6" w:space="0" w:color="auto"/>
            </w:tcBorders>
            <w:hideMark/>
          </w:tcPr>
          <w:p w14:paraId="228B0C63" w14:textId="77777777" w:rsidR="00982CEB" w:rsidRPr="00316A60" w:rsidRDefault="00982CEB" w:rsidP="00982CEB">
            <w:pPr>
              <w:pStyle w:val="BodyTextSMPC"/>
              <w:spacing w:after="0"/>
              <w:ind w:left="0"/>
              <w:jc w:val="left"/>
              <w:rPr>
                <w:sz w:val="22"/>
                <w:szCs w:val="22"/>
              </w:rPr>
            </w:pPr>
          </w:p>
        </w:tc>
        <w:tc>
          <w:tcPr>
            <w:tcW w:w="782" w:type="pct"/>
            <w:tcBorders>
              <w:top w:val="outset" w:sz="6" w:space="0" w:color="auto"/>
              <w:left w:val="outset" w:sz="6" w:space="0" w:color="auto"/>
              <w:bottom w:val="outset" w:sz="6" w:space="0" w:color="auto"/>
              <w:right w:val="outset" w:sz="6" w:space="0" w:color="auto"/>
            </w:tcBorders>
          </w:tcPr>
          <w:p w14:paraId="47545C83" w14:textId="54FA79F2" w:rsidR="00982CEB" w:rsidRPr="00316A60" w:rsidRDefault="00982CEB" w:rsidP="00982CEB">
            <w:pPr>
              <w:pStyle w:val="BodyTextSMPC"/>
              <w:spacing w:after="0"/>
              <w:ind w:left="0"/>
              <w:jc w:val="left"/>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0A6DF5AB" w14:textId="6096DDC0" w:rsidR="00982CEB" w:rsidRPr="00316A60" w:rsidRDefault="008C17A5" w:rsidP="00982CEB">
            <w:pPr>
              <w:pStyle w:val="BodyTextSMPC"/>
              <w:spacing w:after="0"/>
              <w:ind w:left="0"/>
              <w:jc w:val="left"/>
              <w:rPr>
                <w:sz w:val="22"/>
                <w:szCs w:val="22"/>
              </w:rPr>
            </w:pPr>
            <w:r w:rsidRPr="008C17A5">
              <w:rPr>
                <w:sz w:val="22"/>
                <w:szCs w:val="22"/>
              </w:rPr>
              <w:t xml:space="preserve">Pleural effusion, chest pain, </w:t>
            </w:r>
            <w:proofErr w:type="spellStart"/>
            <w:r w:rsidRPr="008C17A5">
              <w:rPr>
                <w:sz w:val="22"/>
                <w:szCs w:val="22"/>
              </w:rPr>
              <w:t>dyspnoea</w:t>
            </w:r>
            <w:proofErr w:type="spellEnd"/>
            <w:r w:rsidRPr="008C17A5">
              <w:rPr>
                <w:sz w:val="22"/>
                <w:szCs w:val="22"/>
              </w:rPr>
              <w:t xml:space="preserve"> or respiratory distress, </w:t>
            </w:r>
            <w:proofErr w:type="spellStart"/>
            <w:r w:rsidRPr="008C17A5">
              <w:rPr>
                <w:sz w:val="22"/>
                <w:szCs w:val="22"/>
              </w:rPr>
              <w:t>cough,rhinitis</w:t>
            </w:r>
            <w:proofErr w:type="spellEnd"/>
            <w:r w:rsidRPr="008C17A5">
              <w:rPr>
                <w:sz w:val="22"/>
                <w:szCs w:val="22"/>
              </w:rPr>
              <w:t>.</w:t>
            </w:r>
          </w:p>
        </w:tc>
        <w:tc>
          <w:tcPr>
            <w:tcW w:w="860" w:type="pct"/>
            <w:tcBorders>
              <w:top w:val="outset" w:sz="6" w:space="0" w:color="auto"/>
              <w:left w:val="outset" w:sz="6" w:space="0" w:color="auto"/>
              <w:bottom w:val="outset" w:sz="6" w:space="0" w:color="auto"/>
              <w:right w:val="outset" w:sz="6" w:space="0" w:color="auto"/>
            </w:tcBorders>
            <w:hideMark/>
          </w:tcPr>
          <w:p w14:paraId="37766010" w14:textId="77777777" w:rsidR="00982CEB" w:rsidRPr="00316A60" w:rsidRDefault="00982CEB" w:rsidP="00982CEB">
            <w:pPr>
              <w:pStyle w:val="BodyTextSMPC"/>
              <w:spacing w:after="0"/>
              <w:ind w:left="0"/>
              <w:jc w:val="left"/>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53500F77" w14:textId="77777777" w:rsidR="00982CEB" w:rsidRPr="00316A60" w:rsidRDefault="00982CEB" w:rsidP="00982CEB">
            <w:pPr>
              <w:pStyle w:val="BodyTextSMPC"/>
              <w:spacing w:after="0"/>
              <w:ind w:left="0"/>
              <w:jc w:val="left"/>
              <w:rPr>
                <w:sz w:val="22"/>
                <w:szCs w:val="22"/>
              </w:rPr>
            </w:pPr>
          </w:p>
        </w:tc>
      </w:tr>
      <w:tr w:rsidR="00982CEB" w:rsidRPr="00316A60" w14:paraId="19D0B020" w14:textId="77777777" w:rsidTr="008C17A5">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3C4B599D" w14:textId="5094AA98" w:rsidR="00982CEB" w:rsidRPr="00982CEB" w:rsidRDefault="008C17A5" w:rsidP="00982CEB">
            <w:pPr>
              <w:pStyle w:val="BodyTextSMPC"/>
              <w:spacing w:after="0"/>
              <w:ind w:left="0"/>
              <w:jc w:val="left"/>
              <w:rPr>
                <w:sz w:val="22"/>
                <w:szCs w:val="22"/>
              </w:rPr>
            </w:pPr>
            <w:proofErr w:type="spellStart"/>
            <w:r>
              <w:rPr>
                <w:b/>
                <w:bCs/>
                <w:sz w:val="22"/>
                <w:szCs w:val="22"/>
              </w:rPr>
              <w:t>G</w:t>
            </w:r>
            <w:r w:rsidRPr="008C17A5">
              <w:rPr>
                <w:b/>
                <w:bCs/>
                <w:sz w:val="22"/>
                <w:szCs w:val="22"/>
              </w:rPr>
              <w:t>astrointestin</w:t>
            </w:r>
            <w:proofErr w:type="spellEnd"/>
            <w:r w:rsidRPr="008C17A5">
              <w:rPr>
                <w:b/>
                <w:bCs/>
                <w:sz w:val="22"/>
                <w:szCs w:val="22"/>
              </w:rPr>
              <w:t xml:space="preserve"> al disorders</w:t>
            </w:r>
          </w:p>
        </w:tc>
        <w:tc>
          <w:tcPr>
            <w:tcW w:w="859" w:type="pct"/>
            <w:tcBorders>
              <w:top w:val="outset" w:sz="6" w:space="0" w:color="auto"/>
              <w:left w:val="outset" w:sz="6" w:space="0" w:color="auto"/>
              <w:bottom w:val="outset" w:sz="6" w:space="0" w:color="auto"/>
              <w:right w:val="outset" w:sz="6" w:space="0" w:color="auto"/>
            </w:tcBorders>
            <w:hideMark/>
          </w:tcPr>
          <w:p w14:paraId="31B9A611" w14:textId="1457D58B" w:rsidR="00982CEB" w:rsidRPr="00316A60" w:rsidRDefault="008C17A5" w:rsidP="00982CEB">
            <w:pPr>
              <w:pStyle w:val="BodyTextSMPC"/>
              <w:spacing w:after="0"/>
              <w:ind w:left="0"/>
              <w:jc w:val="left"/>
              <w:rPr>
                <w:sz w:val="22"/>
                <w:szCs w:val="22"/>
              </w:rPr>
            </w:pPr>
            <w:r>
              <w:rPr>
                <w:sz w:val="22"/>
                <w:szCs w:val="22"/>
              </w:rPr>
              <w:t>L</w:t>
            </w:r>
            <w:r w:rsidRPr="008C17A5">
              <w:rPr>
                <w:sz w:val="22"/>
                <w:szCs w:val="22"/>
              </w:rPr>
              <w:t xml:space="preserve">oss of appetite, </w:t>
            </w:r>
            <w:proofErr w:type="spellStart"/>
            <w:r w:rsidRPr="008C17A5">
              <w:rPr>
                <w:sz w:val="22"/>
                <w:szCs w:val="22"/>
              </w:rPr>
              <w:t>diarrhoea</w:t>
            </w:r>
            <w:proofErr w:type="spellEnd"/>
            <w:r w:rsidRPr="008C17A5">
              <w:rPr>
                <w:sz w:val="22"/>
                <w:szCs w:val="22"/>
              </w:rPr>
              <w:t>, nausea and vomiting. These symptoms are usually</w:t>
            </w:r>
            <w:r>
              <w:rPr>
                <w:sz w:val="22"/>
                <w:szCs w:val="22"/>
              </w:rPr>
              <w:t xml:space="preserve"> </w:t>
            </w:r>
            <w:r w:rsidRPr="008C17A5">
              <w:rPr>
                <w:sz w:val="22"/>
                <w:szCs w:val="22"/>
              </w:rPr>
              <w:t>moderate and often disappear during or after treatment</w:t>
            </w:r>
          </w:p>
        </w:tc>
        <w:tc>
          <w:tcPr>
            <w:tcW w:w="782" w:type="pct"/>
            <w:tcBorders>
              <w:top w:val="outset" w:sz="6" w:space="0" w:color="auto"/>
              <w:left w:val="outset" w:sz="6" w:space="0" w:color="auto"/>
              <w:bottom w:val="outset" w:sz="6" w:space="0" w:color="auto"/>
              <w:right w:val="outset" w:sz="6" w:space="0" w:color="auto"/>
            </w:tcBorders>
            <w:hideMark/>
          </w:tcPr>
          <w:p w14:paraId="3A249F56" w14:textId="77777777" w:rsidR="00982CEB" w:rsidRPr="00316A60" w:rsidRDefault="00982CEB" w:rsidP="00982CEB">
            <w:pPr>
              <w:pStyle w:val="BodyTextSMPC"/>
              <w:spacing w:after="0"/>
              <w:ind w:left="0"/>
              <w:jc w:val="left"/>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2A0172D2" w14:textId="77777777" w:rsidR="00982CEB" w:rsidRPr="00316A60" w:rsidRDefault="00982CEB" w:rsidP="00982CEB">
            <w:pPr>
              <w:pStyle w:val="BodyTextSMPC"/>
              <w:spacing w:after="0"/>
              <w:ind w:left="0"/>
              <w:jc w:val="left"/>
              <w:rPr>
                <w:sz w:val="22"/>
                <w:szCs w:val="22"/>
              </w:rPr>
            </w:pPr>
          </w:p>
        </w:tc>
        <w:tc>
          <w:tcPr>
            <w:tcW w:w="860" w:type="pct"/>
            <w:tcBorders>
              <w:top w:val="outset" w:sz="6" w:space="0" w:color="auto"/>
              <w:left w:val="outset" w:sz="6" w:space="0" w:color="auto"/>
              <w:bottom w:val="outset" w:sz="6" w:space="0" w:color="auto"/>
              <w:right w:val="outset" w:sz="6" w:space="0" w:color="auto"/>
            </w:tcBorders>
            <w:hideMark/>
          </w:tcPr>
          <w:p w14:paraId="149EAE32" w14:textId="5D55D310" w:rsidR="00982CEB" w:rsidRPr="00316A60" w:rsidRDefault="008C17A5" w:rsidP="00982CEB">
            <w:pPr>
              <w:pStyle w:val="BodyTextSMPC"/>
              <w:spacing w:after="0"/>
              <w:ind w:left="0"/>
              <w:jc w:val="left"/>
              <w:rPr>
                <w:sz w:val="22"/>
                <w:szCs w:val="22"/>
              </w:rPr>
            </w:pPr>
            <w:r w:rsidRPr="008C17A5">
              <w:rPr>
                <w:sz w:val="22"/>
                <w:szCs w:val="22"/>
              </w:rPr>
              <w:t>Pseudo</w:t>
            </w:r>
            <w:r>
              <w:rPr>
                <w:sz w:val="22"/>
                <w:szCs w:val="22"/>
              </w:rPr>
              <w:t>-</w:t>
            </w:r>
            <w:r w:rsidRPr="008C17A5">
              <w:rPr>
                <w:sz w:val="22"/>
                <w:szCs w:val="22"/>
              </w:rPr>
              <w:t>membranous colitis (see section 4.4)</w:t>
            </w:r>
          </w:p>
        </w:tc>
        <w:tc>
          <w:tcPr>
            <w:tcW w:w="859" w:type="pct"/>
            <w:tcBorders>
              <w:top w:val="outset" w:sz="6" w:space="0" w:color="auto"/>
              <w:left w:val="outset" w:sz="6" w:space="0" w:color="auto"/>
              <w:bottom w:val="outset" w:sz="6" w:space="0" w:color="auto"/>
              <w:right w:val="outset" w:sz="6" w:space="0" w:color="auto"/>
            </w:tcBorders>
          </w:tcPr>
          <w:p w14:paraId="268D67B7" w14:textId="1BACD218" w:rsidR="00982CEB" w:rsidRPr="00316A60" w:rsidRDefault="00982CEB" w:rsidP="00982CEB">
            <w:pPr>
              <w:pStyle w:val="BodyTextSMPC"/>
              <w:spacing w:after="0"/>
              <w:ind w:left="0"/>
              <w:jc w:val="left"/>
              <w:rPr>
                <w:sz w:val="22"/>
                <w:szCs w:val="22"/>
              </w:rPr>
            </w:pPr>
          </w:p>
        </w:tc>
      </w:tr>
      <w:tr w:rsidR="00982CEB" w:rsidRPr="00316A60" w14:paraId="7F6D0FBA" w14:textId="77777777" w:rsidTr="00982CEB">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76016A87" w14:textId="32520EE2" w:rsidR="00982CEB" w:rsidRPr="00982CEB" w:rsidRDefault="008C17A5" w:rsidP="00982CEB">
            <w:pPr>
              <w:pStyle w:val="BodyTextSMPC"/>
              <w:spacing w:after="0"/>
              <w:ind w:left="0"/>
              <w:jc w:val="left"/>
              <w:rPr>
                <w:sz w:val="22"/>
                <w:szCs w:val="22"/>
              </w:rPr>
            </w:pPr>
            <w:r>
              <w:rPr>
                <w:b/>
                <w:bCs/>
                <w:sz w:val="22"/>
                <w:szCs w:val="22"/>
              </w:rPr>
              <w:lastRenderedPageBreak/>
              <w:t>H</w:t>
            </w:r>
            <w:r w:rsidRPr="008C17A5">
              <w:rPr>
                <w:b/>
                <w:bCs/>
                <w:sz w:val="22"/>
                <w:szCs w:val="22"/>
              </w:rPr>
              <w:t>epatobiliary disorders</w:t>
            </w:r>
          </w:p>
        </w:tc>
        <w:tc>
          <w:tcPr>
            <w:tcW w:w="859" w:type="pct"/>
            <w:tcBorders>
              <w:top w:val="outset" w:sz="6" w:space="0" w:color="auto"/>
              <w:left w:val="outset" w:sz="6" w:space="0" w:color="auto"/>
              <w:bottom w:val="outset" w:sz="6" w:space="0" w:color="auto"/>
              <w:right w:val="outset" w:sz="6" w:space="0" w:color="auto"/>
            </w:tcBorders>
            <w:hideMark/>
          </w:tcPr>
          <w:p w14:paraId="2F60B202" w14:textId="77777777" w:rsidR="00982CEB" w:rsidRPr="00316A60" w:rsidRDefault="00982CEB" w:rsidP="00982CEB">
            <w:pPr>
              <w:pStyle w:val="BodyTextSMPC"/>
              <w:spacing w:after="0"/>
              <w:ind w:left="0"/>
              <w:jc w:val="left"/>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2B99BF09" w14:textId="77777777" w:rsidR="00982CEB" w:rsidRPr="00316A60" w:rsidRDefault="00982CEB" w:rsidP="00982CEB">
            <w:pPr>
              <w:pStyle w:val="BodyTextSMPC"/>
              <w:spacing w:after="0"/>
              <w:ind w:left="0"/>
              <w:jc w:val="left"/>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44427A9C" w14:textId="1B16F5F4" w:rsidR="00982CEB" w:rsidRPr="00316A60" w:rsidRDefault="008C17A5" w:rsidP="00982CEB">
            <w:pPr>
              <w:pStyle w:val="BodyTextSMPC"/>
              <w:spacing w:after="0"/>
              <w:ind w:left="0"/>
              <w:jc w:val="left"/>
              <w:rPr>
                <w:sz w:val="22"/>
                <w:szCs w:val="22"/>
              </w:rPr>
            </w:pPr>
            <w:r w:rsidRPr="008C17A5">
              <w:rPr>
                <w:sz w:val="22"/>
                <w:szCs w:val="22"/>
              </w:rPr>
              <w:t>Temporary increase in serum concentrations of AST, ALT, gamma GT, bilirubin and / or LDH and alkaline phosphatase, transient hepatitis, transient cholestatic jaundice.</w:t>
            </w:r>
          </w:p>
        </w:tc>
        <w:tc>
          <w:tcPr>
            <w:tcW w:w="860" w:type="pct"/>
            <w:tcBorders>
              <w:top w:val="outset" w:sz="6" w:space="0" w:color="auto"/>
              <w:left w:val="outset" w:sz="6" w:space="0" w:color="auto"/>
              <w:bottom w:val="outset" w:sz="6" w:space="0" w:color="auto"/>
              <w:right w:val="outset" w:sz="6" w:space="0" w:color="auto"/>
            </w:tcBorders>
            <w:hideMark/>
          </w:tcPr>
          <w:p w14:paraId="4566914E" w14:textId="77777777" w:rsidR="00982CEB" w:rsidRPr="00316A60" w:rsidRDefault="00982CEB" w:rsidP="00982CEB">
            <w:pPr>
              <w:pStyle w:val="BodyTextSMPC"/>
              <w:spacing w:after="0"/>
              <w:ind w:left="0"/>
              <w:jc w:val="left"/>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0AE146FD" w14:textId="58FDDBFF" w:rsidR="00982CEB" w:rsidRPr="00316A60" w:rsidRDefault="00982CEB" w:rsidP="00982CEB">
            <w:pPr>
              <w:pStyle w:val="BodyTextSMPC"/>
              <w:spacing w:after="0"/>
              <w:ind w:left="0"/>
              <w:jc w:val="left"/>
              <w:rPr>
                <w:sz w:val="22"/>
                <w:szCs w:val="22"/>
              </w:rPr>
            </w:pPr>
          </w:p>
        </w:tc>
      </w:tr>
      <w:tr w:rsidR="00982CEB" w:rsidRPr="00316A60" w14:paraId="0AB185F7" w14:textId="77777777" w:rsidTr="00982CEB">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16015F23" w14:textId="77777777" w:rsidR="00982CEB" w:rsidRPr="00982CEB" w:rsidRDefault="00982CEB" w:rsidP="00982CEB">
            <w:pPr>
              <w:pStyle w:val="BodyTextSMPC"/>
              <w:spacing w:after="0"/>
              <w:ind w:left="0"/>
              <w:jc w:val="left"/>
              <w:rPr>
                <w:sz w:val="22"/>
                <w:szCs w:val="22"/>
              </w:rPr>
            </w:pPr>
            <w:r w:rsidRPr="00982CEB">
              <w:rPr>
                <w:b/>
                <w:bCs/>
                <w:sz w:val="22"/>
                <w:szCs w:val="22"/>
              </w:rPr>
              <w:t>Renal and urinary disorders</w:t>
            </w:r>
          </w:p>
        </w:tc>
        <w:tc>
          <w:tcPr>
            <w:tcW w:w="859" w:type="pct"/>
            <w:tcBorders>
              <w:top w:val="outset" w:sz="6" w:space="0" w:color="auto"/>
              <w:left w:val="outset" w:sz="6" w:space="0" w:color="auto"/>
              <w:bottom w:val="outset" w:sz="6" w:space="0" w:color="auto"/>
              <w:right w:val="outset" w:sz="6" w:space="0" w:color="auto"/>
            </w:tcBorders>
            <w:hideMark/>
          </w:tcPr>
          <w:p w14:paraId="4DAB9243" w14:textId="77777777" w:rsidR="00982CEB" w:rsidRPr="00316A60" w:rsidRDefault="00982CEB" w:rsidP="00982CEB">
            <w:pPr>
              <w:pStyle w:val="BodyTextSMPC"/>
              <w:spacing w:after="0"/>
              <w:ind w:left="0"/>
              <w:jc w:val="left"/>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4A16F84B" w14:textId="77777777" w:rsidR="00982CEB" w:rsidRPr="00316A60" w:rsidRDefault="00982CEB" w:rsidP="00982CEB">
            <w:pPr>
              <w:pStyle w:val="BodyTextSMPC"/>
              <w:spacing w:after="0"/>
              <w:ind w:left="0"/>
              <w:jc w:val="left"/>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31215C3B" w14:textId="3AC0E356" w:rsidR="00982CEB" w:rsidRPr="00316A60" w:rsidRDefault="00E21167" w:rsidP="00982CEB">
            <w:pPr>
              <w:pStyle w:val="BodyTextSMPC"/>
              <w:spacing w:after="0"/>
              <w:ind w:left="0"/>
              <w:jc w:val="left"/>
              <w:rPr>
                <w:sz w:val="22"/>
                <w:szCs w:val="22"/>
              </w:rPr>
            </w:pPr>
            <w:r>
              <w:rPr>
                <w:sz w:val="22"/>
                <w:szCs w:val="22"/>
              </w:rPr>
              <w:t>N</w:t>
            </w:r>
            <w:r w:rsidRPr="00E21167">
              <w:rPr>
                <w:sz w:val="22"/>
                <w:szCs w:val="22"/>
              </w:rPr>
              <w:t>ephrotoxicity , interstitial nephritis, undefined nephropathy, proteinuria, temporary increase in blood urea nitrogen (BUN) usually in patients treated concomitantly with other potential nephrotoxic medicines.</w:t>
            </w:r>
          </w:p>
        </w:tc>
        <w:tc>
          <w:tcPr>
            <w:tcW w:w="860" w:type="pct"/>
            <w:tcBorders>
              <w:top w:val="outset" w:sz="6" w:space="0" w:color="auto"/>
              <w:left w:val="outset" w:sz="6" w:space="0" w:color="auto"/>
              <w:bottom w:val="outset" w:sz="6" w:space="0" w:color="auto"/>
              <w:right w:val="outset" w:sz="6" w:space="0" w:color="auto"/>
            </w:tcBorders>
            <w:hideMark/>
          </w:tcPr>
          <w:p w14:paraId="67DC1DDF" w14:textId="77777777" w:rsidR="00982CEB" w:rsidRPr="00316A60" w:rsidRDefault="00982CEB" w:rsidP="00982CEB">
            <w:pPr>
              <w:pStyle w:val="BodyTextSMPC"/>
              <w:spacing w:after="0"/>
              <w:ind w:left="0"/>
              <w:jc w:val="left"/>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0272D712" w14:textId="77777777" w:rsidR="00982CEB" w:rsidRPr="00316A60" w:rsidRDefault="00982CEB" w:rsidP="00982CEB">
            <w:pPr>
              <w:pStyle w:val="BodyTextSMPC"/>
              <w:spacing w:after="0"/>
              <w:ind w:left="0"/>
              <w:jc w:val="left"/>
              <w:rPr>
                <w:sz w:val="22"/>
                <w:szCs w:val="22"/>
              </w:rPr>
            </w:pPr>
          </w:p>
        </w:tc>
      </w:tr>
      <w:tr w:rsidR="00982CEB" w:rsidRPr="00316A60" w14:paraId="0873B6F7" w14:textId="77777777" w:rsidTr="00E21167">
        <w:trPr>
          <w:tblCellSpacing w:w="0" w:type="dxa"/>
        </w:trPr>
        <w:tc>
          <w:tcPr>
            <w:tcW w:w="860" w:type="pct"/>
            <w:tcBorders>
              <w:top w:val="outset" w:sz="6" w:space="0" w:color="auto"/>
              <w:left w:val="outset" w:sz="6" w:space="0" w:color="auto"/>
              <w:bottom w:val="outset" w:sz="6" w:space="0" w:color="auto"/>
              <w:right w:val="outset" w:sz="6" w:space="0" w:color="auto"/>
            </w:tcBorders>
            <w:hideMark/>
          </w:tcPr>
          <w:p w14:paraId="576CFF97" w14:textId="77777777" w:rsidR="00982CEB" w:rsidRPr="00982CEB" w:rsidRDefault="00982CEB" w:rsidP="00982CEB">
            <w:pPr>
              <w:pStyle w:val="BodyTextSMPC"/>
              <w:spacing w:after="0"/>
              <w:ind w:left="0"/>
              <w:jc w:val="left"/>
              <w:rPr>
                <w:sz w:val="22"/>
                <w:szCs w:val="22"/>
              </w:rPr>
            </w:pPr>
            <w:r w:rsidRPr="00982CEB">
              <w:rPr>
                <w:b/>
                <w:bCs/>
                <w:sz w:val="22"/>
                <w:szCs w:val="22"/>
              </w:rPr>
              <w:t>General disorders and administration site conditions</w:t>
            </w:r>
          </w:p>
        </w:tc>
        <w:tc>
          <w:tcPr>
            <w:tcW w:w="859" w:type="pct"/>
            <w:tcBorders>
              <w:top w:val="outset" w:sz="6" w:space="0" w:color="auto"/>
              <w:left w:val="outset" w:sz="6" w:space="0" w:color="auto"/>
              <w:bottom w:val="outset" w:sz="6" w:space="0" w:color="auto"/>
              <w:right w:val="outset" w:sz="6" w:space="0" w:color="auto"/>
            </w:tcBorders>
            <w:hideMark/>
          </w:tcPr>
          <w:p w14:paraId="0B9630CC" w14:textId="7F0A4103" w:rsidR="00982CEB" w:rsidRPr="00316A60" w:rsidRDefault="00E21167" w:rsidP="00982CEB">
            <w:pPr>
              <w:pStyle w:val="BodyTextSMPC"/>
              <w:spacing w:after="0"/>
              <w:ind w:left="0"/>
              <w:jc w:val="left"/>
              <w:rPr>
                <w:sz w:val="22"/>
                <w:szCs w:val="22"/>
              </w:rPr>
            </w:pPr>
            <w:r>
              <w:rPr>
                <w:sz w:val="22"/>
                <w:szCs w:val="22"/>
              </w:rPr>
              <w:t>P</w:t>
            </w:r>
            <w:r w:rsidRPr="00E21167">
              <w:rPr>
                <w:sz w:val="22"/>
                <w:szCs w:val="22"/>
              </w:rPr>
              <w:t>ain at the site of intramuscular injection, sometimes with induration</w:t>
            </w:r>
          </w:p>
        </w:tc>
        <w:tc>
          <w:tcPr>
            <w:tcW w:w="782" w:type="pct"/>
            <w:tcBorders>
              <w:top w:val="outset" w:sz="6" w:space="0" w:color="auto"/>
              <w:left w:val="outset" w:sz="6" w:space="0" w:color="auto"/>
              <w:bottom w:val="outset" w:sz="6" w:space="0" w:color="auto"/>
              <w:right w:val="outset" w:sz="6" w:space="0" w:color="auto"/>
            </w:tcBorders>
            <w:hideMark/>
          </w:tcPr>
          <w:p w14:paraId="1BDAAA59" w14:textId="67C517DD" w:rsidR="00982CEB" w:rsidRPr="00316A60" w:rsidRDefault="00E21167" w:rsidP="00982CEB">
            <w:pPr>
              <w:pStyle w:val="BodyTextSMPC"/>
              <w:spacing w:after="0"/>
              <w:ind w:left="0"/>
              <w:jc w:val="left"/>
              <w:rPr>
                <w:sz w:val="22"/>
                <w:szCs w:val="22"/>
              </w:rPr>
            </w:pPr>
            <w:r w:rsidRPr="00E21167">
              <w:rPr>
                <w:sz w:val="22"/>
                <w:szCs w:val="22"/>
              </w:rPr>
              <w:t xml:space="preserve">Intravenous </w:t>
            </w:r>
            <w:proofErr w:type="spellStart"/>
            <w:r w:rsidRPr="00E21167">
              <w:rPr>
                <w:sz w:val="22"/>
                <w:szCs w:val="22"/>
              </w:rPr>
              <w:t>administratio</w:t>
            </w:r>
            <w:proofErr w:type="spellEnd"/>
            <w:r w:rsidRPr="00E21167">
              <w:rPr>
                <w:sz w:val="22"/>
                <w:szCs w:val="22"/>
              </w:rPr>
              <w:t xml:space="preserve"> n may cause thrombophlebitis</w:t>
            </w:r>
          </w:p>
        </w:tc>
        <w:tc>
          <w:tcPr>
            <w:tcW w:w="780" w:type="pct"/>
            <w:tcBorders>
              <w:top w:val="outset" w:sz="6" w:space="0" w:color="auto"/>
              <w:left w:val="outset" w:sz="6" w:space="0" w:color="auto"/>
              <w:bottom w:val="outset" w:sz="6" w:space="0" w:color="auto"/>
              <w:right w:val="outset" w:sz="6" w:space="0" w:color="auto"/>
            </w:tcBorders>
          </w:tcPr>
          <w:p w14:paraId="2EC5E090" w14:textId="06DD8D14" w:rsidR="00982CEB" w:rsidRPr="00316A60" w:rsidRDefault="00982CEB" w:rsidP="00982CEB">
            <w:pPr>
              <w:pStyle w:val="BodyTextSMPC"/>
              <w:spacing w:after="0"/>
              <w:ind w:left="0"/>
              <w:jc w:val="left"/>
              <w:rPr>
                <w:sz w:val="22"/>
                <w:szCs w:val="22"/>
              </w:rPr>
            </w:pPr>
          </w:p>
        </w:tc>
        <w:tc>
          <w:tcPr>
            <w:tcW w:w="860" w:type="pct"/>
            <w:tcBorders>
              <w:top w:val="outset" w:sz="6" w:space="0" w:color="auto"/>
              <w:left w:val="outset" w:sz="6" w:space="0" w:color="auto"/>
              <w:bottom w:val="outset" w:sz="6" w:space="0" w:color="auto"/>
              <w:right w:val="outset" w:sz="6" w:space="0" w:color="auto"/>
            </w:tcBorders>
            <w:hideMark/>
          </w:tcPr>
          <w:p w14:paraId="7844D20B" w14:textId="77777777" w:rsidR="00982CEB" w:rsidRPr="00316A60" w:rsidRDefault="00982CEB" w:rsidP="00982CEB">
            <w:pPr>
              <w:pStyle w:val="BodyTextSMPC"/>
              <w:spacing w:after="0"/>
              <w:ind w:left="0"/>
              <w:jc w:val="left"/>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033AF91E" w14:textId="14908225" w:rsidR="00982CEB" w:rsidRPr="00316A60" w:rsidRDefault="00E21167" w:rsidP="00982CEB">
            <w:pPr>
              <w:pStyle w:val="BodyTextSMPC"/>
              <w:spacing w:after="0"/>
              <w:ind w:left="0"/>
              <w:jc w:val="left"/>
              <w:rPr>
                <w:sz w:val="22"/>
                <w:szCs w:val="22"/>
              </w:rPr>
            </w:pPr>
            <w:r>
              <w:rPr>
                <w:sz w:val="22"/>
                <w:szCs w:val="22"/>
              </w:rPr>
              <w:t>F</w:t>
            </w:r>
            <w:r w:rsidRPr="00E21167">
              <w:rPr>
                <w:sz w:val="22"/>
                <w:szCs w:val="22"/>
              </w:rPr>
              <w:t>or IM formulation s (since the solvent contains lidocaine): Systemic reactions to lidocaine</w:t>
            </w:r>
          </w:p>
        </w:tc>
      </w:tr>
    </w:tbl>
    <w:p w14:paraId="6D003B03" w14:textId="40865229"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w:t>
      </w:r>
      <w:r w:rsidRPr="00E01FDA">
        <w:lastRenderedPageBreak/>
        <w:t>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6CC84916" w14:textId="15BF215E" w:rsidR="00111833" w:rsidRDefault="00111833" w:rsidP="00111833">
      <w:pPr>
        <w:pStyle w:val="BodyTextSMPC"/>
      </w:pPr>
      <w:r>
        <w:t xml:space="preserve">Symptoms of an overdose are headache, vertigo, </w:t>
      </w:r>
      <w:proofErr w:type="spellStart"/>
      <w:r>
        <w:t>paraesthesia</w:t>
      </w:r>
      <w:proofErr w:type="spellEnd"/>
      <w:r>
        <w:t xml:space="preserve">, central nervous system disorders such as agitation, myoclonia and convulsions. </w:t>
      </w:r>
    </w:p>
    <w:p w14:paraId="779748E9" w14:textId="68316E96" w:rsidR="00227FD4" w:rsidRPr="001A39AF" w:rsidRDefault="00111833" w:rsidP="00111833">
      <w:pPr>
        <w:pStyle w:val="BodyTextSMPC"/>
      </w:pPr>
      <w:r>
        <w:t xml:space="preserve">In case of poisoning, elimination accelerating measures are indicated. A specific antidote does not exist. Cefazolin can be </w:t>
      </w:r>
      <w:proofErr w:type="spellStart"/>
      <w:r>
        <w:t>haemodialysed</w:t>
      </w:r>
      <w:proofErr w:type="spellEnd"/>
      <w:r>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AE9FCFE" w14:textId="3C28C38B" w:rsidR="00111833" w:rsidRDefault="00111833" w:rsidP="00111833">
      <w:pPr>
        <w:pStyle w:val="BodyTextSMPC"/>
      </w:pPr>
      <w:r>
        <w:t xml:space="preserve">Pharmacotherapeutic group: Other beta-lactam antibacterials, first generation cephalosporins. </w:t>
      </w:r>
    </w:p>
    <w:p w14:paraId="2D9B858D" w14:textId="77777777" w:rsidR="00111833" w:rsidRDefault="00111833" w:rsidP="00111833">
      <w:pPr>
        <w:pStyle w:val="BodyTextSMPC"/>
      </w:pPr>
      <w:r>
        <w:t xml:space="preserve">ATC code: J01DB04 </w:t>
      </w:r>
    </w:p>
    <w:p w14:paraId="5866C7FD" w14:textId="02E28AE2" w:rsidR="00111833" w:rsidRDefault="00111833" w:rsidP="00111833">
      <w:pPr>
        <w:pStyle w:val="BodyTextSMPC"/>
      </w:pPr>
      <w:r>
        <w:t xml:space="preserve">Cefazolin is a bactericidal cephalosporin antibiotic of the first generation for parenteral administration. </w:t>
      </w:r>
    </w:p>
    <w:p w14:paraId="1292233F" w14:textId="3EB64C4A" w:rsidR="006224A3" w:rsidRDefault="00111833" w:rsidP="00111833">
      <w:pPr>
        <w:pStyle w:val="BodyTextSMPC"/>
      </w:pPr>
      <w:r>
        <w:t>Cephalosporins inhibit cell wall synthesis (in the growth stage) through blocking the penicillin-binding proteins (PBPs) like transpeptidases. The outcome is a bactericidal action.</w:t>
      </w:r>
    </w:p>
    <w:p w14:paraId="5359D634" w14:textId="4A913BE4" w:rsidR="006224A3" w:rsidRPr="006224A3" w:rsidRDefault="006224A3" w:rsidP="006224A3">
      <w:pPr>
        <w:pStyle w:val="BodyTextSMPC"/>
        <w:rPr>
          <w:b/>
          <w:bCs/>
        </w:rPr>
      </w:pPr>
      <w:r w:rsidRPr="006224A3">
        <w:rPr>
          <w:b/>
          <w:bCs/>
        </w:rPr>
        <w:t>Pharmacokinetic/pharmacodynamic relationship</w:t>
      </w:r>
    </w:p>
    <w:p w14:paraId="7192C593" w14:textId="26BDF2E8" w:rsidR="006224A3" w:rsidRDefault="00111833" w:rsidP="00111833">
      <w:pPr>
        <w:pStyle w:val="BodyTextSMPC"/>
      </w:pPr>
      <w:r>
        <w:t>For cephalosporins, the most important pharmacokinetic-pharmacodynamic index correlating with in vivo efficacy has been shown to be the percentage of the dosing interval that the unbound concentration remains above the minimum inhibitory concentration (MIC) of cefazolin for individual target species (i.e. %T&gt;MIC)</w:t>
      </w:r>
      <w:r w:rsidR="006224A3">
        <w:t>.</w:t>
      </w:r>
    </w:p>
    <w:p w14:paraId="2C926443" w14:textId="41EA3BF4" w:rsidR="006224A3" w:rsidRPr="006224A3" w:rsidRDefault="006224A3" w:rsidP="006224A3">
      <w:pPr>
        <w:pStyle w:val="BodyTextSMPC"/>
        <w:rPr>
          <w:b/>
          <w:bCs/>
        </w:rPr>
      </w:pPr>
      <w:r w:rsidRPr="006224A3">
        <w:rPr>
          <w:b/>
          <w:bCs/>
        </w:rPr>
        <w:t>Resistance mechanisms</w:t>
      </w:r>
    </w:p>
    <w:p w14:paraId="1C8D0950" w14:textId="77777777" w:rsidR="00111833" w:rsidRDefault="00111833" w:rsidP="00111833">
      <w:pPr>
        <w:pStyle w:val="BodyTextSMPC"/>
      </w:pPr>
      <w:r>
        <w:t xml:space="preserve">Resistance to cefazolin can rest upon one of the following mechanisms: </w:t>
      </w:r>
    </w:p>
    <w:p w14:paraId="31B0CC0E" w14:textId="44F6870A" w:rsidR="00111833" w:rsidRDefault="00111833" w:rsidP="00111833">
      <w:pPr>
        <w:pStyle w:val="BodyTextSMPC"/>
      </w:pPr>
      <w:r>
        <w:t xml:space="preserve">− Inactivation by beta-lactamases: cefazolin has a high stability against penicillinases of gram-positive bacteria, but only a low stability against plasmid-coded beta-lactamases, e.g. extended-spectrum beta-lactamases or chromosomal-coded beta-lactamases of </w:t>
      </w:r>
      <w:proofErr w:type="spellStart"/>
      <w:r>
        <w:t>AmpC</w:t>
      </w:r>
      <w:proofErr w:type="spellEnd"/>
      <w:r>
        <w:t xml:space="preserve">-type. </w:t>
      </w:r>
    </w:p>
    <w:p w14:paraId="09A68673" w14:textId="23C59F55" w:rsidR="00111833" w:rsidRDefault="00111833" w:rsidP="00111833">
      <w:pPr>
        <w:pStyle w:val="BodyTextSMPC"/>
      </w:pPr>
      <w:r>
        <w:lastRenderedPageBreak/>
        <w:t xml:space="preserve">− Reduced affinity of the PBPs to cefazolin: the acquired resistance of pneumococci and other streptococci is caused by modifications of the PBPs due to mutations. The resistance of methicillin (oxacillin)-resistant Staphylococci is due to the formation of an additional PBP with a lower affinity to cefazolin. </w:t>
      </w:r>
    </w:p>
    <w:p w14:paraId="54808D98" w14:textId="599E838C" w:rsidR="00111833" w:rsidRDefault="00111833" w:rsidP="00111833">
      <w:pPr>
        <w:pStyle w:val="BodyTextSMPC"/>
      </w:pPr>
      <w:r>
        <w:t>− Insufficient penetration of cefazolin through the outer cell wall of gram</w:t>
      </w:r>
      <w:r>
        <w:t>-</w:t>
      </w:r>
      <w:r>
        <w:t xml:space="preserve">negative bacteria can lead to an insufficient inhibition of the PBPs. </w:t>
      </w:r>
    </w:p>
    <w:p w14:paraId="62C4D350" w14:textId="77777777" w:rsidR="00111833" w:rsidRDefault="00111833" w:rsidP="00111833">
      <w:pPr>
        <w:pStyle w:val="BodyTextSMPC"/>
      </w:pPr>
      <w:r>
        <w:t xml:space="preserve">− Cefazolin can be transported outside the cell through efflux pumps. </w:t>
      </w:r>
    </w:p>
    <w:p w14:paraId="539AA6E2" w14:textId="312967F4" w:rsidR="00111833" w:rsidRDefault="00111833" w:rsidP="00111833">
      <w:pPr>
        <w:pStyle w:val="BodyTextSMPC"/>
      </w:pPr>
      <w:r>
        <w:t xml:space="preserve">There is a partial or total cross-resistance of cefazolin with other cephalosporins and </w:t>
      </w:r>
      <w:proofErr w:type="spellStart"/>
      <w:r>
        <w:t>penicillins</w:t>
      </w:r>
      <w:proofErr w:type="spellEnd"/>
      <w:r>
        <w:t>.</w:t>
      </w:r>
    </w:p>
    <w:p w14:paraId="0720B1BD" w14:textId="2CDDF7E2" w:rsidR="006224A3" w:rsidRPr="006224A3" w:rsidRDefault="006224A3" w:rsidP="006224A3">
      <w:pPr>
        <w:pStyle w:val="BodyTextSMPC"/>
        <w:rPr>
          <w:b/>
          <w:bCs/>
        </w:rPr>
      </w:pPr>
      <w:r w:rsidRPr="006224A3">
        <w:rPr>
          <w:b/>
          <w:bCs/>
        </w:rPr>
        <w:t>Breakpoints</w:t>
      </w:r>
    </w:p>
    <w:p w14:paraId="4E0A1CCE" w14:textId="5D9743E4" w:rsidR="006224A3" w:rsidRDefault="00111833" w:rsidP="00111833">
      <w:pPr>
        <w:pStyle w:val="BodyTextSMPC"/>
      </w:pPr>
      <w:r>
        <w:t>The following breakpoints have been established by the European Committee for Antimicrobial Susceptibility Testing (EUCAST) Clinical MIC Breakpoints (Version 8.1, valid from 2018-05-15).</w:t>
      </w:r>
    </w:p>
    <w:tbl>
      <w:tblPr>
        <w:tblW w:w="8080" w:type="dxa"/>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79"/>
        <w:gridCol w:w="2549"/>
        <w:gridCol w:w="2552"/>
      </w:tblGrid>
      <w:tr w:rsidR="007A70CC" w:rsidRPr="007A70CC" w14:paraId="0BC0E12B" w14:textId="77777777" w:rsidTr="003467EF">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hideMark/>
          </w:tcPr>
          <w:p w14:paraId="1D978530" w14:textId="77777777" w:rsidR="007A70CC" w:rsidRPr="007A70CC" w:rsidRDefault="007A70CC" w:rsidP="007A70CC">
            <w:pPr>
              <w:pStyle w:val="BodyTextSMPC"/>
              <w:spacing w:after="0"/>
              <w:ind w:left="0"/>
              <w:jc w:val="left"/>
            </w:pPr>
            <w:r w:rsidRPr="007A70CC">
              <w:rPr>
                <w:b/>
                <w:bCs/>
              </w:rPr>
              <w:t>PATHOGEN</w:t>
            </w:r>
          </w:p>
        </w:tc>
        <w:tc>
          <w:tcPr>
            <w:tcW w:w="1577" w:type="pct"/>
            <w:tcBorders>
              <w:top w:val="outset" w:sz="6" w:space="0" w:color="auto"/>
              <w:left w:val="outset" w:sz="6" w:space="0" w:color="auto"/>
              <w:bottom w:val="outset" w:sz="6" w:space="0" w:color="auto"/>
              <w:right w:val="outset" w:sz="6" w:space="0" w:color="auto"/>
            </w:tcBorders>
            <w:shd w:val="clear" w:color="auto" w:fill="FFFFFF"/>
            <w:hideMark/>
          </w:tcPr>
          <w:p w14:paraId="58DD571B" w14:textId="34AAF3B9" w:rsidR="007A70CC" w:rsidRPr="007A70CC" w:rsidRDefault="007A70CC" w:rsidP="007A70CC">
            <w:pPr>
              <w:pStyle w:val="BodyTextSMPC"/>
              <w:spacing w:after="0"/>
              <w:ind w:left="0"/>
            </w:pPr>
            <w:r w:rsidRPr="007A70CC">
              <w:rPr>
                <w:b/>
                <w:bCs/>
              </w:rPr>
              <w:t>SUSCEPTIBLE</w:t>
            </w:r>
            <w:r w:rsidR="003467EF">
              <w:t xml:space="preserve"> </w:t>
            </w:r>
            <w:r w:rsidR="003467EF" w:rsidRPr="003467EF">
              <w:t xml:space="preserve"> (≤)</w:t>
            </w:r>
          </w:p>
        </w:tc>
        <w:tc>
          <w:tcPr>
            <w:tcW w:w="1579" w:type="pct"/>
            <w:tcBorders>
              <w:top w:val="outset" w:sz="6" w:space="0" w:color="auto"/>
              <w:left w:val="outset" w:sz="6" w:space="0" w:color="auto"/>
              <w:bottom w:val="outset" w:sz="6" w:space="0" w:color="auto"/>
              <w:right w:val="outset" w:sz="6" w:space="0" w:color="auto"/>
            </w:tcBorders>
            <w:shd w:val="clear" w:color="auto" w:fill="FFFFFF"/>
            <w:hideMark/>
          </w:tcPr>
          <w:p w14:paraId="3E638A64" w14:textId="5929FFE3" w:rsidR="007A70CC" w:rsidRPr="007A70CC" w:rsidRDefault="007A70CC" w:rsidP="007A70CC">
            <w:pPr>
              <w:pStyle w:val="BodyTextSMPC"/>
              <w:spacing w:after="0"/>
              <w:ind w:left="0"/>
            </w:pPr>
            <w:r w:rsidRPr="007A70CC">
              <w:rPr>
                <w:b/>
                <w:bCs/>
              </w:rPr>
              <w:t>RESISTANT</w:t>
            </w:r>
            <w:r w:rsidR="003467EF" w:rsidRPr="003467EF">
              <w:t xml:space="preserve"> (&gt;)</w:t>
            </w:r>
          </w:p>
        </w:tc>
      </w:tr>
      <w:tr w:rsidR="003467EF" w:rsidRPr="007A70CC" w14:paraId="0CB5FBFD" w14:textId="77777777" w:rsidTr="007417B9">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8AE300" w14:textId="4E9B4396" w:rsidR="003467EF" w:rsidRPr="007A70CC" w:rsidRDefault="003467EF" w:rsidP="003467EF">
            <w:pPr>
              <w:pStyle w:val="BodyTextSMPC"/>
              <w:spacing w:after="0"/>
              <w:ind w:left="0"/>
              <w:jc w:val="left"/>
            </w:pPr>
            <w:r w:rsidRPr="003467EF">
              <w:rPr>
                <w:b/>
                <w:bCs/>
              </w:rPr>
              <w:t>Staphylococcus spp.</w:t>
            </w:r>
          </w:p>
        </w:tc>
        <w:tc>
          <w:tcPr>
            <w:tcW w:w="1577" w:type="pct"/>
            <w:tcBorders>
              <w:top w:val="outset" w:sz="6" w:space="0" w:color="auto"/>
              <w:left w:val="outset" w:sz="6" w:space="0" w:color="auto"/>
              <w:bottom w:val="outset" w:sz="6" w:space="0" w:color="auto"/>
              <w:right w:val="outset" w:sz="6" w:space="0" w:color="auto"/>
            </w:tcBorders>
            <w:shd w:val="clear" w:color="auto" w:fill="FFFFFF"/>
            <w:hideMark/>
          </w:tcPr>
          <w:p w14:paraId="48332934" w14:textId="66DBB042" w:rsidR="003467EF" w:rsidRPr="007A70CC" w:rsidRDefault="003467EF" w:rsidP="003467EF">
            <w:pPr>
              <w:pStyle w:val="BodyTextSMPC"/>
              <w:spacing w:after="0"/>
              <w:ind w:left="0"/>
            </w:pPr>
            <w:r w:rsidRPr="0021579C">
              <w:t xml:space="preserve">Note </w:t>
            </w:r>
            <w:r w:rsidRPr="003467EF">
              <w:rPr>
                <w:vertAlign w:val="superscript"/>
              </w:rPr>
              <w:t xml:space="preserve">A </w:t>
            </w:r>
          </w:p>
        </w:tc>
        <w:tc>
          <w:tcPr>
            <w:tcW w:w="1579" w:type="pct"/>
            <w:tcBorders>
              <w:top w:val="outset" w:sz="6" w:space="0" w:color="auto"/>
              <w:left w:val="outset" w:sz="6" w:space="0" w:color="auto"/>
              <w:bottom w:val="outset" w:sz="6" w:space="0" w:color="auto"/>
              <w:right w:val="outset" w:sz="6" w:space="0" w:color="auto"/>
            </w:tcBorders>
            <w:shd w:val="clear" w:color="auto" w:fill="FFFFFF"/>
            <w:hideMark/>
          </w:tcPr>
          <w:p w14:paraId="6DC07E30" w14:textId="1505D2D5" w:rsidR="003467EF" w:rsidRPr="007A70CC" w:rsidRDefault="003467EF" w:rsidP="003467EF">
            <w:pPr>
              <w:pStyle w:val="BodyTextSMPC"/>
              <w:spacing w:after="0"/>
              <w:ind w:left="0"/>
            </w:pPr>
            <w:r w:rsidRPr="0021579C">
              <w:t xml:space="preserve">Note </w:t>
            </w:r>
            <w:r w:rsidRPr="003467EF">
              <w:rPr>
                <w:vertAlign w:val="superscript"/>
              </w:rPr>
              <w:t>A</w:t>
            </w:r>
            <w:r w:rsidRPr="0021579C">
              <w:t xml:space="preserve"> </w:t>
            </w:r>
          </w:p>
        </w:tc>
      </w:tr>
      <w:tr w:rsidR="003467EF" w:rsidRPr="007A70CC" w14:paraId="26F2A7C7" w14:textId="77777777" w:rsidTr="00F72022">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90D8D3" w14:textId="77777777" w:rsidR="003467EF" w:rsidRPr="007A70CC" w:rsidRDefault="003467EF" w:rsidP="003467EF">
            <w:pPr>
              <w:pStyle w:val="BodyTextSMPC"/>
              <w:spacing w:after="0"/>
              <w:ind w:left="0"/>
              <w:jc w:val="left"/>
            </w:pPr>
            <w:r w:rsidRPr="007A70CC">
              <w:rPr>
                <w:b/>
                <w:bCs/>
              </w:rPr>
              <w:t>Streptococcus</w:t>
            </w:r>
            <w:r w:rsidRPr="007A70CC">
              <w:rPr>
                <w:b/>
                <w:bCs/>
                <w:i/>
                <w:iCs/>
              </w:rPr>
              <w:t> spp.</w:t>
            </w:r>
          </w:p>
          <w:p w14:paraId="1BDAEE2C" w14:textId="77777777" w:rsidR="003467EF" w:rsidRPr="007A70CC" w:rsidRDefault="003467EF" w:rsidP="003467EF">
            <w:pPr>
              <w:pStyle w:val="BodyTextSMPC"/>
              <w:spacing w:after="0"/>
              <w:ind w:left="0"/>
              <w:jc w:val="left"/>
            </w:pPr>
            <w:r w:rsidRPr="007A70CC">
              <w:rPr>
                <w:b/>
                <w:bCs/>
                <w:i/>
                <w:iCs/>
              </w:rPr>
              <w:t>(Groups A, B, C, G)</w:t>
            </w:r>
          </w:p>
        </w:tc>
        <w:tc>
          <w:tcPr>
            <w:tcW w:w="1577" w:type="pct"/>
            <w:tcBorders>
              <w:top w:val="outset" w:sz="6" w:space="0" w:color="auto"/>
              <w:left w:val="outset" w:sz="6" w:space="0" w:color="auto"/>
              <w:bottom w:val="outset" w:sz="6" w:space="0" w:color="auto"/>
              <w:right w:val="outset" w:sz="6" w:space="0" w:color="auto"/>
            </w:tcBorders>
            <w:shd w:val="clear" w:color="auto" w:fill="FFFFFF"/>
            <w:hideMark/>
          </w:tcPr>
          <w:p w14:paraId="38EFC775" w14:textId="0ACAFDC9" w:rsidR="003467EF" w:rsidRPr="007A70CC" w:rsidRDefault="003467EF" w:rsidP="003467EF">
            <w:pPr>
              <w:pStyle w:val="BodyTextSMPC"/>
              <w:spacing w:after="0"/>
              <w:ind w:left="0"/>
            </w:pPr>
            <w:r w:rsidRPr="0021579C">
              <w:t xml:space="preserve">Note </w:t>
            </w:r>
            <w:r w:rsidRPr="003467EF">
              <w:rPr>
                <w:vertAlign w:val="superscript"/>
              </w:rPr>
              <w:t>B</w:t>
            </w:r>
          </w:p>
        </w:tc>
        <w:tc>
          <w:tcPr>
            <w:tcW w:w="1579" w:type="pct"/>
            <w:tcBorders>
              <w:top w:val="outset" w:sz="6" w:space="0" w:color="auto"/>
              <w:left w:val="outset" w:sz="6" w:space="0" w:color="auto"/>
              <w:bottom w:val="outset" w:sz="6" w:space="0" w:color="auto"/>
              <w:right w:val="outset" w:sz="6" w:space="0" w:color="auto"/>
            </w:tcBorders>
            <w:shd w:val="clear" w:color="auto" w:fill="FFFFFF"/>
            <w:hideMark/>
          </w:tcPr>
          <w:p w14:paraId="61C39331" w14:textId="37A3C7B8" w:rsidR="003467EF" w:rsidRPr="007A70CC" w:rsidRDefault="003467EF" w:rsidP="003467EF">
            <w:pPr>
              <w:pStyle w:val="BodyTextSMPC"/>
              <w:spacing w:after="0"/>
              <w:ind w:left="0"/>
            </w:pPr>
            <w:r w:rsidRPr="0021579C">
              <w:t xml:space="preserve">Note </w:t>
            </w:r>
            <w:r w:rsidRPr="003467EF">
              <w:rPr>
                <w:vertAlign w:val="superscript"/>
              </w:rPr>
              <w:t>B</w:t>
            </w:r>
          </w:p>
        </w:tc>
      </w:tr>
      <w:tr w:rsidR="007A70CC" w:rsidRPr="007A70CC" w14:paraId="18347FF0" w14:textId="77777777" w:rsidTr="003467EF">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EB078E" w14:textId="4548827A" w:rsidR="007A70CC" w:rsidRPr="007A70CC" w:rsidRDefault="003467EF" w:rsidP="007A70CC">
            <w:pPr>
              <w:pStyle w:val="BodyTextSMPC"/>
              <w:spacing w:after="0"/>
              <w:ind w:left="0"/>
              <w:jc w:val="left"/>
            </w:pPr>
            <w:proofErr w:type="spellStart"/>
            <w:r w:rsidRPr="003467EF">
              <w:rPr>
                <w:b/>
                <w:bCs/>
              </w:rPr>
              <w:t>Viridans</w:t>
            </w:r>
            <w:proofErr w:type="spellEnd"/>
            <w:r w:rsidRPr="003467EF">
              <w:rPr>
                <w:b/>
                <w:bCs/>
              </w:rPr>
              <w:t xml:space="preserve"> group streptococci</w:t>
            </w:r>
          </w:p>
        </w:tc>
        <w:tc>
          <w:tcPr>
            <w:tcW w:w="157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8D9FC3" w14:textId="1D60541E" w:rsidR="007A70CC" w:rsidRPr="007A70CC" w:rsidRDefault="003467EF" w:rsidP="007A70CC">
            <w:pPr>
              <w:pStyle w:val="BodyTextSMPC"/>
              <w:spacing w:after="0"/>
              <w:ind w:left="0"/>
            </w:pPr>
            <w:r w:rsidRPr="003467EF">
              <w:t>0.5 mg / L</w:t>
            </w:r>
          </w:p>
        </w:tc>
        <w:tc>
          <w:tcPr>
            <w:tcW w:w="15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36D921" w14:textId="59091E77" w:rsidR="007A70CC" w:rsidRPr="007A70CC" w:rsidRDefault="003467EF" w:rsidP="007A70CC">
            <w:pPr>
              <w:pStyle w:val="BodyTextSMPC"/>
              <w:spacing w:after="0"/>
              <w:ind w:left="0"/>
            </w:pPr>
            <w:r w:rsidRPr="003467EF">
              <w:t>0.5 mg / L</w:t>
            </w:r>
          </w:p>
        </w:tc>
      </w:tr>
      <w:tr w:rsidR="007A70CC" w:rsidRPr="007A70CC" w14:paraId="16AF94CA" w14:textId="77777777" w:rsidTr="003467EF">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1CCF76" w14:textId="26BB98D4" w:rsidR="007A70CC" w:rsidRPr="003467EF" w:rsidRDefault="003467EF" w:rsidP="007A70CC">
            <w:pPr>
              <w:pStyle w:val="BodyTextSMPC"/>
              <w:spacing w:after="0"/>
              <w:ind w:left="0"/>
              <w:jc w:val="left"/>
            </w:pPr>
            <w:r w:rsidRPr="003467EF">
              <w:rPr>
                <w:b/>
                <w:bCs/>
              </w:rPr>
              <w:t>PK/PD (Non-species related) breakpoints</w:t>
            </w:r>
          </w:p>
        </w:tc>
        <w:tc>
          <w:tcPr>
            <w:tcW w:w="157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4FC154" w14:textId="537F88DA" w:rsidR="007A70CC" w:rsidRPr="007A70CC" w:rsidRDefault="003467EF" w:rsidP="007A70CC">
            <w:pPr>
              <w:pStyle w:val="BodyTextSMPC"/>
              <w:spacing w:after="0"/>
              <w:ind w:left="0"/>
            </w:pPr>
            <w:r w:rsidRPr="003467EF">
              <w:t>1 mg / L</w:t>
            </w:r>
          </w:p>
        </w:tc>
        <w:tc>
          <w:tcPr>
            <w:tcW w:w="15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B876BA" w14:textId="4D7EFB65" w:rsidR="007A70CC" w:rsidRPr="007A70CC" w:rsidRDefault="003467EF" w:rsidP="007A70CC">
            <w:pPr>
              <w:pStyle w:val="BodyTextSMPC"/>
              <w:spacing w:after="0"/>
              <w:ind w:left="0"/>
            </w:pPr>
            <w:r>
              <w:t>2</w:t>
            </w:r>
            <w:r w:rsidRPr="003467EF">
              <w:t xml:space="preserve"> mg / L</w:t>
            </w:r>
          </w:p>
        </w:tc>
      </w:tr>
    </w:tbl>
    <w:p w14:paraId="0D0C6E95" w14:textId="4B6746DE" w:rsidR="00351B91" w:rsidRDefault="00351B91" w:rsidP="00351B91">
      <w:pPr>
        <w:pStyle w:val="BodyTextSMPC"/>
        <w:spacing w:before="240"/>
      </w:pPr>
      <w:proofErr w:type="spellStart"/>
      <w:r w:rsidRPr="00351B91">
        <w:rPr>
          <w:vertAlign w:val="superscript"/>
        </w:rPr>
        <w:t>A</w:t>
      </w:r>
      <w:r>
        <w:t>Susceptibility</w:t>
      </w:r>
      <w:proofErr w:type="spellEnd"/>
      <w:r>
        <w:t xml:space="preserve"> of staphylococci to cephalosporins is inferred from the cefoxitin susceptibility except for cefixime, ceftazidime, ceftazidime-avibactam, ceftibuten and </w:t>
      </w:r>
      <w:proofErr w:type="spellStart"/>
      <w:r>
        <w:t>ceftolozane</w:t>
      </w:r>
      <w:proofErr w:type="spellEnd"/>
      <w:r>
        <w:t xml:space="preserve">-tazobactam, which do not have breakpoints and should not be used for staphylococcal infections. Some methicillin-resistant S. aureus </w:t>
      </w:r>
      <w:proofErr w:type="gramStart"/>
      <w:r>
        <w:t>are</w:t>
      </w:r>
      <w:proofErr w:type="gramEnd"/>
      <w:r>
        <w:t xml:space="preserve"> susceptible to </w:t>
      </w:r>
      <w:proofErr w:type="spellStart"/>
      <w:r>
        <w:t>ceftaroline</w:t>
      </w:r>
      <w:proofErr w:type="spellEnd"/>
      <w:r>
        <w:t xml:space="preserve"> and ceftobiprole. </w:t>
      </w:r>
    </w:p>
    <w:p w14:paraId="2F059951" w14:textId="0A0D2523" w:rsidR="00227FD4" w:rsidRDefault="00351B91" w:rsidP="00351B91">
      <w:pPr>
        <w:pStyle w:val="BodyTextSMPC"/>
        <w:spacing w:before="240"/>
      </w:pPr>
      <w:proofErr w:type="spellStart"/>
      <w:r w:rsidRPr="00351B91">
        <w:rPr>
          <w:vertAlign w:val="superscript"/>
        </w:rPr>
        <w:t>B</w:t>
      </w:r>
      <w:r>
        <w:t>The</w:t>
      </w:r>
      <w:proofErr w:type="spellEnd"/>
      <w:r>
        <w:t xml:space="preserve"> susceptibility of streptococcus groups A, B, C and G to cephalosporins is inferred from the benzylpenicillin susceptibility.</w:t>
      </w:r>
    </w:p>
    <w:p w14:paraId="2E05CFB9" w14:textId="77777777" w:rsidR="00351B91" w:rsidRDefault="00351B91" w:rsidP="00351B91">
      <w:pPr>
        <w:pStyle w:val="BodyTextSMPC"/>
        <w:spacing w:before="240"/>
        <w:rPr>
          <w:b/>
          <w:bCs/>
        </w:rPr>
      </w:pPr>
      <w:r w:rsidRPr="00351B91">
        <w:rPr>
          <w:b/>
          <w:bCs/>
        </w:rPr>
        <w:t>Microbiological susceptibility</w:t>
      </w:r>
    </w:p>
    <w:p w14:paraId="6F4FFE2E" w14:textId="57F5BA96" w:rsidR="00351B91" w:rsidRPr="00351B91" w:rsidRDefault="00351B91" w:rsidP="00351B91">
      <w:pPr>
        <w:pStyle w:val="BodyTextSMPC"/>
        <w:spacing w:before="240"/>
        <w:rPr>
          <w:b/>
          <w:bCs/>
        </w:rPr>
      </w:pPr>
      <w:r>
        <w:lastRenderedPageBreak/>
        <w:t xml:space="preserve">The following table shows clinically relevant pathogens classified as sensitive or resistant on the basis of in vitro and in vivo data. Cefazolin is effective against some species in vitro, but not clinically, thus these species are classified here as resistant. </w:t>
      </w:r>
    </w:p>
    <w:p w14:paraId="51641238" w14:textId="3B2F5DF7" w:rsidR="00351B91" w:rsidRDefault="00351B91" w:rsidP="00351B91">
      <w:pPr>
        <w:pStyle w:val="BodyTextSMPC"/>
        <w:spacing w:before="240"/>
      </w:pPr>
      <w:r>
        <w:t>The prevalence of acquired resistance may vary geographically and with time for selected species and local information is desirable, particularly when treating severe infections. If necessary, expert advice should be sought when the local prevalence of resistance is such that the efficacy of cefazolin is questionable. Especially in case of severe infections or failure of therapy, a microbiological diagnosis including identification of the microorganism and its susceptibility to cefazolin should be conducted.</w:t>
      </w:r>
    </w:p>
    <w:p w14:paraId="27F91DD5" w14:textId="77777777" w:rsidR="00417A75" w:rsidRPr="00417A75" w:rsidRDefault="00417A75" w:rsidP="00417A75">
      <w:pPr>
        <w:pStyle w:val="BodyTextSMPC"/>
        <w:spacing w:before="240"/>
        <w:rPr>
          <w:b/>
          <w:bCs/>
        </w:rPr>
      </w:pPr>
      <w:r w:rsidRPr="00417A75">
        <w:rPr>
          <w:b/>
          <w:bCs/>
        </w:rPr>
        <w:t xml:space="preserve">Commonly susceptible species </w:t>
      </w:r>
    </w:p>
    <w:p w14:paraId="1AFA3B0A" w14:textId="77777777" w:rsidR="00417A75" w:rsidRPr="00417A75" w:rsidRDefault="00417A75" w:rsidP="00417A75">
      <w:pPr>
        <w:pStyle w:val="BodyTextSMPC"/>
        <w:spacing w:before="240"/>
        <w:rPr>
          <w:u w:val="single"/>
        </w:rPr>
      </w:pPr>
      <w:r w:rsidRPr="00417A75">
        <w:rPr>
          <w:u w:val="single"/>
        </w:rPr>
        <w:t>Aerobe Gram-positive</w:t>
      </w:r>
    </w:p>
    <w:p w14:paraId="0CB7AD20" w14:textId="77777777" w:rsidR="00417A75" w:rsidRDefault="00417A75" w:rsidP="00417A75">
      <w:pPr>
        <w:pStyle w:val="BodyTextSMPC"/>
        <w:spacing w:before="240"/>
      </w:pPr>
      <w:r>
        <w:t xml:space="preserve">Staphylococcus aureus (methicillin-sensitive) </w:t>
      </w:r>
    </w:p>
    <w:p w14:paraId="7D796AD4" w14:textId="77777777" w:rsidR="00417A75" w:rsidRPr="00417A75" w:rsidRDefault="00417A75" w:rsidP="00417A75">
      <w:pPr>
        <w:pStyle w:val="BodyTextSMPC"/>
        <w:spacing w:before="240"/>
        <w:rPr>
          <w:b/>
          <w:bCs/>
        </w:rPr>
      </w:pPr>
      <w:r w:rsidRPr="00417A75">
        <w:rPr>
          <w:b/>
          <w:bCs/>
        </w:rPr>
        <w:t xml:space="preserve">Species for which acquired resistance may be a problem </w:t>
      </w:r>
    </w:p>
    <w:p w14:paraId="36044EC9" w14:textId="77777777" w:rsidR="00417A75" w:rsidRPr="00417A75" w:rsidRDefault="00417A75" w:rsidP="00417A75">
      <w:pPr>
        <w:pStyle w:val="BodyTextSMPC"/>
        <w:spacing w:before="240"/>
        <w:rPr>
          <w:u w:val="single"/>
        </w:rPr>
      </w:pPr>
      <w:r w:rsidRPr="00417A75">
        <w:rPr>
          <w:u w:val="single"/>
        </w:rPr>
        <w:t>Aerobe Gram-positive</w:t>
      </w:r>
    </w:p>
    <w:p w14:paraId="5E4F53F4" w14:textId="77777777" w:rsidR="00417A75" w:rsidRDefault="00417A75" w:rsidP="00417A75">
      <w:pPr>
        <w:pStyle w:val="BodyTextSMPC"/>
        <w:spacing w:before="240"/>
      </w:pPr>
      <w:r>
        <w:t>Group A, B, C and G beta-</w:t>
      </w:r>
      <w:proofErr w:type="spellStart"/>
      <w:r>
        <w:t>haemolytic</w:t>
      </w:r>
      <w:proofErr w:type="spellEnd"/>
      <w:r>
        <w:t xml:space="preserve"> streptococci </w:t>
      </w:r>
    </w:p>
    <w:p w14:paraId="245496CD" w14:textId="77777777" w:rsidR="00417A75" w:rsidRDefault="00417A75" w:rsidP="00417A75">
      <w:pPr>
        <w:pStyle w:val="BodyTextSMPC"/>
        <w:spacing w:before="240"/>
      </w:pPr>
      <w:r>
        <w:t xml:space="preserve">Staphylococcus epidermidis (methicillin-sensitive) </w:t>
      </w:r>
    </w:p>
    <w:p w14:paraId="5C2A042C" w14:textId="77777777" w:rsidR="00417A75" w:rsidRDefault="00417A75" w:rsidP="00417A75">
      <w:pPr>
        <w:pStyle w:val="BodyTextSMPC"/>
        <w:spacing w:before="240"/>
      </w:pPr>
      <w:r>
        <w:t xml:space="preserve">Streptococcus pneumoniae </w:t>
      </w:r>
    </w:p>
    <w:p w14:paraId="52EEF3AF" w14:textId="77777777" w:rsidR="00417A75" w:rsidRPr="00417A75" w:rsidRDefault="00417A75" w:rsidP="00417A75">
      <w:pPr>
        <w:pStyle w:val="BodyTextSMPC"/>
        <w:spacing w:before="240"/>
        <w:rPr>
          <w:u w:val="single"/>
        </w:rPr>
      </w:pPr>
      <w:r w:rsidRPr="00417A75">
        <w:rPr>
          <w:u w:val="single"/>
        </w:rPr>
        <w:t>Aerobe Gram-negative</w:t>
      </w:r>
    </w:p>
    <w:p w14:paraId="34076966" w14:textId="77777777" w:rsidR="00417A75" w:rsidRDefault="00417A75" w:rsidP="00417A75">
      <w:pPr>
        <w:pStyle w:val="BodyTextSMPC"/>
        <w:spacing w:before="240"/>
      </w:pPr>
      <w:proofErr w:type="spellStart"/>
      <w:r>
        <w:t>Haemophilus</w:t>
      </w:r>
      <w:proofErr w:type="spellEnd"/>
      <w:r>
        <w:t xml:space="preserve"> influenzae </w:t>
      </w:r>
    </w:p>
    <w:p w14:paraId="1B634C51" w14:textId="77777777" w:rsidR="00417A75" w:rsidRPr="00417A75" w:rsidRDefault="00417A75" w:rsidP="00417A75">
      <w:pPr>
        <w:pStyle w:val="BodyTextSMPC"/>
        <w:spacing w:before="240"/>
        <w:rPr>
          <w:b/>
          <w:bCs/>
        </w:rPr>
      </w:pPr>
      <w:r w:rsidRPr="00417A75">
        <w:rPr>
          <w:b/>
          <w:bCs/>
        </w:rPr>
        <w:t xml:space="preserve">Inherently resistant organisms </w:t>
      </w:r>
    </w:p>
    <w:p w14:paraId="4B73863C" w14:textId="77777777" w:rsidR="00417A75" w:rsidRPr="00417A75" w:rsidRDefault="00417A75" w:rsidP="00417A75">
      <w:pPr>
        <w:pStyle w:val="BodyTextSMPC"/>
        <w:spacing w:before="240"/>
        <w:rPr>
          <w:u w:val="single"/>
        </w:rPr>
      </w:pPr>
      <w:r w:rsidRPr="00417A75">
        <w:rPr>
          <w:u w:val="single"/>
        </w:rPr>
        <w:t>Aerobe Gram-positive</w:t>
      </w:r>
    </w:p>
    <w:p w14:paraId="29F1783A" w14:textId="77777777" w:rsidR="00417A75" w:rsidRDefault="00417A75" w:rsidP="00417A75">
      <w:pPr>
        <w:pStyle w:val="BodyTextSMPC"/>
        <w:spacing w:before="240"/>
      </w:pPr>
      <w:r>
        <w:t xml:space="preserve">Staphylococcus aureus, methicillin-resistant </w:t>
      </w:r>
    </w:p>
    <w:p w14:paraId="2F9E070A" w14:textId="77777777" w:rsidR="00417A75" w:rsidRPr="00417A75" w:rsidRDefault="00417A75" w:rsidP="00417A75">
      <w:pPr>
        <w:pStyle w:val="BodyTextSMPC"/>
        <w:spacing w:before="240"/>
        <w:rPr>
          <w:u w:val="single"/>
        </w:rPr>
      </w:pPr>
      <w:r w:rsidRPr="00417A75">
        <w:rPr>
          <w:u w:val="single"/>
        </w:rPr>
        <w:t>Aerobe Gram-negative</w:t>
      </w:r>
    </w:p>
    <w:p w14:paraId="5C80C66D" w14:textId="77777777" w:rsidR="00417A75" w:rsidRDefault="00417A75" w:rsidP="00417A75">
      <w:pPr>
        <w:pStyle w:val="BodyTextSMPC"/>
        <w:spacing w:before="240"/>
      </w:pPr>
      <w:r>
        <w:t xml:space="preserve">Citrobacter spp. </w:t>
      </w:r>
    </w:p>
    <w:p w14:paraId="53491B7D" w14:textId="77777777" w:rsidR="00417A75" w:rsidRPr="00417A75" w:rsidRDefault="00417A75" w:rsidP="00417A75">
      <w:pPr>
        <w:pStyle w:val="BodyTextSMPC"/>
        <w:spacing w:before="240"/>
        <w:rPr>
          <w:lang w:val="de-DE"/>
        </w:rPr>
      </w:pPr>
      <w:r w:rsidRPr="00417A75">
        <w:rPr>
          <w:lang w:val="de-DE"/>
        </w:rPr>
        <w:lastRenderedPageBreak/>
        <w:t xml:space="preserve">Enterobacter spp. </w:t>
      </w:r>
    </w:p>
    <w:p w14:paraId="36B066B9" w14:textId="77777777" w:rsidR="00417A75" w:rsidRPr="00417A75" w:rsidRDefault="00417A75" w:rsidP="00417A75">
      <w:pPr>
        <w:pStyle w:val="BodyTextSMPC"/>
        <w:spacing w:before="240"/>
        <w:rPr>
          <w:lang w:val="de-DE"/>
        </w:rPr>
      </w:pPr>
      <w:r w:rsidRPr="00417A75">
        <w:rPr>
          <w:lang w:val="de-DE"/>
        </w:rPr>
        <w:t xml:space="preserve">Klebsiella pneumoniae </w:t>
      </w:r>
    </w:p>
    <w:p w14:paraId="286198A8" w14:textId="77777777" w:rsidR="00417A75" w:rsidRPr="00417A75" w:rsidRDefault="00417A75" w:rsidP="00417A75">
      <w:pPr>
        <w:pStyle w:val="BodyTextSMPC"/>
        <w:spacing w:before="240"/>
        <w:rPr>
          <w:lang w:val="de-DE"/>
        </w:rPr>
      </w:pPr>
      <w:r w:rsidRPr="00417A75">
        <w:rPr>
          <w:lang w:val="de-DE"/>
        </w:rPr>
        <w:t xml:space="preserve">Morganella morganii </w:t>
      </w:r>
    </w:p>
    <w:p w14:paraId="432A2984" w14:textId="77777777" w:rsidR="00417A75" w:rsidRPr="00417A75" w:rsidRDefault="00417A75" w:rsidP="00417A75">
      <w:pPr>
        <w:pStyle w:val="BodyTextSMPC"/>
        <w:spacing w:before="240"/>
        <w:rPr>
          <w:lang w:val="de-DE"/>
        </w:rPr>
      </w:pPr>
      <w:r w:rsidRPr="00417A75">
        <w:rPr>
          <w:lang w:val="de-DE"/>
        </w:rPr>
        <w:t xml:space="preserve">Proteus mirabilis </w:t>
      </w:r>
    </w:p>
    <w:p w14:paraId="4387878B" w14:textId="77777777" w:rsidR="00417A75" w:rsidRPr="00417A75" w:rsidRDefault="00417A75" w:rsidP="00417A75">
      <w:pPr>
        <w:pStyle w:val="BodyTextSMPC"/>
        <w:spacing w:before="240"/>
        <w:rPr>
          <w:lang w:val="de-DE"/>
        </w:rPr>
      </w:pPr>
      <w:r w:rsidRPr="00417A75">
        <w:rPr>
          <w:lang w:val="de-DE"/>
        </w:rPr>
        <w:t xml:space="preserve">Proteus stuartii </w:t>
      </w:r>
    </w:p>
    <w:p w14:paraId="4167AA20" w14:textId="77777777" w:rsidR="00417A75" w:rsidRPr="00417A75" w:rsidRDefault="00417A75" w:rsidP="00417A75">
      <w:pPr>
        <w:pStyle w:val="BodyTextSMPC"/>
        <w:spacing w:before="240"/>
        <w:rPr>
          <w:lang w:val="de-DE"/>
        </w:rPr>
      </w:pPr>
      <w:r w:rsidRPr="00417A75">
        <w:rPr>
          <w:lang w:val="de-DE"/>
        </w:rPr>
        <w:t xml:space="preserve">Proteus vulgaris </w:t>
      </w:r>
    </w:p>
    <w:p w14:paraId="40F6642B" w14:textId="77777777" w:rsidR="00417A75" w:rsidRDefault="00417A75" w:rsidP="00417A75">
      <w:pPr>
        <w:pStyle w:val="BodyTextSMPC"/>
        <w:spacing w:before="240"/>
      </w:pPr>
      <w:r>
        <w:t xml:space="preserve">Pseudomonas aeruginosa </w:t>
      </w:r>
    </w:p>
    <w:p w14:paraId="342974C2" w14:textId="476D9798" w:rsidR="00351B91" w:rsidRDefault="00417A75" w:rsidP="00417A75">
      <w:pPr>
        <w:pStyle w:val="BodyTextSMPC"/>
        <w:spacing w:before="240"/>
      </w:pPr>
      <w:r>
        <w:t>Serratia spp.</w:t>
      </w:r>
    </w:p>
    <w:p w14:paraId="04D77DAA" w14:textId="7BED606D" w:rsidR="00227FD4" w:rsidRPr="008F5678" w:rsidRDefault="00000000" w:rsidP="00671E86">
      <w:pPr>
        <w:pStyle w:val="SubHeafingSMPC"/>
      </w:pPr>
      <w:r w:rsidRPr="008F5678">
        <w:t xml:space="preserve">Pharmacokinetic properties </w:t>
      </w:r>
    </w:p>
    <w:p w14:paraId="2FE94D27" w14:textId="020ED474" w:rsidR="00C36E7B" w:rsidRPr="00C36E7B" w:rsidRDefault="00C36E7B" w:rsidP="00C36E7B">
      <w:pPr>
        <w:pStyle w:val="BodyTextSMPC"/>
        <w:rPr>
          <w:b/>
          <w:bCs/>
        </w:rPr>
      </w:pPr>
      <w:r w:rsidRPr="00C36E7B">
        <w:rPr>
          <w:b/>
          <w:bCs/>
        </w:rPr>
        <w:t>Absorption</w:t>
      </w:r>
    </w:p>
    <w:p w14:paraId="76F14DB0" w14:textId="3CD2336C" w:rsidR="006D4823" w:rsidRPr="006D4823" w:rsidRDefault="00417A75" w:rsidP="00417A75">
      <w:pPr>
        <w:pStyle w:val="BodyTextSMPC"/>
      </w:pPr>
      <w:r>
        <w:t xml:space="preserve">Cefazolin is administered parenterally. After administration of 500 mg intramuscular injection, maximum serum levels obtained after approximately an hour were 20-40 micrograms / </w:t>
      </w:r>
      <w:proofErr w:type="spellStart"/>
      <w:r>
        <w:t>mL.</w:t>
      </w:r>
      <w:proofErr w:type="spellEnd"/>
      <w:r>
        <w:t xml:space="preserve"> After administration of 1 g maximum serum levels of 37 – 63 micrograms / mL were obtained. In one continuous intravenous infusion of cefazolin study in healthy adults at doses of 3.5 mg / kg for one hour (</w:t>
      </w:r>
      <w:proofErr w:type="spellStart"/>
      <w:r>
        <w:t>approx</w:t>
      </w:r>
      <w:proofErr w:type="spellEnd"/>
      <w:r>
        <w:t xml:space="preserve"> 250 mg) followed by 1.5 mg / kg for the next two hours (approx. 100 mg) a stable serum concentration of approx. 28 micrograms / mL was demonstrated in the third hour. The following table shows the mean serum concentration of cefazolin after intravenous injection of a single dose of 1 g. </w:t>
      </w:r>
    </w:p>
    <w:p w14:paraId="48E0DA96" w14:textId="3DD1BEC3" w:rsidR="006D4823" w:rsidRPr="006D4823" w:rsidRDefault="006D4823" w:rsidP="006D4823">
      <w:pPr>
        <w:pStyle w:val="BodyTextSMPC"/>
      </w:pPr>
      <w:r w:rsidRPr="00C36E7B">
        <w:rPr>
          <w:b/>
          <w:bCs/>
        </w:rPr>
        <w:t>Distribution</w:t>
      </w:r>
    </w:p>
    <w:p w14:paraId="4E9284B6" w14:textId="54D9C30E" w:rsidR="00475F22" w:rsidRDefault="00475F22" w:rsidP="00475F22">
      <w:pPr>
        <w:pStyle w:val="BodyTextSMPC"/>
      </w:pPr>
      <w:r>
        <w:t>Cefazolin for 70% - 86% bound to plasma proteins. The volume of distribution is approximately 11 L / 1.73 m</w:t>
      </w:r>
      <w:r w:rsidRPr="00475F22">
        <w:rPr>
          <w:vertAlign w:val="superscript"/>
        </w:rPr>
        <w:t>2</w:t>
      </w:r>
      <w:r>
        <w:t xml:space="preserve">. </w:t>
      </w:r>
      <w:r>
        <w:t xml:space="preserve">When cefazolin is administered to patients without obstruction of the bile ducts the antibiotic levels 90 – 120 minutes after administration were generally higher than antibiotic levels in the serum. </w:t>
      </w:r>
    </w:p>
    <w:p w14:paraId="4B6E062B" w14:textId="03994E47" w:rsidR="00475F22" w:rsidRPr="00475F22" w:rsidRDefault="00475F22" w:rsidP="00475F22">
      <w:pPr>
        <w:pStyle w:val="BodyTextSMPC"/>
      </w:pPr>
      <w:r>
        <w:t xml:space="preserve">Conversely, where obstruction exists the concentrations of antibiotic in the bile were much lower than serum levels. After administration of therapeutic doses in patients with inflamed meninges, varying </w:t>
      </w:r>
      <w:r>
        <w:lastRenderedPageBreak/>
        <w:t xml:space="preserve">concentrations of cefazolin from 0 to 0.4 micrograms / mL were measured in cerebrospinal fluid. Cefazolin can easily pass through inflamed synovial membranes and the antibiotic concentration achieved in joints is similar to serum levels. </w:t>
      </w:r>
    </w:p>
    <w:p w14:paraId="1C2D30D2" w14:textId="37B23A29" w:rsidR="00C36E7B" w:rsidRDefault="00C36E7B" w:rsidP="00475F22">
      <w:pPr>
        <w:pStyle w:val="BodyTextSMPC"/>
        <w:jc w:val="left"/>
        <w:rPr>
          <w:b/>
          <w:bCs/>
        </w:rPr>
      </w:pPr>
      <w:r w:rsidRPr="00C36E7B">
        <w:rPr>
          <w:b/>
          <w:bCs/>
        </w:rPr>
        <w:t>Biotransformation and elimination</w:t>
      </w:r>
    </w:p>
    <w:p w14:paraId="6868E327" w14:textId="074076EF" w:rsidR="00C36E7B" w:rsidRDefault="00475F22" w:rsidP="00C36E7B">
      <w:pPr>
        <w:pStyle w:val="BodyTextSMPC"/>
      </w:pPr>
      <w:r w:rsidRPr="00475F22">
        <w:t xml:space="preserve">Cefazolin is not </w:t>
      </w:r>
      <w:proofErr w:type="spellStart"/>
      <w:r w:rsidRPr="00475F22">
        <w:t>metabolised</w:t>
      </w:r>
      <w:proofErr w:type="spellEnd"/>
      <w:r w:rsidR="00C36E7B">
        <w:t>.</w:t>
      </w:r>
    </w:p>
    <w:p w14:paraId="71CFB761" w14:textId="77777777" w:rsidR="00475F22" w:rsidRPr="00475F22" w:rsidRDefault="00475F22" w:rsidP="00475F22">
      <w:pPr>
        <w:pStyle w:val="BodyTextSMPC"/>
        <w:rPr>
          <w:b/>
          <w:bCs/>
        </w:rPr>
      </w:pPr>
      <w:r w:rsidRPr="00475F22">
        <w:rPr>
          <w:b/>
          <w:bCs/>
        </w:rPr>
        <w:t xml:space="preserve">Elimination </w:t>
      </w:r>
    </w:p>
    <w:p w14:paraId="492AD855" w14:textId="55F6849B" w:rsidR="00227FD4" w:rsidRPr="008F5678" w:rsidRDefault="00475F22" w:rsidP="00475F22">
      <w:pPr>
        <w:pStyle w:val="BodyTextSMPC"/>
      </w:pPr>
      <w:r>
        <w:t xml:space="preserve">The serum half-life is about 1 hour 35 minutes. Cefazolin is excreted in a microbiologically active form in the urine. Approximately 56-89% of an intramuscular dose of 500 mg is excreted in the first six hours, 80% to almost 100% is excreted within 24 hours. After intramuscular administration of 500 mg and 1 g urine levels can reach 500-4000 </w:t>
      </w:r>
      <w:proofErr w:type="spellStart"/>
      <w:r>
        <w:t>μg</w:t>
      </w:r>
      <w:proofErr w:type="spellEnd"/>
      <w:r>
        <w:t xml:space="preserve"> / </w:t>
      </w:r>
      <w:proofErr w:type="spellStart"/>
      <w:r>
        <w:t>mL.</w:t>
      </w:r>
      <w:proofErr w:type="spellEnd"/>
      <w:r>
        <w:t xml:space="preserve"> Cefazolin is mainly removed from the serum by glomerular filtration, the renal clearance is 65 mL / min / 1.73 m</w:t>
      </w:r>
      <w:r w:rsidRPr="00475F22">
        <w:rPr>
          <w:vertAlign w:val="superscript"/>
        </w:rPr>
        <w:t>2</w:t>
      </w:r>
      <w:r>
        <w:t>.</w:t>
      </w:r>
      <w:r w:rsidR="006D4823"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52B5AAEC" w14:textId="77777777" w:rsidR="000523FE" w:rsidRDefault="000523FE" w:rsidP="000523FE">
      <w:pPr>
        <w:pStyle w:val="BodyTextSMPC"/>
      </w:pPr>
      <w:r>
        <w:t xml:space="preserve">The acute toxicity of cefazolin is low. </w:t>
      </w:r>
    </w:p>
    <w:p w14:paraId="236BCD86" w14:textId="77777777" w:rsidR="000523FE" w:rsidRDefault="000523FE" w:rsidP="000523FE">
      <w:pPr>
        <w:pStyle w:val="BodyTextSMPC"/>
      </w:pPr>
      <w:r>
        <w:t xml:space="preserve">Repeated administration of cefazolin in dogs and rats for 1-6 months by different routes of administration did not show any significant effect on hematological and biochemical parameters. Renal toxicity was observed after repeated doses in rabbits, but not in dogs or rats. Cefazolin showed no teratogenic or embryotoxic activity. </w:t>
      </w:r>
    </w:p>
    <w:p w14:paraId="7BE4B9BC" w14:textId="4383694F" w:rsidR="00227FD4" w:rsidRPr="005574FA" w:rsidRDefault="000523FE" w:rsidP="000523FE">
      <w:pPr>
        <w:pStyle w:val="BodyTextSMPC"/>
      </w:pPr>
      <w:r>
        <w:t>No studies are available on the mutagenicity and carcinogenicity of cefazolin</w:t>
      </w:r>
      <w:r w:rsidR="007A4C62" w:rsidRPr="007A4C62">
        <w:t>.</w:t>
      </w:r>
      <w:r w:rsidR="001B1CB6" w:rsidRPr="005574FA">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494DF8BF" w14:textId="01A96541" w:rsidR="000523FE" w:rsidRDefault="000523FE" w:rsidP="000523FE">
      <w:pPr>
        <w:pStyle w:val="BodyTextSMPC"/>
      </w:pPr>
      <w:r>
        <w:t xml:space="preserve">Cefazolin is incompatible with amikacin disulfate, amobarbital-sodium, ascorbic acid, bleomycin sulphate, calcium </w:t>
      </w:r>
      <w:proofErr w:type="spellStart"/>
      <w:r>
        <w:t>gluceptate</w:t>
      </w:r>
      <w:proofErr w:type="spellEnd"/>
      <w:r>
        <w:t xml:space="preserve">, calcium gluconate, cimetidine hydrochloride, </w:t>
      </w:r>
      <w:proofErr w:type="spellStart"/>
      <w:r>
        <w:t>colistimethate</w:t>
      </w:r>
      <w:proofErr w:type="spellEnd"/>
      <w:r>
        <w:t xml:space="preserve">-sodium, </w:t>
      </w:r>
      <w:r>
        <w:lastRenderedPageBreak/>
        <w:t xml:space="preserve">erythromycin </w:t>
      </w:r>
      <w:proofErr w:type="spellStart"/>
      <w:r>
        <w:t>gluceptate</w:t>
      </w:r>
      <w:proofErr w:type="spellEnd"/>
      <w:r>
        <w:t xml:space="preserve">, kanamycin sulphate, </w:t>
      </w:r>
      <w:proofErr w:type="spellStart"/>
      <w:r>
        <w:t>oxytetracyclin</w:t>
      </w:r>
      <w:proofErr w:type="spellEnd"/>
      <w:r>
        <w:t xml:space="preserve"> hydrochloride, pentobarbital-sodium, polymyxin-B-sulphate and tetracycline hydrochloride. </w:t>
      </w:r>
    </w:p>
    <w:p w14:paraId="2854C958" w14:textId="5A9E2695" w:rsidR="00227FD4" w:rsidRPr="006E7537" w:rsidRDefault="000523FE" w:rsidP="000523FE">
      <w:pPr>
        <w:pStyle w:val="BodyTextSMPC"/>
      </w:pPr>
      <w:r>
        <w:t>This medicinal product must not be mixed with other medicinal products except those mentioned in section 6.6</w:t>
      </w:r>
      <w:r w:rsidR="007A4C62">
        <w:t>.</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600BE41C" w14:textId="254C1D58" w:rsidR="00353092" w:rsidRPr="00353092" w:rsidRDefault="00353092" w:rsidP="00353092">
      <w:pPr>
        <w:pStyle w:val="BodyTextSMPC"/>
        <w:rPr>
          <w:color w:val="FF0000"/>
        </w:rPr>
      </w:pPr>
      <w:r w:rsidRPr="00353092">
        <w:rPr>
          <w:b/>
          <w:bCs/>
        </w:rPr>
        <w:t>Preparation of the solution</w:t>
      </w:r>
      <w:r>
        <w:rPr>
          <w:b/>
          <w:bCs/>
        </w:rPr>
        <w:t xml:space="preserve"> </w:t>
      </w:r>
      <w:r w:rsidRPr="008F5678">
        <w:rPr>
          <w:color w:val="FF0000"/>
        </w:rPr>
        <w:t xml:space="preserve">&lt;REGARDING THE APPROVAL&gt; </w:t>
      </w:r>
    </w:p>
    <w:p w14:paraId="463D52EA" w14:textId="740E920E" w:rsidR="00353092" w:rsidRDefault="00353092" w:rsidP="00353092">
      <w:pPr>
        <w:pStyle w:val="BodyTextSMPC"/>
      </w:pPr>
      <w:r>
        <w:t xml:space="preserve">For each route of administration see the table for addition volumes and solution concentrations, which may be useful when fractional doses are required. </w:t>
      </w:r>
    </w:p>
    <w:p w14:paraId="39A2BB24" w14:textId="77777777" w:rsidR="00353092" w:rsidRPr="00353092" w:rsidRDefault="00353092" w:rsidP="00353092">
      <w:pPr>
        <w:pStyle w:val="BodyTextSMPC"/>
        <w:rPr>
          <w:b/>
          <w:bCs/>
        </w:rPr>
      </w:pPr>
      <w:r w:rsidRPr="00353092">
        <w:rPr>
          <w:b/>
          <w:bCs/>
        </w:rPr>
        <w:t xml:space="preserve">Intramuscular injection </w:t>
      </w:r>
    </w:p>
    <w:p w14:paraId="101A7F12" w14:textId="74A68F56" w:rsidR="00353092" w:rsidRDefault="00353092" w:rsidP="00353092">
      <w:pPr>
        <w:pStyle w:val="BodyTextSMPC"/>
      </w:pPr>
      <w:r w:rsidRPr="008F5678">
        <w:rPr>
          <w:color w:val="FF0000"/>
        </w:rPr>
        <w:t>&lt;REGARDING THE APPROVAL&gt;</w:t>
      </w:r>
    </w:p>
    <w:p w14:paraId="6BA6614A" w14:textId="63899CDE" w:rsidR="00353092" w:rsidRDefault="00353092" w:rsidP="00353092">
      <w:pPr>
        <w:pStyle w:val="BodyTextSMPC"/>
        <w:rPr>
          <w:b/>
          <w:bCs/>
        </w:rPr>
      </w:pPr>
      <w:r w:rsidRPr="00353092">
        <w:rPr>
          <w:b/>
          <w:bCs/>
        </w:rPr>
        <w:t>Intravenous injection</w:t>
      </w:r>
    </w:p>
    <w:p w14:paraId="606E6946" w14:textId="44EC28B2" w:rsidR="00353092" w:rsidRPr="00353092" w:rsidRDefault="00353092" w:rsidP="00353092">
      <w:pPr>
        <w:pStyle w:val="BodyTextSMPC"/>
      </w:pPr>
      <w:r w:rsidRPr="008F5678">
        <w:rPr>
          <w:color w:val="FF0000"/>
        </w:rPr>
        <w:t>&lt;REGARDING THE APPROVAL&gt;</w:t>
      </w:r>
    </w:p>
    <w:p w14:paraId="7D464211" w14:textId="110799DD" w:rsidR="00353092" w:rsidRDefault="00353092" w:rsidP="00353092">
      <w:pPr>
        <w:pStyle w:val="BodyTextSMPC"/>
      </w:pPr>
      <w:r>
        <w:t xml:space="preserve">Reconstitute Cefazolin with one of the following compatible diluents according to the </w:t>
      </w:r>
    </w:p>
    <w:p w14:paraId="0B618E8C" w14:textId="77777777" w:rsidR="00353092" w:rsidRDefault="00353092" w:rsidP="00353092">
      <w:pPr>
        <w:pStyle w:val="BodyTextSMPC"/>
      </w:pPr>
      <w:r>
        <w:t xml:space="preserve">dilution table that follows: </w:t>
      </w:r>
    </w:p>
    <w:p w14:paraId="38A65AD0" w14:textId="77777777" w:rsidR="00353092" w:rsidRDefault="00353092" w:rsidP="00353092">
      <w:pPr>
        <w:pStyle w:val="BodyTextSMPC"/>
      </w:pPr>
      <w:r>
        <w:t xml:space="preserve">• water for injections </w:t>
      </w:r>
    </w:p>
    <w:p w14:paraId="60F6C21D" w14:textId="77777777" w:rsidR="00353092" w:rsidRDefault="00353092" w:rsidP="00353092">
      <w:pPr>
        <w:pStyle w:val="BodyTextSMPC"/>
      </w:pPr>
      <w:r>
        <w:t xml:space="preserve">• (0.9%) sodium chloride solution or </w:t>
      </w:r>
    </w:p>
    <w:p w14:paraId="7581C998" w14:textId="77777777" w:rsidR="00353092" w:rsidRDefault="00353092" w:rsidP="00353092">
      <w:pPr>
        <w:pStyle w:val="BodyTextSMPC"/>
      </w:pPr>
      <w:r>
        <w:t xml:space="preserve">• 5% glucose solution </w:t>
      </w:r>
    </w:p>
    <w:p w14:paraId="153AECAF" w14:textId="3608F764" w:rsidR="00A068D5" w:rsidRDefault="00353092" w:rsidP="00353092">
      <w:pPr>
        <w:pStyle w:val="BodyTextSMPC"/>
      </w:pPr>
      <w:r>
        <w:lastRenderedPageBreak/>
        <w:t>• 10% glucose solution</w:t>
      </w:r>
      <w:r>
        <w:t xml:space="preserve"> </w:t>
      </w:r>
    </w:p>
    <w:p w14:paraId="7A28B86E" w14:textId="2F805CBC" w:rsidR="00151237" w:rsidRDefault="00151237" w:rsidP="00353092">
      <w:pPr>
        <w:pStyle w:val="BodyTextSMPC"/>
        <w:rPr>
          <w:b/>
          <w:bCs/>
        </w:rPr>
      </w:pPr>
      <w:r w:rsidRPr="00151237">
        <w:rPr>
          <w:b/>
          <w:bCs/>
        </w:rPr>
        <w:t>Intravenous infusion</w:t>
      </w:r>
    </w:p>
    <w:p w14:paraId="0FAD77FD" w14:textId="667304A7" w:rsidR="00151237" w:rsidRPr="00151237" w:rsidRDefault="00151237" w:rsidP="00151237">
      <w:pPr>
        <w:pStyle w:val="BodyTextSMPC"/>
      </w:pPr>
      <w:r w:rsidRPr="008F5678">
        <w:rPr>
          <w:color w:val="FF0000"/>
        </w:rPr>
        <w:t xml:space="preserve">&lt;REGARDING THE APPROVAL&gt; </w:t>
      </w:r>
    </w:p>
    <w:p w14:paraId="7B08B6FD" w14:textId="1B8D810D" w:rsidR="00151237" w:rsidRPr="00151237" w:rsidRDefault="00151237" w:rsidP="00151237">
      <w:pPr>
        <w:pStyle w:val="BodyTextSMPC"/>
      </w:pPr>
      <w:r w:rsidRPr="00151237">
        <w:t xml:space="preserve">Further dilution should take place with one of the following compatible diluents according to the dilution table that follows: </w:t>
      </w:r>
    </w:p>
    <w:p w14:paraId="186102F2" w14:textId="77777777" w:rsidR="00151237" w:rsidRPr="00151237" w:rsidRDefault="00151237" w:rsidP="00151237">
      <w:pPr>
        <w:pStyle w:val="BodyTextSMPC"/>
      </w:pPr>
      <w:r w:rsidRPr="00151237">
        <w:t xml:space="preserve">- sodium chloride 0.9% solution </w:t>
      </w:r>
    </w:p>
    <w:p w14:paraId="5CBABB47" w14:textId="77777777" w:rsidR="00151237" w:rsidRPr="00151237" w:rsidRDefault="00151237" w:rsidP="00151237">
      <w:pPr>
        <w:pStyle w:val="BodyTextSMPC"/>
      </w:pPr>
      <w:r w:rsidRPr="00151237">
        <w:t xml:space="preserve">- glucose 5% </w:t>
      </w:r>
    </w:p>
    <w:p w14:paraId="02AF89EF" w14:textId="77777777" w:rsidR="00151237" w:rsidRPr="00151237" w:rsidRDefault="00151237" w:rsidP="00151237">
      <w:pPr>
        <w:pStyle w:val="BodyTextSMPC"/>
      </w:pPr>
      <w:r w:rsidRPr="00151237">
        <w:t xml:space="preserve">- Ringer’s solution </w:t>
      </w:r>
    </w:p>
    <w:p w14:paraId="234B41F6" w14:textId="77777777" w:rsidR="00151237" w:rsidRPr="00151237" w:rsidRDefault="00151237" w:rsidP="00151237">
      <w:pPr>
        <w:pStyle w:val="BodyTextSMPC"/>
      </w:pPr>
      <w:r w:rsidRPr="00151237">
        <w:t xml:space="preserve">- lactated Ringer's solution </w:t>
      </w:r>
    </w:p>
    <w:p w14:paraId="41ABB03E" w14:textId="192E2D53" w:rsidR="00151237" w:rsidRPr="00151237" w:rsidRDefault="00151237" w:rsidP="00151237">
      <w:pPr>
        <w:pStyle w:val="BodyTextSMPC"/>
      </w:pPr>
      <w:r w:rsidRPr="00151237">
        <w:t>- water for injections</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2572" w14:textId="77777777" w:rsidR="00C15438" w:rsidRDefault="00C15438" w:rsidP="008F5678">
      <w:pPr>
        <w:spacing w:line="240" w:lineRule="auto"/>
      </w:pPr>
      <w:r>
        <w:separator/>
      </w:r>
    </w:p>
  </w:endnote>
  <w:endnote w:type="continuationSeparator" w:id="0">
    <w:p w14:paraId="5877FE58" w14:textId="77777777" w:rsidR="00C15438" w:rsidRDefault="00C15438"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AB908B6" w:rsidR="008F5678" w:rsidRPr="000C7ED9" w:rsidRDefault="008F5678" w:rsidP="008F5678">
    <w:pPr>
      <w:rPr>
        <w:rFonts w:ascii="Times New Roman" w:hAnsi="Times New Roman" w:cs="Times New Roman"/>
        <w:color w:val="FF0000"/>
        <w:sz w:val="32"/>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151237" w:rsidRPr="00151237">
      <w:rPr>
        <w:rFonts w:ascii="Times New Roman" w:hAnsi="Times New Roman" w:cs="Times New Roman"/>
        <w:sz w:val="24"/>
        <w:szCs w:val="24"/>
      </w:rPr>
      <w:t>Cefazolin</w:t>
    </w:r>
    <w:r w:rsidRPr="008F5678">
      <w:rPr>
        <w:rFonts w:ascii="Times New Roman" w:hAnsi="Times New Roman" w:cs="Times New Roman"/>
        <w:sz w:val="24"/>
        <w:szCs w:val="24"/>
      </w:rPr>
      <w:t xml:space="preserve">, </w:t>
    </w:r>
    <w:r w:rsidR="00EC77CC">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151237">
      <w:rPr>
        <w:rFonts w:ascii="Times New Roman" w:hAnsi="Times New Roman" w:cs="Times New Roman"/>
        <w:sz w:val="24"/>
        <w:szCs w:val="24"/>
      </w:rPr>
      <w:t>27/09/2023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95AB" w14:textId="77777777" w:rsidR="00C15438" w:rsidRDefault="00C15438" w:rsidP="008F5678">
      <w:pPr>
        <w:spacing w:line="240" w:lineRule="auto"/>
      </w:pPr>
      <w:r>
        <w:separator/>
      </w:r>
    </w:p>
  </w:footnote>
  <w:footnote w:type="continuationSeparator" w:id="0">
    <w:p w14:paraId="6C9EBF19" w14:textId="77777777" w:rsidR="00C15438" w:rsidRDefault="00C15438"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4"/>
  </w:num>
  <w:num w:numId="2" w16cid:durableId="658729891">
    <w:abstractNumId w:val="0"/>
  </w:num>
  <w:num w:numId="3" w16cid:durableId="1826510259">
    <w:abstractNumId w:val="2"/>
  </w:num>
  <w:num w:numId="4" w16cid:durableId="1678921655">
    <w:abstractNumId w:val="3"/>
  </w:num>
  <w:num w:numId="5" w16cid:durableId="82191982">
    <w:abstractNumId w:val="1"/>
  </w:num>
  <w:num w:numId="6" w16cid:durableId="1331174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6076"/>
    <w:rsid w:val="0003354B"/>
    <w:rsid w:val="000453B9"/>
    <w:rsid w:val="000523FE"/>
    <w:rsid w:val="00070173"/>
    <w:rsid w:val="00072659"/>
    <w:rsid w:val="000C7ED9"/>
    <w:rsid w:val="00111833"/>
    <w:rsid w:val="001162E6"/>
    <w:rsid w:val="00151237"/>
    <w:rsid w:val="00177864"/>
    <w:rsid w:val="00182860"/>
    <w:rsid w:val="001A39AF"/>
    <w:rsid w:val="001B1CB6"/>
    <w:rsid w:val="001E1455"/>
    <w:rsid w:val="00200B73"/>
    <w:rsid w:val="00217343"/>
    <w:rsid w:val="00227FD4"/>
    <w:rsid w:val="00232126"/>
    <w:rsid w:val="00233A79"/>
    <w:rsid w:val="002357B1"/>
    <w:rsid w:val="00254057"/>
    <w:rsid w:val="002933FE"/>
    <w:rsid w:val="00303231"/>
    <w:rsid w:val="00307506"/>
    <w:rsid w:val="00316A60"/>
    <w:rsid w:val="00323A34"/>
    <w:rsid w:val="003467EF"/>
    <w:rsid w:val="00351B91"/>
    <w:rsid w:val="00353092"/>
    <w:rsid w:val="00362134"/>
    <w:rsid w:val="00385779"/>
    <w:rsid w:val="00397295"/>
    <w:rsid w:val="00415AF9"/>
    <w:rsid w:val="00417A75"/>
    <w:rsid w:val="004547B5"/>
    <w:rsid w:val="004707A7"/>
    <w:rsid w:val="00473071"/>
    <w:rsid w:val="00475F22"/>
    <w:rsid w:val="004A007B"/>
    <w:rsid w:val="004A5AB4"/>
    <w:rsid w:val="005122F4"/>
    <w:rsid w:val="005574FA"/>
    <w:rsid w:val="00606B16"/>
    <w:rsid w:val="006147EE"/>
    <w:rsid w:val="006224A3"/>
    <w:rsid w:val="0062302F"/>
    <w:rsid w:val="00641955"/>
    <w:rsid w:val="006448B7"/>
    <w:rsid w:val="00646ECA"/>
    <w:rsid w:val="00671E86"/>
    <w:rsid w:val="006752B9"/>
    <w:rsid w:val="0069711D"/>
    <w:rsid w:val="006B41AF"/>
    <w:rsid w:val="006D4823"/>
    <w:rsid w:val="006E7537"/>
    <w:rsid w:val="007258BA"/>
    <w:rsid w:val="0075380E"/>
    <w:rsid w:val="00755C3B"/>
    <w:rsid w:val="00757ABD"/>
    <w:rsid w:val="0076728F"/>
    <w:rsid w:val="00774F68"/>
    <w:rsid w:val="00783899"/>
    <w:rsid w:val="007A4C62"/>
    <w:rsid w:val="007A70CC"/>
    <w:rsid w:val="007B01F4"/>
    <w:rsid w:val="007F2B3F"/>
    <w:rsid w:val="00816633"/>
    <w:rsid w:val="00817FAD"/>
    <w:rsid w:val="00834A79"/>
    <w:rsid w:val="00842E18"/>
    <w:rsid w:val="00894F3B"/>
    <w:rsid w:val="008A2A73"/>
    <w:rsid w:val="008C17A5"/>
    <w:rsid w:val="008D7A61"/>
    <w:rsid w:val="008F5678"/>
    <w:rsid w:val="009242EA"/>
    <w:rsid w:val="00955F90"/>
    <w:rsid w:val="00962771"/>
    <w:rsid w:val="00962985"/>
    <w:rsid w:val="00972AD6"/>
    <w:rsid w:val="00982CEB"/>
    <w:rsid w:val="00982EC5"/>
    <w:rsid w:val="009D6FFD"/>
    <w:rsid w:val="00A04703"/>
    <w:rsid w:val="00A068D5"/>
    <w:rsid w:val="00A144D2"/>
    <w:rsid w:val="00A22C1C"/>
    <w:rsid w:val="00A560E6"/>
    <w:rsid w:val="00A85894"/>
    <w:rsid w:val="00AB6AD4"/>
    <w:rsid w:val="00AC277A"/>
    <w:rsid w:val="00AF212D"/>
    <w:rsid w:val="00B14DD9"/>
    <w:rsid w:val="00B24321"/>
    <w:rsid w:val="00B2537D"/>
    <w:rsid w:val="00B36B0E"/>
    <w:rsid w:val="00B52056"/>
    <w:rsid w:val="00B61320"/>
    <w:rsid w:val="00B65CC5"/>
    <w:rsid w:val="00B771AD"/>
    <w:rsid w:val="00B86B7C"/>
    <w:rsid w:val="00BD279B"/>
    <w:rsid w:val="00BE0013"/>
    <w:rsid w:val="00BE0983"/>
    <w:rsid w:val="00BE10A8"/>
    <w:rsid w:val="00C04DF2"/>
    <w:rsid w:val="00C069FE"/>
    <w:rsid w:val="00C15438"/>
    <w:rsid w:val="00C21A1C"/>
    <w:rsid w:val="00C36E7B"/>
    <w:rsid w:val="00C5591F"/>
    <w:rsid w:val="00CA053A"/>
    <w:rsid w:val="00CD5ED5"/>
    <w:rsid w:val="00D1697D"/>
    <w:rsid w:val="00D32C40"/>
    <w:rsid w:val="00D5236F"/>
    <w:rsid w:val="00D90A3C"/>
    <w:rsid w:val="00DB6202"/>
    <w:rsid w:val="00E01FDA"/>
    <w:rsid w:val="00E21167"/>
    <w:rsid w:val="00E222B8"/>
    <w:rsid w:val="00E47326"/>
    <w:rsid w:val="00E641A1"/>
    <w:rsid w:val="00E647E4"/>
    <w:rsid w:val="00E712A3"/>
    <w:rsid w:val="00E72F63"/>
    <w:rsid w:val="00EC77CC"/>
    <w:rsid w:val="00EE5855"/>
    <w:rsid w:val="00F04BB0"/>
    <w:rsid w:val="00F512AD"/>
    <w:rsid w:val="00F62E5E"/>
    <w:rsid w:val="00F7564F"/>
    <w:rsid w:val="00FC40E9"/>
    <w:rsid w:val="00FD2603"/>
    <w:rsid w:val="00FE7B3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3756</Words>
  <Characters>21414</Characters>
  <Application>Microsoft Office Word</Application>
  <DocSecurity>0</DocSecurity>
  <Lines>178</Lines>
  <Paragraphs>50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8</cp:revision>
  <dcterms:created xsi:type="dcterms:W3CDTF">2024-07-31T09:50:00Z</dcterms:created>
  <dcterms:modified xsi:type="dcterms:W3CDTF">2024-07-31T10:52:00Z</dcterms:modified>
</cp:coreProperties>
</file>