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654BE" w14:textId="77777777" w:rsidR="005A16F9" w:rsidRPr="00E976E3" w:rsidRDefault="00000000" w:rsidP="0091430E">
      <w:pPr>
        <w:spacing w:after="0" w:line="480" w:lineRule="auto"/>
        <w:ind w:left="0"/>
        <w:jc w:val="center"/>
        <w:rPr>
          <w:b/>
          <w:sz w:val="28"/>
          <w:szCs w:val="28"/>
        </w:rPr>
      </w:pPr>
      <w:r w:rsidRPr="00E976E3">
        <w:rPr>
          <w:b/>
          <w:sz w:val="28"/>
          <w:szCs w:val="28"/>
        </w:rPr>
        <w:t>SUMMARY OF PRODUCT CHARACTERISTICS</w:t>
      </w:r>
    </w:p>
    <w:p w14:paraId="768AC15D" w14:textId="77777777" w:rsidR="0091430E" w:rsidRPr="00E976E3" w:rsidRDefault="00000000" w:rsidP="0091430E">
      <w:pPr>
        <w:pStyle w:val="Heading1"/>
        <w:numPr>
          <w:ilvl w:val="0"/>
          <w:numId w:val="2"/>
        </w:numPr>
        <w:tabs>
          <w:tab w:val="center" w:pos="3300"/>
        </w:tabs>
        <w:spacing w:after="240" w:line="264" w:lineRule="auto"/>
        <w:ind w:left="357" w:hanging="357"/>
        <w:rPr>
          <w:szCs w:val="28"/>
        </w:rPr>
      </w:pPr>
      <w:r w:rsidRPr="00E976E3">
        <w:rPr>
          <w:szCs w:val="28"/>
        </w:rPr>
        <w:t>NAME OF THE MEDICINAL PRODUCT</w:t>
      </w:r>
    </w:p>
    <w:p w14:paraId="325C957A" w14:textId="77777777" w:rsidR="0091430E" w:rsidRPr="00E976E3" w:rsidRDefault="00000000" w:rsidP="0091430E">
      <w:pPr>
        <w:pStyle w:val="Heading1"/>
        <w:tabs>
          <w:tab w:val="center" w:pos="3300"/>
        </w:tabs>
        <w:spacing w:line="360" w:lineRule="auto"/>
        <w:ind w:left="360" w:firstLine="0"/>
        <w:rPr>
          <w:b w:val="0"/>
          <w:szCs w:val="28"/>
        </w:rPr>
      </w:pPr>
      <w:r w:rsidRPr="00E976E3">
        <w:rPr>
          <w:b w:val="0"/>
          <w:color w:val="FF0000"/>
          <w:szCs w:val="28"/>
        </w:rPr>
        <w:t xml:space="preserve">&lt;TRADE NAME&gt; &lt;STRENGTH&gt; </w:t>
      </w:r>
      <w:r w:rsidRPr="00E976E3">
        <w:rPr>
          <w:b w:val="0"/>
          <w:szCs w:val="28"/>
        </w:rPr>
        <w:t>Topical cream</w:t>
      </w:r>
    </w:p>
    <w:p w14:paraId="7B6372CF" w14:textId="63363A04" w:rsidR="005A16F9" w:rsidRPr="00E976E3" w:rsidRDefault="00000000" w:rsidP="0091430E">
      <w:pPr>
        <w:pStyle w:val="Heading1"/>
        <w:tabs>
          <w:tab w:val="center" w:pos="3300"/>
        </w:tabs>
        <w:spacing w:after="240" w:line="360" w:lineRule="auto"/>
        <w:ind w:left="357" w:firstLine="0"/>
        <w:rPr>
          <w:b w:val="0"/>
          <w:szCs w:val="28"/>
        </w:rPr>
      </w:pPr>
      <w:r w:rsidRPr="00E976E3">
        <w:rPr>
          <w:b w:val="0"/>
          <w:bCs/>
          <w:color w:val="FF0000"/>
          <w:szCs w:val="28"/>
        </w:rPr>
        <w:t>&lt;REGARDING THE APPROVAL&gt;</w:t>
      </w:r>
    </w:p>
    <w:p w14:paraId="51946F94" w14:textId="77777777" w:rsidR="0091430E" w:rsidRPr="00E976E3" w:rsidRDefault="0091430E" w:rsidP="0091430E">
      <w:pPr>
        <w:pStyle w:val="ListParagraph"/>
        <w:numPr>
          <w:ilvl w:val="0"/>
          <w:numId w:val="2"/>
        </w:numPr>
        <w:spacing w:line="271" w:lineRule="auto"/>
        <w:ind w:left="357" w:hanging="357"/>
        <w:contextualSpacing w:val="0"/>
        <w:rPr>
          <w:b/>
          <w:sz w:val="28"/>
          <w:szCs w:val="28"/>
        </w:rPr>
      </w:pPr>
      <w:r w:rsidRPr="00E976E3">
        <w:rPr>
          <w:b/>
          <w:sz w:val="28"/>
          <w:szCs w:val="28"/>
        </w:rPr>
        <w:t>QUALITATIVE AND QUANTITATIVE COMPOSITION</w:t>
      </w:r>
    </w:p>
    <w:p w14:paraId="29D2D9F2" w14:textId="77777777" w:rsidR="0091430E" w:rsidRPr="00E976E3" w:rsidRDefault="00000000" w:rsidP="0091430E">
      <w:pPr>
        <w:pStyle w:val="ListParagraph"/>
        <w:ind w:left="360"/>
        <w:rPr>
          <w:bCs/>
          <w:color w:val="FF0000"/>
          <w:sz w:val="28"/>
          <w:szCs w:val="28"/>
        </w:rPr>
      </w:pPr>
      <w:r w:rsidRPr="00E976E3">
        <w:rPr>
          <w:bCs/>
          <w:sz w:val="28"/>
          <w:szCs w:val="28"/>
        </w:rPr>
        <w:t xml:space="preserve">Each gram of cream contains </w:t>
      </w:r>
      <w:r w:rsidRPr="00E976E3">
        <w:rPr>
          <w:bCs/>
          <w:color w:val="FF0000"/>
          <w:sz w:val="28"/>
          <w:szCs w:val="28"/>
        </w:rPr>
        <w:t>&lt;GENERIC NAME&gt;&lt;STRENGTH&gt;</w:t>
      </w:r>
    </w:p>
    <w:p w14:paraId="7C3C7308" w14:textId="77777777" w:rsidR="0091430E" w:rsidRPr="00E976E3" w:rsidRDefault="00000000" w:rsidP="0091430E">
      <w:pPr>
        <w:pStyle w:val="ListParagraph"/>
        <w:ind w:left="360"/>
        <w:rPr>
          <w:rFonts w:cs="Times New Roman"/>
          <w:bCs/>
          <w:sz w:val="28"/>
          <w:szCs w:val="28"/>
          <w:u w:val="single" w:color="000000"/>
        </w:rPr>
      </w:pPr>
      <w:r w:rsidRPr="00E976E3">
        <w:rPr>
          <w:rFonts w:cs="Times New Roman"/>
          <w:bCs/>
          <w:sz w:val="28"/>
          <w:szCs w:val="28"/>
          <w:u w:val="single" w:color="000000"/>
        </w:rPr>
        <w:t>Excipients of known effect:</w:t>
      </w:r>
    </w:p>
    <w:p w14:paraId="4C56EF8B" w14:textId="77777777" w:rsidR="0091430E" w:rsidRPr="00E976E3" w:rsidRDefault="00000000" w:rsidP="0091430E">
      <w:pPr>
        <w:pStyle w:val="ListParagraph"/>
        <w:ind w:left="360"/>
        <w:rPr>
          <w:rFonts w:cs="Times New Roman"/>
          <w:bCs/>
          <w:color w:val="FF0000"/>
          <w:sz w:val="28"/>
          <w:szCs w:val="28"/>
        </w:rPr>
      </w:pPr>
      <w:r w:rsidRPr="00E976E3">
        <w:rPr>
          <w:rFonts w:cs="Times New Roman"/>
          <w:bCs/>
          <w:color w:val="FF0000"/>
          <w:sz w:val="28"/>
          <w:szCs w:val="28"/>
        </w:rPr>
        <w:t>&lt;REGARDING THE APPROVAL&gt;</w:t>
      </w:r>
    </w:p>
    <w:p w14:paraId="280EECCD" w14:textId="77777777" w:rsidR="00E976E3" w:rsidRPr="00E976E3" w:rsidRDefault="00000000" w:rsidP="00E976E3">
      <w:pPr>
        <w:pStyle w:val="ListParagraph"/>
        <w:ind w:left="357"/>
        <w:contextualSpacing w:val="0"/>
        <w:rPr>
          <w:rFonts w:cs="Times New Roman"/>
          <w:bCs/>
          <w:sz w:val="28"/>
          <w:szCs w:val="28"/>
        </w:rPr>
      </w:pPr>
      <w:r w:rsidRPr="00E976E3">
        <w:rPr>
          <w:rFonts w:cs="Times New Roman"/>
          <w:bCs/>
          <w:sz w:val="28"/>
          <w:szCs w:val="28"/>
        </w:rPr>
        <w:t>For a full list of excipients, see section 6.1</w:t>
      </w:r>
    </w:p>
    <w:p w14:paraId="33A3E19B" w14:textId="77777777" w:rsidR="00E976E3" w:rsidRPr="00E976E3" w:rsidRDefault="00000000" w:rsidP="00E976E3">
      <w:pPr>
        <w:pStyle w:val="ListParagraph"/>
        <w:numPr>
          <w:ilvl w:val="0"/>
          <w:numId w:val="2"/>
        </w:numPr>
        <w:contextualSpacing w:val="0"/>
        <w:rPr>
          <w:rFonts w:cs="Times New Roman"/>
          <w:b/>
          <w:bCs/>
          <w:sz w:val="28"/>
          <w:szCs w:val="28"/>
        </w:rPr>
      </w:pPr>
      <w:r w:rsidRPr="00E976E3">
        <w:rPr>
          <w:rFonts w:cs="Times New Roman"/>
          <w:b/>
          <w:bCs/>
          <w:sz w:val="28"/>
          <w:szCs w:val="28"/>
        </w:rPr>
        <w:t>PHARMACEUTICAL FORM</w:t>
      </w:r>
    </w:p>
    <w:p w14:paraId="541AA89F" w14:textId="77777777" w:rsidR="00E976E3" w:rsidRPr="00E976E3" w:rsidRDefault="00000000" w:rsidP="00E976E3">
      <w:pPr>
        <w:pStyle w:val="ListParagraph"/>
        <w:ind w:left="357"/>
        <w:contextualSpacing w:val="0"/>
        <w:rPr>
          <w:sz w:val="28"/>
          <w:szCs w:val="28"/>
        </w:rPr>
      </w:pPr>
      <w:r w:rsidRPr="00E976E3">
        <w:rPr>
          <w:sz w:val="28"/>
          <w:szCs w:val="28"/>
        </w:rPr>
        <w:t>Cream</w:t>
      </w:r>
    </w:p>
    <w:p w14:paraId="2956317E" w14:textId="77777777" w:rsidR="00E976E3" w:rsidRPr="00E976E3" w:rsidRDefault="00000000" w:rsidP="00E976E3">
      <w:pPr>
        <w:pStyle w:val="ListParagraph"/>
        <w:ind w:left="360"/>
        <w:contextualSpacing w:val="0"/>
        <w:rPr>
          <w:rFonts w:cs="Times New Roman"/>
          <w:bCs/>
          <w:color w:val="FF0000"/>
          <w:sz w:val="28"/>
          <w:szCs w:val="28"/>
        </w:rPr>
      </w:pPr>
      <w:r w:rsidRPr="00E976E3">
        <w:rPr>
          <w:rFonts w:cs="Times New Roman"/>
          <w:bCs/>
          <w:color w:val="FF0000"/>
          <w:sz w:val="28"/>
          <w:szCs w:val="28"/>
        </w:rPr>
        <w:t>&lt;REGARDING THE APPROVAL&gt;</w:t>
      </w:r>
    </w:p>
    <w:p w14:paraId="18A0239F" w14:textId="77777777" w:rsidR="00E976E3" w:rsidRPr="00E976E3" w:rsidRDefault="00000000" w:rsidP="00E976E3">
      <w:pPr>
        <w:pStyle w:val="ListParagraph"/>
        <w:numPr>
          <w:ilvl w:val="0"/>
          <w:numId w:val="2"/>
        </w:numPr>
        <w:contextualSpacing w:val="0"/>
        <w:rPr>
          <w:rFonts w:cs="Times New Roman"/>
          <w:b/>
          <w:bCs/>
          <w:sz w:val="28"/>
          <w:szCs w:val="28"/>
        </w:rPr>
      </w:pPr>
      <w:r w:rsidRPr="00E976E3">
        <w:rPr>
          <w:rFonts w:cs="Times New Roman"/>
          <w:b/>
          <w:bCs/>
          <w:sz w:val="28"/>
          <w:szCs w:val="28"/>
        </w:rPr>
        <w:t>CLINICAL PARTICULARS</w:t>
      </w:r>
    </w:p>
    <w:p w14:paraId="285D0D82" w14:textId="125D194C" w:rsidR="0091430E" w:rsidRPr="00E976E3" w:rsidRDefault="00000000" w:rsidP="00E976E3">
      <w:pPr>
        <w:pStyle w:val="ListParagraph"/>
        <w:numPr>
          <w:ilvl w:val="1"/>
          <w:numId w:val="2"/>
        </w:numPr>
        <w:contextualSpacing w:val="0"/>
        <w:rPr>
          <w:rFonts w:cs="Times New Roman"/>
          <w:b/>
          <w:bCs/>
          <w:sz w:val="28"/>
          <w:szCs w:val="28"/>
        </w:rPr>
      </w:pPr>
      <w:r w:rsidRPr="00E976E3">
        <w:rPr>
          <w:b/>
          <w:bCs/>
          <w:sz w:val="28"/>
          <w:szCs w:val="28"/>
        </w:rPr>
        <w:t>Therapeutic indications</w:t>
      </w:r>
    </w:p>
    <w:p w14:paraId="3BF3921E" w14:textId="77777777" w:rsidR="00E976E3" w:rsidRDefault="00E976E3" w:rsidP="00E976E3">
      <w:pPr>
        <w:pStyle w:val="ListParagraph"/>
        <w:ind w:left="792"/>
        <w:contextualSpacing w:val="0"/>
        <w:rPr>
          <w:rFonts w:cs="Times New Roman"/>
          <w:sz w:val="28"/>
          <w:szCs w:val="28"/>
        </w:rPr>
      </w:pPr>
      <w:r w:rsidRPr="00E976E3">
        <w:rPr>
          <w:rFonts w:cs="Times New Roman"/>
          <w:sz w:val="28"/>
          <w:szCs w:val="28"/>
        </w:rPr>
        <w:t>For the treatment of cutaneous candidiasis, dermatophytosis and pityriasis versicolor.</w:t>
      </w:r>
    </w:p>
    <w:p w14:paraId="6A0BC738" w14:textId="77777777" w:rsidR="00E976E3" w:rsidRDefault="00000000" w:rsidP="00E976E3">
      <w:pPr>
        <w:pStyle w:val="ListParagraph"/>
        <w:numPr>
          <w:ilvl w:val="1"/>
          <w:numId w:val="2"/>
        </w:numPr>
        <w:contextualSpacing w:val="0"/>
        <w:rPr>
          <w:rFonts w:cs="Times New Roman"/>
          <w:b/>
          <w:bCs/>
          <w:sz w:val="28"/>
          <w:szCs w:val="28"/>
        </w:rPr>
      </w:pPr>
      <w:r w:rsidRPr="00E976E3">
        <w:rPr>
          <w:rFonts w:cs="Times New Roman"/>
          <w:b/>
          <w:bCs/>
          <w:sz w:val="28"/>
          <w:szCs w:val="28"/>
        </w:rPr>
        <w:t>Posology and method of administration</w:t>
      </w:r>
    </w:p>
    <w:p w14:paraId="605CA261" w14:textId="77777777" w:rsidR="00E976E3" w:rsidRDefault="00000000" w:rsidP="00E976E3">
      <w:pPr>
        <w:pStyle w:val="ListParagraph"/>
        <w:ind w:left="792"/>
        <w:contextualSpacing w:val="0"/>
        <w:rPr>
          <w:sz w:val="28"/>
          <w:szCs w:val="32"/>
        </w:rPr>
      </w:pPr>
      <w:r w:rsidRPr="00E976E3">
        <w:rPr>
          <w:sz w:val="28"/>
          <w:szCs w:val="32"/>
        </w:rPr>
        <w:t>For cutaneous administration.</w:t>
      </w:r>
    </w:p>
    <w:p w14:paraId="01FAC5B7" w14:textId="77777777" w:rsidR="00E976E3" w:rsidRDefault="00000000" w:rsidP="00E976E3">
      <w:pPr>
        <w:pStyle w:val="ListParagraph"/>
        <w:ind w:left="794"/>
        <w:contextualSpacing w:val="0"/>
        <w:rPr>
          <w:rFonts w:cs="Times New Roman"/>
          <w:bCs/>
          <w:sz w:val="28"/>
          <w:szCs w:val="28"/>
          <w:u w:val="single"/>
        </w:rPr>
      </w:pPr>
      <w:r w:rsidRPr="00E976E3">
        <w:rPr>
          <w:rFonts w:cs="Times New Roman"/>
          <w:bCs/>
          <w:sz w:val="28"/>
          <w:szCs w:val="28"/>
          <w:u w:val="single"/>
        </w:rPr>
        <w:t>Dosage</w:t>
      </w:r>
    </w:p>
    <w:p w14:paraId="60C7C75A" w14:textId="77777777" w:rsidR="00E976E3" w:rsidRDefault="00000000" w:rsidP="00E976E3">
      <w:pPr>
        <w:pStyle w:val="ListParagraph"/>
        <w:ind w:left="792"/>
        <w:contextualSpacing w:val="0"/>
        <w:rPr>
          <w:rFonts w:cs="Times New Roman"/>
          <w:bCs/>
          <w:sz w:val="28"/>
          <w:szCs w:val="28"/>
        </w:rPr>
      </w:pPr>
      <w:r w:rsidRPr="00E976E3">
        <w:rPr>
          <w:rFonts w:cs="Times New Roman"/>
          <w:bCs/>
          <w:sz w:val="28"/>
          <w:szCs w:val="28"/>
        </w:rPr>
        <w:t>The dosage regimen is the same for all patients.</w:t>
      </w:r>
    </w:p>
    <w:p w14:paraId="70D0583F" w14:textId="2681E8AC" w:rsidR="005A16F9" w:rsidRPr="00E976E3" w:rsidRDefault="00000000" w:rsidP="00E976E3">
      <w:pPr>
        <w:pStyle w:val="ListParagraph"/>
        <w:ind w:left="794"/>
        <w:contextualSpacing w:val="0"/>
        <w:rPr>
          <w:rFonts w:cs="Times New Roman"/>
          <w:b/>
          <w:bCs/>
          <w:sz w:val="32"/>
          <w:szCs w:val="32"/>
        </w:rPr>
      </w:pPr>
      <w:r w:rsidRPr="00E976E3">
        <w:rPr>
          <w:rFonts w:cs="Times New Roman"/>
          <w:bCs/>
          <w:sz w:val="28"/>
          <w:szCs w:val="28"/>
        </w:rPr>
        <w:lastRenderedPageBreak/>
        <w:t>Apply twice daily to the affected part and rub into the skin gently with the finger.</w:t>
      </w:r>
    </w:p>
    <w:p w14:paraId="03D652B1" w14:textId="77777777" w:rsidR="005A16F9" w:rsidRPr="00E976E3" w:rsidRDefault="00000000" w:rsidP="00E976E3">
      <w:pPr>
        <w:ind w:left="731" w:hanging="11"/>
        <w:rPr>
          <w:bCs/>
          <w:sz w:val="28"/>
          <w:szCs w:val="28"/>
        </w:rPr>
      </w:pPr>
      <w:r w:rsidRPr="00E976E3">
        <w:rPr>
          <w:bCs/>
          <w:sz w:val="28"/>
          <w:szCs w:val="28"/>
        </w:rPr>
        <w:t>The usual treatment duration is 2 to 4 weeks.</w:t>
      </w:r>
    </w:p>
    <w:p w14:paraId="04577854" w14:textId="77777777" w:rsidR="00E976E3" w:rsidRDefault="00000000" w:rsidP="00E976E3">
      <w:pPr>
        <w:ind w:left="720"/>
        <w:rPr>
          <w:bCs/>
          <w:iCs/>
          <w:sz w:val="28"/>
          <w:szCs w:val="28"/>
        </w:rPr>
      </w:pPr>
      <w:r w:rsidRPr="00E976E3">
        <w:rPr>
          <w:bCs/>
          <w:iCs/>
          <w:sz w:val="28"/>
          <w:szCs w:val="28"/>
        </w:rPr>
        <w:t>If no improvement in symptoms is experienced after 4 weeks, the treatment should be reassessed.</w:t>
      </w:r>
    </w:p>
    <w:p w14:paraId="07385459" w14:textId="77777777" w:rsidR="00E976E3" w:rsidRPr="00E976E3" w:rsidRDefault="00000000" w:rsidP="00E976E3">
      <w:pPr>
        <w:pStyle w:val="ListParagraph"/>
        <w:numPr>
          <w:ilvl w:val="1"/>
          <w:numId w:val="2"/>
        </w:numPr>
        <w:ind w:left="788" w:hanging="431"/>
        <w:contextualSpacing w:val="0"/>
        <w:jc w:val="left"/>
        <w:rPr>
          <w:b/>
          <w:iCs/>
          <w:sz w:val="28"/>
          <w:szCs w:val="28"/>
        </w:rPr>
      </w:pPr>
      <w:r w:rsidRPr="00E976E3">
        <w:rPr>
          <w:b/>
          <w:sz w:val="28"/>
          <w:szCs w:val="28"/>
        </w:rPr>
        <w:t>Contraindications</w:t>
      </w:r>
    </w:p>
    <w:p w14:paraId="6200AF26" w14:textId="77777777" w:rsidR="00E976E3" w:rsidRDefault="00E976E3" w:rsidP="00E976E3">
      <w:pPr>
        <w:pStyle w:val="ListParagraph"/>
        <w:ind w:left="794"/>
        <w:contextualSpacing w:val="0"/>
        <w:rPr>
          <w:bCs/>
          <w:sz w:val="28"/>
          <w:szCs w:val="28"/>
        </w:rPr>
      </w:pPr>
      <w:r w:rsidRPr="00E976E3">
        <w:rPr>
          <w:bCs/>
          <w:color w:val="FF0000"/>
          <w:sz w:val="28"/>
          <w:szCs w:val="28"/>
        </w:rPr>
        <w:t>&lt;TRADE NAME&gt;</w:t>
      </w:r>
      <w:r w:rsidRPr="00E976E3">
        <w:rPr>
          <w:b/>
          <w:color w:val="FF0000"/>
          <w:sz w:val="28"/>
          <w:szCs w:val="28"/>
        </w:rPr>
        <w:t xml:space="preserve"> </w:t>
      </w:r>
      <w:r w:rsidR="00000000" w:rsidRPr="00E976E3">
        <w:rPr>
          <w:bCs/>
          <w:sz w:val="28"/>
          <w:szCs w:val="28"/>
        </w:rPr>
        <w:t>Cream is contraindicated in individuals who have shown hypersensitivity to any of its ingredients.</w:t>
      </w:r>
    </w:p>
    <w:p w14:paraId="5DFA0991" w14:textId="77777777" w:rsidR="00E976E3" w:rsidRPr="00E976E3" w:rsidRDefault="00000000" w:rsidP="00E976E3">
      <w:pPr>
        <w:pStyle w:val="ListParagraph"/>
        <w:numPr>
          <w:ilvl w:val="1"/>
          <w:numId w:val="2"/>
        </w:numPr>
        <w:ind w:left="788" w:hanging="431"/>
        <w:contextualSpacing w:val="0"/>
        <w:rPr>
          <w:b/>
          <w:iCs/>
          <w:sz w:val="28"/>
          <w:szCs w:val="28"/>
        </w:rPr>
      </w:pPr>
      <w:r w:rsidRPr="00E976E3">
        <w:rPr>
          <w:rFonts w:cs="Times New Roman"/>
          <w:b/>
          <w:sz w:val="28"/>
          <w:szCs w:val="28"/>
        </w:rPr>
        <w:t>Special warnings and precautions for use</w:t>
      </w:r>
    </w:p>
    <w:p w14:paraId="1D556887" w14:textId="77777777" w:rsidR="00E976E3" w:rsidRDefault="00000000" w:rsidP="00E976E3">
      <w:pPr>
        <w:pStyle w:val="ListParagraph"/>
        <w:ind w:left="794"/>
        <w:contextualSpacing w:val="0"/>
        <w:rPr>
          <w:bCs/>
          <w:sz w:val="28"/>
          <w:szCs w:val="28"/>
        </w:rPr>
      </w:pPr>
      <w:r w:rsidRPr="00E976E3">
        <w:rPr>
          <w:bCs/>
          <w:sz w:val="28"/>
          <w:szCs w:val="28"/>
        </w:rPr>
        <w:t xml:space="preserve">For external use only. Care should be taken not to get </w:t>
      </w:r>
      <w:r w:rsidR="00E976E3" w:rsidRPr="00E976E3">
        <w:rPr>
          <w:bCs/>
          <w:color w:val="FF0000"/>
          <w:sz w:val="28"/>
          <w:szCs w:val="28"/>
        </w:rPr>
        <w:t>&lt;TRADE NAME&gt;</w:t>
      </w:r>
      <w:r w:rsidRPr="00E976E3">
        <w:rPr>
          <w:bCs/>
          <w:sz w:val="28"/>
          <w:szCs w:val="28"/>
        </w:rPr>
        <w:t xml:space="preserve"> Cream in the eyes or mouth. If the product is accidently applied to the eyes the patient should wash with clean water or saline and seek medical attention if symptoms persist.</w:t>
      </w:r>
    </w:p>
    <w:p w14:paraId="080F92A1" w14:textId="77777777" w:rsidR="00E976E3" w:rsidRDefault="00000000" w:rsidP="00E976E3">
      <w:pPr>
        <w:pStyle w:val="ListParagraph"/>
        <w:ind w:left="794"/>
        <w:contextualSpacing w:val="0"/>
        <w:rPr>
          <w:rFonts w:cs="Times New Roman"/>
          <w:bCs/>
          <w:sz w:val="28"/>
          <w:szCs w:val="28"/>
        </w:rPr>
      </w:pPr>
      <w:r w:rsidRPr="00E976E3">
        <w:rPr>
          <w:rFonts w:cs="Times New Roman"/>
          <w:bCs/>
          <w:sz w:val="28"/>
          <w:szCs w:val="28"/>
        </w:rPr>
        <w:t>If a reaction suggesting sensitivity or chemical irritation should occur, use of the medication should be discontinued.</w:t>
      </w:r>
    </w:p>
    <w:p w14:paraId="67508E12" w14:textId="77777777" w:rsidR="00E976E3" w:rsidRDefault="00000000" w:rsidP="00E976E3">
      <w:pPr>
        <w:pStyle w:val="ListParagraph"/>
        <w:ind w:left="794"/>
        <w:contextualSpacing w:val="0"/>
        <w:rPr>
          <w:rFonts w:cs="Times New Roman"/>
          <w:bCs/>
          <w:sz w:val="28"/>
          <w:szCs w:val="28"/>
        </w:rPr>
      </w:pPr>
      <w:r w:rsidRPr="00E976E3">
        <w:rPr>
          <w:rFonts w:cs="Times New Roman"/>
          <w:bCs/>
          <w:sz w:val="28"/>
          <w:szCs w:val="28"/>
        </w:rPr>
        <w:t>Care should be taken in the presence of eczematous dermatitis.</w:t>
      </w:r>
    </w:p>
    <w:p w14:paraId="1017BFA3" w14:textId="77777777" w:rsidR="00E976E3" w:rsidRDefault="00000000" w:rsidP="00E976E3">
      <w:pPr>
        <w:pStyle w:val="ListParagraph"/>
        <w:ind w:left="794"/>
        <w:contextualSpacing w:val="0"/>
        <w:rPr>
          <w:rFonts w:cs="Times New Roman"/>
          <w:bCs/>
          <w:sz w:val="28"/>
          <w:szCs w:val="28"/>
          <w:u w:val="single" w:color="000000"/>
        </w:rPr>
      </w:pPr>
      <w:r w:rsidRPr="00E976E3">
        <w:rPr>
          <w:rFonts w:cs="Times New Roman"/>
          <w:bCs/>
          <w:sz w:val="28"/>
          <w:szCs w:val="28"/>
          <w:u w:val="single" w:color="000000"/>
        </w:rPr>
        <w:t>Excipients</w:t>
      </w:r>
    </w:p>
    <w:p w14:paraId="599AACF6" w14:textId="77777777" w:rsidR="00E976E3" w:rsidRDefault="00E976E3" w:rsidP="00E976E3">
      <w:pPr>
        <w:pStyle w:val="ListParagraph"/>
        <w:ind w:left="794"/>
        <w:contextualSpacing w:val="0"/>
        <w:rPr>
          <w:rFonts w:cs="Times New Roman"/>
          <w:bCs/>
          <w:color w:val="FF0000"/>
          <w:sz w:val="28"/>
          <w:szCs w:val="28"/>
        </w:rPr>
      </w:pPr>
      <w:r w:rsidRPr="00E976E3">
        <w:rPr>
          <w:rFonts w:cs="Times New Roman"/>
          <w:bCs/>
          <w:color w:val="FF0000"/>
          <w:sz w:val="28"/>
          <w:szCs w:val="28"/>
        </w:rPr>
        <w:t>&lt;REGARDING THE APPROVAL&gt;</w:t>
      </w:r>
    </w:p>
    <w:p w14:paraId="76CC9074" w14:textId="77777777" w:rsidR="00E976E3" w:rsidRDefault="00E976E3">
      <w:pPr>
        <w:spacing w:after="160" w:line="278" w:lineRule="auto"/>
        <w:ind w:left="0"/>
        <w:rPr>
          <w:b/>
          <w:sz w:val="28"/>
          <w:szCs w:val="28"/>
          <w:highlight w:val="lightGray"/>
          <w:u w:color="000000"/>
        </w:rPr>
      </w:pPr>
      <w:r>
        <w:rPr>
          <w:b/>
          <w:sz w:val="28"/>
          <w:szCs w:val="28"/>
          <w:highlight w:val="lightGray"/>
          <w:u w:color="000000"/>
        </w:rPr>
        <w:br w:type="page"/>
      </w:r>
    </w:p>
    <w:p w14:paraId="21568AB0" w14:textId="7BFB67DD" w:rsidR="00E976E3" w:rsidRPr="00E976E3" w:rsidRDefault="00000000" w:rsidP="00E976E3">
      <w:pPr>
        <w:pStyle w:val="ListParagraph"/>
        <w:numPr>
          <w:ilvl w:val="1"/>
          <w:numId w:val="2"/>
        </w:numPr>
        <w:spacing w:after="939"/>
        <w:rPr>
          <w:bCs/>
          <w:sz w:val="28"/>
          <w:szCs w:val="28"/>
          <w:u w:val="single" w:color="000000"/>
        </w:rPr>
      </w:pPr>
      <w:r w:rsidRPr="00E976E3">
        <w:rPr>
          <w:b/>
          <w:sz w:val="28"/>
          <w:szCs w:val="28"/>
        </w:rPr>
        <w:lastRenderedPageBreak/>
        <w:t>Interaction with other medicinal products and other forms of interaction</w:t>
      </w:r>
      <w:r w:rsidRPr="00E976E3">
        <w:rPr>
          <w:bCs/>
          <w:sz w:val="28"/>
          <w:szCs w:val="28"/>
        </w:rPr>
        <w:t xml:space="preserve"> </w:t>
      </w:r>
    </w:p>
    <w:p w14:paraId="04576C00" w14:textId="77777777" w:rsidR="00E976E3" w:rsidRDefault="00000000" w:rsidP="00E976E3">
      <w:pPr>
        <w:pStyle w:val="ListParagraph"/>
        <w:ind w:left="794"/>
        <w:contextualSpacing w:val="0"/>
        <w:rPr>
          <w:rFonts w:cs="Times New Roman"/>
          <w:bCs/>
          <w:sz w:val="28"/>
          <w:szCs w:val="28"/>
        </w:rPr>
      </w:pPr>
      <w:r w:rsidRPr="00E976E3">
        <w:rPr>
          <w:rFonts w:cs="Times New Roman"/>
          <w:bCs/>
          <w:sz w:val="28"/>
          <w:szCs w:val="28"/>
        </w:rPr>
        <w:t>Econazole administered systemically is known to inhibit CYP3A4/2C9. Due to the limited systemic availability after topical application, clinically relevant interactions are rare. However, in patients on oral anticoagulants, such as warfarin and acenocoumarol, caution should be exercised and anticoagulant effect should be monitored more frequently.</w:t>
      </w:r>
    </w:p>
    <w:p w14:paraId="7EE63F4E" w14:textId="77777777" w:rsidR="00E976E3" w:rsidRDefault="00000000" w:rsidP="00E976E3">
      <w:pPr>
        <w:pStyle w:val="ListParagraph"/>
        <w:ind w:left="794"/>
        <w:contextualSpacing w:val="0"/>
        <w:rPr>
          <w:rFonts w:cs="Times New Roman"/>
          <w:bCs/>
          <w:sz w:val="28"/>
          <w:szCs w:val="28"/>
        </w:rPr>
      </w:pPr>
      <w:r w:rsidRPr="00E976E3">
        <w:rPr>
          <w:rFonts w:cs="Times New Roman"/>
          <w:bCs/>
          <w:sz w:val="28"/>
          <w:szCs w:val="28"/>
        </w:rPr>
        <w:t>Adjustment of the oral anticoagulant dosage may be necessary during the treatment with econazole and after its termination</w:t>
      </w:r>
    </w:p>
    <w:p w14:paraId="4EA5CAA9" w14:textId="77777777" w:rsidR="00E976E3" w:rsidRPr="00E976E3" w:rsidRDefault="00000000" w:rsidP="00E976E3">
      <w:pPr>
        <w:pStyle w:val="ListParagraph"/>
        <w:numPr>
          <w:ilvl w:val="1"/>
          <w:numId w:val="2"/>
        </w:numPr>
        <w:ind w:left="788" w:hanging="431"/>
        <w:contextualSpacing w:val="0"/>
        <w:rPr>
          <w:rFonts w:cs="Times New Roman"/>
          <w:b/>
          <w:sz w:val="28"/>
          <w:szCs w:val="28"/>
          <w:u w:val="single" w:color="000000"/>
        </w:rPr>
      </w:pPr>
      <w:r w:rsidRPr="00E976E3">
        <w:rPr>
          <w:rFonts w:cs="Times New Roman"/>
          <w:b/>
          <w:sz w:val="28"/>
          <w:szCs w:val="28"/>
        </w:rPr>
        <w:t>Fertility, pregnancy and lactation</w:t>
      </w:r>
    </w:p>
    <w:p w14:paraId="41FA8C9D" w14:textId="77777777" w:rsidR="00E976E3" w:rsidRDefault="00000000" w:rsidP="00E976E3">
      <w:pPr>
        <w:pStyle w:val="ListParagraph"/>
        <w:ind w:left="794"/>
        <w:contextualSpacing w:val="0"/>
        <w:rPr>
          <w:bCs/>
          <w:sz w:val="28"/>
          <w:szCs w:val="28"/>
          <w:u w:val="single" w:color="000000"/>
        </w:rPr>
      </w:pPr>
      <w:r w:rsidRPr="00E976E3">
        <w:rPr>
          <w:bCs/>
          <w:sz w:val="28"/>
          <w:szCs w:val="28"/>
          <w:u w:val="single" w:color="000000"/>
        </w:rPr>
        <w:t>Pregnancy</w:t>
      </w:r>
    </w:p>
    <w:p w14:paraId="5819A99E" w14:textId="17BD3624" w:rsidR="00E976E3" w:rsidRDefault="00000000" w:rsidP="00E976E3">
      <w:pPr>
        <w:pStyle w:val="ListParagraph"/>
        <w:ind w:left="794"/>
        <w:contextualSpacing w:val="0"/>
        <w:rPr>
          <w:rFonts w:cs="Times New Roman"/>
          <w:bCs/>
          <w:sz w:val="28"/>
          <w:szCs w:val="28"/>
        </w:rPr>
      </w:pPr>
      <w:r w:rsidRPr="00E976E3">
        <w:rPr>
          <w:rFonts w:cs="Times New Roman"/>
          <w:bCs/>
          <w:sz w:val="28"/>
          <w:szCs w:val="28"/>
        </w:rPr>
        <w:t>Systemic absorption of econazole is low (</w:t>
      </w:r>
      <w:r w:rsidRPr="00E976E3">
        <w:rPr>
          <w:rFonts w:eastAsia="Quattrocento Sans" w:cs="Times New Roman"/>
          <w:bCs/>
          <w:sz w:val="28"/>
          <w:szCs w:val="28"/>
        </w:rPr>
        <w:t xml:space="preserve">&lt; </w:t>
      </w:r>
      <w:r w:rsidRPr="00E976E3">
        <w:rPr>
          <w:rFonts w:cs="Times New Roman"/>
          <w:bCs/>
          <w:sz w:val="28"/>
          <w:szCs w:val="28"/>
        </w:rPr>
        <w:t xml:space="preserve">10%) after topical application to the intact skin in humans. There are no adequate and well-controlled studies on adverse effects from the use of </w:t>
      </w:r>
      <w:r w:rsidR="00E976E3" w:rsidRPr="00E976E3">
        <w:rPr>
          <w:bCs/>
          <w:color w:val="FF0000"/>
          <w:sz w:val="28"/>
          <w:szCs w:val="28"/>
        </w:rPr>
        <w:t>&lt;TRADE NAME&gt;</w:t>
      </w:r>
      <w:r w:rsidRPr="00E976E3">
        <w:rPr>
          <w:rFonts w:cs="Times New Roman"/>
          <w:bCs/>
          <w:sz w:val="28"/>
          <w:szCs w:val="28"/>
        </w:rPr>
        <w:t>cream in pregnant women, and no other relevant epidemiological data are available.</w:t>
      </w:r>
    </w:p>
    <w:p w14:paraId="576091AA" w14:textId="46718903" w:rsidR="005A16F9" w:rsidRPr="00E976E3" w:rsidRDefault="00000000" w:rsidP="00E976E3">
      <w:pPr>
        <w:pStyle w:val="ListParagraph"/>
        <w:spacing w:after="939"/>
        <w:ind w:left="792"/>
        <w:rPr>
          <w:rFonts w:cs="Times New Roman"/>
          <w:bCs/>
          <w:sz w:val="28"/>
          <w:szCs w:val="28"/>
        </w:rPr>
      </w:pPr>
      <w:r w:rsidRPr="00E976E3">
        <w:rPr>
          <w:rFonts w:cs="Times New Roman"/>
          <w:bCs/>
          <w:sz w:val="28"/>
          <w:szCs w:val="28"/>
        </w:rPr>
        <w:t>Animal studies have shown reproductive toxicity (see section 5.3).</w:t>
      </w:r>
      <w:r w:rsidR="00E976E3">
        <w:rPr>
          <w:rFonts w:cs="Times New Roman"/>
          <w:bCs/>
          <w:sz w:val="28"/>
          <w:szCs w:val="28"/>
        </w:rPr>
        <w:t xml:space="preserve"> </w:t>
      </w:r>
      <w:r w:rsidRPr="00E976E3">
        <w:rPr>
          <w:rFonts w:cs="Times New Roman"/>
          <w:bCs/>
          <w:sz w:val="28"/>
          <w:szCs w:val="28"/>
        </w:rPr>
        <w:t xml:space="preserve">Because there is systemic absorption, use of </w:t>
      </w:r>
      <w:r w:rsidR="00E976E3" w:rsidRPr="00E976E3">
        <w:rPr>
          <w:bCs/>
          <w:color w:val="FF0000"/>
          <w:sz w:val="28"/>
          <w:szCs w:val="28"/>
        </w:rPr>
        <w:t>&lt;TRADE NAME&gt;</w:t>
      </w:r>
      <w:r w:rsidR="00E976E3" w:rsidRPr="00E976E3">
        <w:rPr>
          <w:b/>
          <w:color w:val="FF0000"/>
          <w:sz w:val="28"/>
          <w:szCs w:val="28"/>
        </w:rPr>
        <w:t xml:space="preserve"> </w:t>
      </w:r>
      <w:r w:rsidRPr="00E976E3">
        <w:rPr>
          <w:rFonts w:cs="Times New Roman"/>
          <w:bCs/>
          <w:sz w:val="28"/>
          <w:szCs w:val="28"/>
        </w:rPr>
        <w:t>Cream is not recommended during pregnancy.</w:t>
      </w:r>
    </w:p>
    <w:p w14:paraId="036642BB" w14:textId="77777777" w:rsidR="00E976E3" w:rsidRDefault="00E976E3">
      <w:pPr>
        <w:rPr>
          <w:bCs/>
          <w:sz w:val="28"/>
          <w:szCs w:val="28"/>
          <w:u w:val="single" w:color="000000"/>
        </w:rPr>
      </w:pPr>
      <w:r>
        <w:rPr>
          <w:bCs/>
          <w:sz w:val="28"/>
          <w:szCs w:val="28"/>
          <w:u w:val="single" w:color="000000"/>
        </w:rPr>
        <w:br w:type="page"/>
      </w:r>
    </w:p>
    <w:p w14:paraId="5769077B" w14:textId="1FD682D7" w:rsidR="00E976E3" w:rsidRDefault="00000000" w:rsidP="00E976E3">
      <w:pPr>
        <w:spacing w:line="265" w:lineRule="auto"/>
        <w:rPr>
          <w:bCs/>
          <w:sz w:val="28"/>
          <w:szCs w:val="28"/>
        </w:rPr>
      </w:pPr>
      <w:r w:rsidRPr="00E976E3">
        <w:rPr>
          <w:bCs/>
          <w:sz w:val="28"/>
          <w:szCs w:val="28"/>
          <w:u w:val="single" w:color="000000"/>
        </w:rPr>
        <w:lastRenderedPageBreak/>
        <w:t>Breast-feeding</w:t>
      </w:r>
    </w:p>
    <w:p w14:paraId="3C8E8746" w14:textId="1C060C9F" w:rsidR="005A16F9" w:rsidRPr="00E976E3" w:rsidRDefault="00000000" w:rsidP="00E976E3">
      <w:pPr>
        <w:rPr>
          <w:bCs/>
          <w:sz w:val="28"/>
          <w:szCs w:val="28"/>
        </w:rPr>
      </w:pPr>
      <w:r w:rsidRPr="00E976E3">
        <w:rPr>
          <w:bCs/>
          <w:sz w:val="28"/>
          <w:szCs w:val="28"/>
        </w:rPr>
        <w:t xml:space="preserve">It is not known whether cutaneous administration of </w:t>
      </w:r>
      <w:r w:rsidR="00E976E3" w:rsidRPr="00E976E3">
        <w:rPr>
          <w:bCs/>
          <w:color w:val="FF0000"/>
          <w:sz w:val="28"/>
          <w:szCs w:val="28"/>
        </w:rPr>
        <w:t>&lt;TRADE NAME&gt;</w:t>
      </w:r>
      <w:r w:rsidR="00E976E3" w:rsidRPr="00E976E3">
        <w:rPr>
          <w:b/>
          <w:color w:val="FF0000"/>
          <w:sz w:val="28"/>
          <w:szCs w:val="28"/>
        </w:rPr>
        <w:t xml:space="preserve"> </w:t>
      </w:r>
      <w:r w:rsidRPr="00E976E3">
        <w:rPr>
          <w:bCs/>
          <w:sz w:val="28"/>
          <w:szCs w:val="28"/>
        </w:rPr>
        <w:t>cream results in sufficient systemic absorption of econazole nitrate to produce detectable quantities in breast milk in humans (see section 5.3).</w:t>
      </w:r>
    </w:p>
    <w:p w14:paraId="42E854C8" w14:textId="77777777" w:rsidR="005A16F9" w:rsidRPr="00E976E3" w:rsidRDefault="00000000" w:rsidP="00E976E3">
      <w:pPr>
        <w:ind w:right="57"/>
        <w:rPr>
          <w:bCs/>
          <w:sz w:val="28"/>
          <w:szCs w:val="28"/>
        </w:rPr>
      </w:pPr>
      <w:r w:rsidRPr="00E976E3">
        <w:rPr>
          <w:bCs/>
          <w:sz w:val="28"/>
          <w:szCs w:val="28"/>
        </w:rPr>
        <w:t>A risk to the breast-fed child cannot be excluded.</w:t>
      </w:r>
    </w:p>
    <w:p w14:paraId="66095A04" w14:textId="6109B6C2" w:rsidR="005A16F9" w:rsidRPr="00E976E3" w:rsidRDefault="00000000" w:rsidP="00E976E3">
      <w:pPr>
        <w:ind w:left="720" w:right="54"/>
        <w:rPr>
          <w:bCs/>
          <w:sz w:val="28"/>
          <w:szCs w:val="28"/>
        </w:rPr>
      </w:pPr>
      <w:r w:rsidRPr="00E976E3">
        <w:rPr>
          <w:bCs/>
          <w:sz w:val="28"/>
          <w:szCs w:val="28"/>
        </w:rPr>
        <w:t xml:space="preserve">A decision must be made whether to discontinue breast-feeding or to discontinue/abstain from </w:t>
      </w:r>
      <w:r w:rsidR="00E976E3" w:rsidRPr="00E976E3">
        <w:rPr>
          <w:bCs/>
          <w:color w:val="FF0000"/>
          <w:sz w:val="28"/>
          <w:szCs w:val="28"/>
        </w:rPr>
        <w:t>&lt;TRADE NAME&gt;</w:t>
      </w:r>
      <w:r w:rsidR="00E976E3" w:rsidRPr="00E976E3">
        <w:rPr>
          <w:b/>
          <w:color w:val="FF0000"/>
          <w:sz w:val="28"/>
          <w:szCs w:val="28"/>
        </w:rPr>
        <w:t xml:space="preserve"> </w:t>
      </w:r>
      <w:r w:rsidRPr="00E976E3">
        <w:rPr>
          <w:bCs/>
          <w:sz w:val="28"/>
          <w:szCs w:val="28"/>
        </w:rPr>
        <w:t>Cream therapy taking into account the benefit of breast-feeding for the child and benefit of therapy for the woman.</w:t>
      </w:r>
    </w:p>
    <w:p w14:paraId="5065F003" w14:textId="77777777" w:rsidR="00E976E3" w:rsidRDefault="00000000" w:rsidP="00E976E3">
      <w:pPr>
        <w:spacing w:after="291"/>
        <w:ind w:left="720" w:right="54"/>
        <w:rPr>
          <w:bCs/>
          <w:sz w:val="28"/>
          <w:szCs w:val="28"/>
        </w:rPr>
      </w:pPr>
      <w:r w:rsidRPr="00E976E3">
        <w:rPr>
          <w:bCs/>
          <w:sz w:val="28"/>
          <w:szCs w:val="28"/>
        </w:rPr>
        <w:t xml:space="preserve">If </w:t>
      </w:r>
      <w:r w:rsidR="00E976E3" w:rsidRPr="00E976E3">
        <w:rPr>
          <w:bCs/>
          <w:color w:val="FF0000"/>
          <w:sz w:val="28"/>
          <w:szCs w:val="28"/>
        </w:rPr>
        <w:t>&lt;TRADE NAME&gt;</w:t>
      </w:r>
      <w:r w:rsidR="00E976E3" w:rsidRPr="00E976E3">
        <w:rPr>
          <w:b/>
          <w:color w:val="FF0000"/>
          <w:sz w:val="28"/>
          <w:szCs w:val="28"/>
        </w:rPr>
        <w:t xml:space="preserve"> </w:t>
      </w:r>
      <w:r w:rsidRPr="00E976E3">
        <w:rPr>
          <w:bCs/>
          <w:sz w:val="28"/>
          <w:szCs w:val="28"/>
        </w:rPr>
        <w:t>Cream is used while breast-feeding, care should be taken to ensure the cream is not applied to the nipple or surrounding area.</w:t>
      </w:r>
    </w:p>
    <w:p w14:paraId="1AB3AA74" w14:textId="40D54286" w:rsidR="005A16F9" w:rsidRPr="00E976E3" w:rsidRDefault="00000000" w:rsidP="00E976E3">
      <w:pPr>
        <w:spacing w:after="291"/>
        <w:ind w:left="720" w:right="54"/>
        <w:rPr>
          <w:bCs/>
          <w:sz w:val="28"/>
          <w:szCs w:val="28"/>
        </w:rPr>
      </w:pPr>
      <w:r w:rsidRPr="00E976E3">
        <w:rPr>
          <w:bCs/>
          <w:sz w:val="28"/>
          <w:szCs w:val="28"/>
          <w:u w:val="single" w:color="000000"/>
        </w:rPr>
        <w:t>Fertility</w:t>
      </w:r>
    </w:p>
    <w:p w14:paraId="799EDD9C" w14:textId="77777777" w:rsidR="005A16F9" w:rsidRPr="00E976E3" w:rsidRDefault="00000000" w:rsidP="00E976E3">
      <w:pPr>
        <w:ind w:left="720" w:right="54"/>
        <w:rPr>
          <w:bCs/>
          <w:sz w:val="28"/>
          <w:szCs w:val="28"/>
        </w:rPr>
      </w:pPr>
      <w:r w:rsidRPr="00E976E3">
        <w:rPr>
          <w:bCs/>
          <w:sz w:val="28"/>
          <w:szCs w:val="28"/>
        </w:rPr>
        <w:t>Results of econazole animal reproduction studies showed no effects on fertility.</w:t>
      </w:r>
    </w:p>
    <w:p w14:paraId="5EA88FB9" w14:textId="2667B9B1" w:rsidR="005A16F9" w:rsidRPr="00E976E3" w:rsidRDefault="00000000" w:rsidP="00E976E3">
      <w:pPr>
        <w:pStyle w:val="ListParagraph"/>
        <w:numPr>
          <w:ilvl w:val="1"/>
          <w:numId w:val="2"/>
        </w:numPr>
        <w:tabs>
          <w:tab w:val="center" w:pos="2955"/>
        </w:tabs>
        <w:spacing w:after="302" w:line="265" w:lineRule="auto"/>
        <w:rPr>
          <w:b/>
          <w:sz w:val="28"/>
          <w:szCs w:val="28"/>
        </w:rPr>
      </w:pPr>
      <w:r w:rsidRPr="00E976E3">
        <w:rPr>
          <w:b/>
          <w:sz w:val="28"/>
          <w:szCs w:val="28"/>
        </w:rPr>
        <w:t>Effects on ability to drive and use machines</w:t>
      </w:r>
    </w:p>
    <w:p w14:paraId="039E9530" w14:textId="77777777" w:rsidR="005A16F9" w:rsidRPr="00E976E3" w:rsidRDefault="00000000" w:rsidP="0091430E">
      <w:pPr>
        <w:spacing w:after="1071" w:line="277" w:lineRule="auto"/>
        <w:rPr>
          <w:bCs/>
          <w:sz w:val="28"/>
          <w:szCs w:val="28"/>
        </w:rPr>
      </w:pPr>
      <w:r w:rsidRPr="00E976E3">
        <w:rPr>
          <w:bCs/>
          <w:sz w:val="28"/>
          <w:szCs w:val="28"/>
        </w:rPr>
        <w:t>None known</w:t>
      </w:r>
    </w:p>
    <w:p w14:paraId="43CD5906" w14:textId="77777777" w:rsidR="00E976E3" w:rsidRDefault="00000000" w:rsidP="00E976E3">
      <w:pPr>
        <w:pStyle w:val="Heading2"/>
        <w:numPr>
          <w:ilvl w:val="1"/>
          <w:numId w:val="2"/>
        </w:numPr>
        <w:tabs>
          <w:tab w:val="center" w:pos="1710"/>
        </w:tabs>
        <w:spacing w:after="240" w:line="264" w:lineRule="auto"/>
        <w:ind w:left="788" w:hanging="431"/>
        <w:rPr>
          <w:sz w:val="28"/>
          <w:szCs w:val="28"/>
        </w:rPr>
      </w:pPr>
      <w:r w:rsidRPr="00E976E3">
        <w:rPr>
          <w:sz w:val="28"/>
          <w:szCs w:val="28"/>
        </w:rPr>
        <w:lastRenderedPageBreak/>
        <w:t>Undesirable effects</w:t>
      </w:r>
    </w:p>
    <w:p w14:paraId="7B142765" w14:textId="77777777" w:rsidR="00E976E3" w:rsidRDefault="00000000" w:rsidP="00E976E3">
      <w:pPr>
        <w:pStyle w:val="Heading2"/>
        <w:tabs>
          <w:tab w:val="center" w:pos="1710"/>
        </w:tabs>
        <w:spacing w:line="360" w:lineRule="auto"/>
        <w:ind w:left="792" w:firstLine="0"/>
        <w:jc w:val="thaiDistribute"/>
        <w:rPr>
          <w:b w:val="0"/>
          <w:sz w:val="28"/>
          <w:szCs w:val="28"/>
        </w:rPr>
      </w:pPr>
      <w:r w:rsidRPr="00E976E3">
        <w:rPr>
          <w:b w:val="0"/>
          <w:sz w:val="28"/>
          <w:szCs w:val="28"/>
        </w:rPr>
        <w:t>The safety of econazole nitrate cream (1%) and econazole nitrate emulsion (1%) was evaluated in 470 subjects who participated in 12 clinical trials and received at least one administration of either formulation. Based on pooled safety data from these clinical trials, the most commonly reported (</w:t>
      </w:r>
      <w:r w:rsidRPr="00E976E3">
        <w:rPr>
          <w:rFonts w:eastAsia="Arial"/>
          <w:b w:val="0"/>
          <w:sz w:val="28"/>
          <w:szCs w:val="28"/>
        </w:rPr>
        <w:t>≥</w:t>
      </w:r>
      <w:r w:rsidRPr="00E976E3">
        <w:rPr>
          <w:b w:val="0"/>
          <w:sz w:val="28"/>
          <w:szCs w:val="28"/>
        </w:rPr>
        <w:t>1% incidence) adverse reactions were (with % incidence): pruritus (1.3%), skin burning sensation (1.3%), and pain (1.1%).</w:t>
      </w:r>
    </w:p>
    <w:p w14:paraId="63BB5B08" w14:textId="77777777" w:rsidR="00E976E3" w:rsidRDefault="00000000" w:rsidP="00E976E3">
      <w:pPr>
        <w:pStyle w:val="Heading2"/>
        <w:tabs>
          <w:tab w:val="center" w:pos="1710"/>
        </w:tabs>
        <w:spacing w:line="360" w:lineRule="auto"/>
        <w:ind w:left="792" w:firstLine="0"/>
        <w:jc w:val="thaiDistribute"/>
        <w:rPr>
          <w:b w:val="0"/>
          <w:bCs/>
          <w:sz w:val="28"/>
          <w:szCs w:val="28"/>
        </w:rPr>
      </w:pPr>
      <w:r w:rsidRPr="00E976E3">
        <w:rPr>
          <w:b w:val="0"/>
          <w:bCs/>
          <w:sz w:val="28"/>
          <w:szCs w:val="28"/>
        </w:rPr>
        <w:t>Including the above-mentioned adverse reactions, the following table displays adverse reactions that have been reported with the use of PEVARYL Dermatological Formulations from either clinical trial or post-marketing experiences. The displayed frequency categories use the following convention:</w:t>
      </w:r>
    </w:p>
    <w:p w14:paraId="68BA6700" w14:textId="77777777" w:rsidR="00E976E3" w:rsidRDefault="00000000" w:rsidP="00E976E3">
      <w:pPr>
        <w:pStyle w:val="Heading2"/>
        <w:tabs>
          <w:tab w:val="center" w:pos="1710"/>
        </w:tabs>
        <w:spacing w:line="360" w:lineRule="auto"/>
        <w:ind w:left="792" w:firstLine="0"/>
        <w:jc w:val="thaiDistribute"/>
        <w:rPr>
          <w:b w:val="0"/>
          <w:bCs/>
          <w:sz w:val="28"/>
          <w:szCs w:val="28"/>
        </w:rPr>
      </w:pPr>
      <w:r w:rsidRPr="00E976E3">
        <w:rPr>
          <w:b w:val="0"/>
          <w:bCs/>
          <w:sz w:val="28"/>
          <w:szCs w:val="28"/>
        </w:rPr>
        <w:t>Very common (</w:t>
      </w:r>
      <w:r w:rsidRPr="00E976E3">
        <w:rPr>
          <w:rFonts w:eastAsia="Arial"/>
          <w:b w:val="0"/>
          <w:bCs/>
          <w:sz w:val="28"/>
          <w:szCs w:val="28"/>
        </w:rPr>
        <w:t>≥</w:t>
      </w:r>
      <w:r w:rsidRPr="00E976E3">
        <w:rPr>
          <w:b w:val="0"/>
          <w:bCs/>
          <w:sz w:val="28"/>
          <w:szCs w:val="28"/>
        </w:rPr>
        <w:t>1/10); common (</w:t>
      </w:r>
      <w:r w:rsidRPr="00E976E3">
        <w:rPr>
          <w:rFonts w:eastAsia="Arial"/>
          <w:b w:val="0"/>
          <w:bCs/>
          <w:sz w:val="28"/>
          <w:szCs w:val="28"/>
        </w:rPr>
        <w:t>≥</w:t>
      </w:r>
      <w:r w:rsidRPr="00E976E3">
        <w:rPr>
          <w:b w:val="0"/>
          <w:bCs/>
          <w:sz w:val="28"/>
          <w:szCs w:val="28"/>
        </w:rPr>
        <w:t>1/100 to &lt;1/10); uncommon (</w:t>
      </w:r>
      <w:r w:rsidRPr="00E976E3">
        <w:rPr>
          <w:rFonts w:eastAsia="Arial"/>
          <w:b w:val="0"/>
          <w:bCs/>
          <w:sz w:val="28"/>
          <w:szCs w:val="28"/>
        </w:rPr>
        <w:t>≥</w:t>
      </w:r>
      <w:r w:rsidRPr="00E976E3">
        <w:rPr>
          <w:b w:val="0"/>
          <w:bCs/>
          <w:sz w:val="28"/>
          <w:szCs w:val="28"/>
        </w:rPr>
        <w:t>1/1,000 to &lt;1/100); rare (</w:t>
      </w:r>
      <w:r w:rsidRPr="00E976E3">
        <w:rPr>
          <w:rFonts w:eastAsia="Arial"/>
          <w:b w:val="0"/>
          <w:bCs/>
          <w:sz w:val="28"/>
          <w:szCs w:val="28"/>
        </w:rPr>
        <w:t>≥</w:t>
      </w:r>
      <w:r w:rsidRPr="00E976E3">
        <w:rPr>
          <w:b w:val="0"/>
          <w:bCs/>
          <w:sz w:val="28"/>
          <w:szCs w:val="28"/>
        </w:rPr>
        <w:t>1/10,000 to &lt;1/1,000); very rare (&lt;1/10,000); and not known (cannot be estimated from the available clinical trial data).</w:t>
      </w:r>
    </w:p>
    <w:p w14:paraId="5D11BBEA" w14:textId="77777777" w:rsidR="00E976E3" w:rsidRDefault="00000000" w:rsidP="00E976E3">
      <w:pPr>
        <w:pStyle w:val="Heading2"/>
        <w:tabs>
          <w:tab w:val="center" w:pos="1710"/>
        </w:tabs>
        <w:spacing w:line="360" w:lineRule="auto"/>
        <w:ind w:left="792" w:firstLine="0"/>
        <w:jc w:val="thaiDistribute"/>
        <w:rPr>
          <w:b w:val="0"/>
          <w:bCs/>
          <w:sz w:val="28"/>
          <w:szCs w:val="28"/>
        </w:rPr>
      </w:pPr>
      <w:r w:rsidRPr="00E976E3">
        <w:rPr>
          <w:b w:val="0"/>
          <w:bCs/>
          <w:sz w:val="28"/>
          <w:szCs w:val="28"/>
        </w:rPr>
        <w:t xml:space="preserve">In the </w:t>
      </w:r>
      <w:r w:rsidR="00E976E3" w:rsidRPr="00E976E3">
        <w:rPr>
          <w:b w:val="0"/>
          <w:color w:val="FF0000"/>
          <w:sz w:val="28"/>
          <w:szCs w:val="28"/>
        </w:rPr>
        <w:t>&lt;TRADE NAME&gt;</w:t>
      </w:r>
      <w:r w:rsidR="00E976E3" w:rsidRPr="00E976E3">
        <w:rPr>
          <w:color w:val="FF0000"/>
          <w:sz w:val="28"/>
          <w:szCs w:val="28"/>
        </w:rPr>
        <w:t xml:space="preserve"> </w:t>
      </w:r>
      <w:r w:rsidRPr="00E976E3">
        <w:rPr>
          <w:b w:val="0"/>
          <w:bCs/>
          <w:sz w:val="28"/>
          <w:szCs w:val="28"/>
        </w:rPr>
        <w:t xml:space="preserve">Dermatological Formulations adverse reaction table below, all adverse reactions with a known incidence (common or uncommon) are from clinical trial data and all adverse reactions with an unknown incidence are from post-marketing data. </w:t>
      </w:r>
    </w:p>
    <w:p w14:paraId="4B1D7F88" w14:textId="77777777" w:rsidR="00E976E3" w:rsidRDefault="00E976E3">
      <w:pPr>
        <w:rPr>
          <w:bCs/>
          <w:sz w:val="28"/>
          <w:szCs w:val="28"/>
        </w:rPr>
      </w:pPr>
      <w:r>
        <w:rPr>
          <w:b/>
          <w:bCs/>
          <w:sz w:val="28"/>
          <w:szCs w:val="28"/>
        </w:rPr>
        <w:br w:type="page"/>
      </w:r>
    </w:p>
    <w:tbl>
      <w:tblPr>
        <w:tblStyle w:val="TableGrid"/>
        <w:tblpPr w:leftFromText="180" w:rightFromText="180" w:vertAnchor="text" w:horzAnchor="margin" w:tblpY="697"/>
        <w:tblW w:w="8936" w:type="dxa"/>
        <w:tblInd w:w="0" w:type="dxa"/>
        <w:tblCellMar>
          <w:top w:w="0" w:type="dxa"/>
          <w:left w:w="23" w:type="dxa"/>
          <w:bottom w:w="0" w:type="dxa"/>
          <w:right w:w="0" w:type="dxa"/>
        </w:tblCellMar>
        <w:tblLook w:val="04A0" w:firstRow="1" w:lastRow="0" w:firstColumn="1" w:lastColumn="0" w:noHBand="0" w:noVBand="1"/>
      </w:tblPr>
      <w:tblGrid>
        <w:gridCol w:w="2393"/>
        <w:gridCol w:w="2046"/>
        <w:gridCol w:w="2218"/>
        <w:gridCol w:w="2279"/>
      </w:tblGrid>
      <w:tr w:rsidR="00E976E3" w:rsidRPr="00E976E3" w14:paraId="0435A40F" w14:textId="77777777" w:rsidTr="00E976E3">
        <w:trPr>
          <w:trHeight w:val="525"/>
        </w:trPr>
        <w:tc>
          <w:tcPr>
            <w:tcW w:w="2393" w:type="dxa"/>
            <w:vMerge w:val="restart"/>
            <w:tcBorders>
              <w:top w:val="single" w:sz="8" w:space="0" w:color="000000"/>
              <w:left w:val="single" w:sz="8" w:space="0" w:color="000000"/>
              <w:bottom w:val="single" w:sz="8" w:space="0" w:color="000000"/>
              <w:right w:val="single" w:sz="8" w:space="0" w:color="000000"/>
            </w:tcBorders>
            <w:vAlign w:val="center"/>
          </w:tcPr>
          <w:p w14:paraId="0F0DA35E" w14:textId="77777777" w:rsidR="00E976E3" w:rsidRPr="00E976E3" w:rsidRDefault="00E976E3" w:rsidP="00E976E3">
            <w:pPr>
              <w:spacing w:line="259" w:lineRule="auto"/>
              <w:ind w:left="0"/>
              <w:rPr>
                <w:bCs/>
                <w:sz w:val="28"/>
                <w:szCs w:val="28"/>
              </w:rPr>
            </w:pPr>
            <w:r w:rsidRPr="00E976E3">
              <w:rPr>
                <w:bCs/>
                <w:sz w:val="28"/>
                <w:szCs w:val="28"/>
              </w:rPr>
              <w:lastRenderedPageBreak/>
              <w:t>System Organ Class</w:t>
            </w:r>
          </w:p>
        </w:tc>
        <w:tc>
          <w:tcPr>
            <w:tcW w:w="6543" w:type="dxa"/>
            <w:gridSpan w:val="3"/>
            <w:tcBorders>
              <w:top w:val="single" w:sz="8" w:space="0" w:color="000000"/>
              <w:left w:val="single" w:sz="8" w:space="0" w:color="000000"/>
              <w:bottom w:val="single" w:sz="8" w:space="0" w:color="000000"/>
              <w:right w:val="single" w:sz="8" w:space="0" w:color="000000"/>
            </w:tcBorders>
            <w:vAlign w:val="center"/>
          </w:tcPr>
          <w:p w14:paraId="090AF3BF" w14:textId="403621FE" w:rsidR="00E976E3" w:rsidRPr="00E976E3" w:rsidRDefault="00E976E3" w:rsidP="00E976E3">
            <w:pPr>
              <w:spacing w:after="160" w:line="259" w:lineRule="auto"/>
              <w:ind w:left="0"/>
              <w:jc w:val="center"/>
              <w:rPr>
                <w:bCs/>
                <w:sz w:val="28"/>
                <w:szCs w:val="28"/>
              </w:rPr>
            </w:pPr>
            <w:r w:rsidRPr="00E976E3">
              <w:rPr>
                <w:bCs/>
                <w:sz w:val="28"/>
                <w:szCs w:val="28"/>
              </w:rPr>
              <w:t>Adverse Reactions</w:t>
            </w:r>
          </w:p>
        </w:tc>
      </w:tr>
      <w:tr w:rsidR="00E976E3" w:rsidRPr="00E976E3" w14:paraId="47833DE1" w14:textId="77777777" w:rsidTr="00E976E3">
        <w:trPr>
          <w:trHeight w:val="525"/>
        </w:trPr>
        <w:tc>
          <w:tcPr>
            <w:tcW w:w="0" w:type="auto"/>
            <w:vMerge/>
            <w:tcBorders>
              <w:top w:val="nil"/>
              <w:left w:val="single" w:sz="8" w:space="0" w:color="000000"/>
              <w:bottom w:val="nil"/>
              <w:right w:val="single" w:sz="8" w:space="0" w:color="000000"/>
            </w:tcBorders>
          </w:tcPr>
          <w:p w14:paraId="18E3735F" w14:textId="77777777" w:rsidR="00E976E3" w:rsidRPr="00E976E3" w:rsidRDefault="00E976E3" w:rsidP="00E976E3">
            <w:pPr>
              <w:spacing w:after="160" w:line="259" w:lineRule="auto"/>
              <w:ind w:left="0"/>
              <w:rPr>
                <w:bCs/>
                <w:sz w:val="28"/>
                <w:szCs w:val="28"/>
              </w:rPr>
            </w:pPr>
          </w:p>
        </w:tc>
        <w:tc>
          <w:tcPr>
            <w:tcW w:w="6543" w:type="dxa"/>
            <w:gridSpan w:val="3"/>
            <w:tcBorders>
              <w:top w:val="single" w:sz="8" w:space="0" w:color="000000"/>
              <w:left w:val="single" w:sz="8" w:space="0" w:color="000000"/>
              <w:bottom w:val="single" w:sz="8" w:space="0" w:color="000000"/>
              <w:right w:val="single" w:sz="8" w:space="0" w:color="000000"/>
            </w:tcBorders>
            <w:vAlign w:val="center"/>
          </w:tcPr>
          <w:p w14:paraId="08914150" w14:textId="1D5F2BDA" w:rsidR="00E976E3" w:rsidRPr="00E976E3" w:rsidRDefault="00E976E3" w:rsidP="00E976E3">
            <w:pPr>
              <w:spacing w:line="259" w:lineRule="auto"/>
              <w:ind w:left="0"/>
              <w:jc w:val="center"/>
              <w:rPr>
                <w:bCs/>
                <w:sz w:val="28"/>
                <w:szCs w:val="28"/>
              </w:rPr>
            </w:pPr>
            <w:r w:rsidRPr="00E976E3">
              <w:rPr>
                <w:bCs/>
                <w:sz w:val="28"/>
                <w:szCs w:val="28"/>
              </w:rPr>
              <w:t>Frequency Category</w:t>
            </w:r>
          </w:p>
        </w:tc>
      </w:tr>
      <w:tr w:rsidR="00E976E3" w:rsidRPr="00E976E3" w14:paraId="4569ACE4" w14:textId="77777777" w:rsidTr="00E976E3">
        <w:trPr>
          <w:trHeight w:val="605"/>
        </w:trPr>
        <w:tc>
          <w:tcPr>
            <w:tcW w:w="0" w:type="auto"/>
            <w:vMerge/>
            <w:tcBorders>
              <w:top w:val="nil"/>
              <w:left w:val="single" w:sz="8" w:space="0" w:color="000000"/>
              <w:bottom w:val="single" w:sz="8" w:space="0" w:color="000000"/>
              <w:right w:val="single" w:sz="8" w:space="0" w:color="000000"/>
            </w:tcBorders>
          </w:tcPr>
          <w:p w14:paraId="10E9B3D6" w14:textId="77777777" w:rsidR="00E976E3" w:rsidRPr="00E976E3" w:rsidRDefault="00E976E3" w:rsidP="00E976E3">
            <w:pPr>
              <w:spacing w:after="160" w:line="259" w:lineRule="auto"/>
              <w:ind w:left="0"/>
              <w:rPr>
                <w:bCs/>
                <w:sz w:val="28"/>
                <w:szCs w:val="28"/>
              </w:rPr>
            </w:pPr>
          </w:p>
        </w:tc>
        <w:tc>
          <w:tcPr>
            <w:tcW w:w="2046" w:type="dxa"/>
            <w:tcBorders>
              <w:top w:val="single" w:sz="8" w:space="0" w:color="000000"/>
              <w:left w:val="single" w:sz="8" w:space="0" w:color="000000"/>
              <w:bottom w:val="single" w:sz="8" w:space="0" w:color="000000"/>
              <w:right w:val="single" w:sz="8" w:space="0" w:color="000000"/>
            </w:tcBorders>
            <w:vAlign w:val="center"/>
          </w:tcPr>
          <w:p w14:paraId="70A4DD13" w14:textId="77777777" w:rsidR="00E976E3" w:rsidRPr="00E976E3" w:rsidRDefault="00E976E3" w:rsidP="00E976E3">
            <w:pPr>
              <w:spacing w:after="72" w:line="259" w:lineRule="auto"/>
              <w:ind w:left="3"/>
              <w:jc w:val="center"/>
              <w:rPr>
                <w:bCs/>
                <w:sz w:val="28"/>
                <w:szCs w:val="28"/>
              </w:rPr>
            </w:pPr>
            <w:r w:rsidRPr="00E976E3">
              <w:rPr>
                <w:bCs/>
                <w:sz w:val="28"/>
                <w:szCs w:val="28"/>
              </w:rPr>
              <w:t>Common</w:t>
            </w:r>
          </w:p>
          <w:p w14:paraId="7FC214EA" w14:textId="77777777" w:rsidR="00E976E3" w:rsidRPr="00E976E3" w:rsidRDefault="00E976E3" w:rsidP="00E976E3">
            <w:pPr>
              <w:spacing w:line="259" w:lineRule="auto"/>
              <w:ind w:left="135"/>
              <w:jc w:val="center"/>
              <w:rPr>
                <w:bCs/>
                <w:sz w:val="28"/>
                <w:szCs w:val="28"/>
              </w:rPr>
            </w:pPr>
            <w:r w:rsidRPr="00E976E3">
              <w:rPr>
                <w:bCs/>
                <w:sz w:val="28"/>
                <w:szCs w:val="28"/>
              </w:rPr>
              <w:t>(</w:t>
            </w:r>
            <w:r w:rsidRPr="00E976E3">
              <w:rPr>
                <w:rFonts w:eastAsia="Arial"/>
                <w:bCs/>
                <w:sz w:val="28"/>
                <w:szCs w:val="28"/>
              </w:rPr>
              <w:t>≥</w:t>
            </w:r>
            <w:r w:rsidRPr="00E976E3">
              <w:rPr>
                <w:bCs/>
                <w:sz w:val="28"/>
                <w:szCs w:val="28"/>
              </w:rPr>
              <w:t>1/100 to &lt;1/10)</w:t>
            </w:r>
          </w:p>
        </w:tc>
        <w:tc>
          <w:tcPr>
            <w:tcW w:w="2218" w:type="dxa"/>
            <w:tcBorders>
              <w:top w:val="single" w:sz="8" w:space="0" w:color="000000"/>
              <w:left w:val="single" w:sz="8" w:space="0" w:color="000000"/>
              <w:bottom w:val="single" w:sz="8" w:space="0" w:color="000000"/>
              <w:right w:val="single" w:sz="8" w:space="0" w:color="000000"/>
            </w:tcBorders>
            <w:vAlign w:val="center"/>
          </w:tcPr>
          <w:p w14:paraId="53A94E51" w14:textId="77777777" w:rsidR="00E976E3" w:rsidRPr="00E976E3" w:rsidRDefault="00E976E3" w:rsidP="00E976E3">
            <w:pPr>
              <w:spacing w:after="73" w:line="259" w:lineRule="auto"/>
              <w:ind w:left="3"/>
              <w:jc w:val="center"/>
              <w:rPr>
                <w:bCs/>
                <w:sz w:val="28"/>
                <w:szCs w:val="28"/>
              </w:rPr>
            </w:pPr>
            <w:r w:rsidRPr="00E976E3">
              <w:rPr>
                <w:bCs/>
                <w:sz w:val="28"/>
                <w:szCs w:val="28"/>
              </w:rPr>
              <w:t>Uncommon</w:t>
            </w:r>
          </w:p>
          <w:p w14:paraId="212E5644" w14:textId="77777777" w:rsidR="00E976E3" w:rsidRPr="00E976E3" w:rsidRDefault="00E976E3" w:rsidP="00E976E3">
            <w:pPr>
              <w:spacing w:line="259" w:lineRule="auto"/>
              <w:ind w:left="70"/>
              <w:jc w:val="center"/>
              <w:rPr>
                <w:bCs/>
                <w:sz w:val="28"/>
                <w:szCs w:val="28"/>
              </w:rPr>
            </w:pPr>
            <w:r w:rsidRPr="00E976E3">
              <w:rPr>
                <w:bCs/>
                <w:sz w:val="28"/>
                <w:szCs w:val="28"/>
              </w:rPr>
              <w:t>(</w:t>
            </w:r>
            <w:r w:rsidRPr="00E976E3">
              <w:rPr>
                <w:rFonts w:eastAsia="Arial"/>
                <w:bCs/>
                <w:sz w:val="28"/>
                <w:szCs w:val="28"/>
              </w:rPr>
              <w:t>≥</w:t>
            </w:r>
            <w:r w:rsidRPr="00E976E3">
              <w:rPr>
                <w:bCs/>
                <w:sz w:val="28"/>
                <w:szCs w:val="28"/>
              </w:rPr>
              <w:t>1/1,000 to &lt;1/100)</w:t>
            </w:r>
          </w:p>
        </w:tc>
        <w:tc>
          <w:tcPr>
            <w:tcW w:w="2279" w:type="dxa"/>
            <w:tcBorders>
              <w:top w:val="single" w:sz="8" w:space="0" w:color="000000"/>
              <w:left w:val="single" w:sz="8" w:space="0" w:color="000000"/>
              <w:bottom w:val="single" w:sz="8" w:space="0" w:color="000000"/>
              <w:right w:val="single" w:sz="8" w:space="0" w:color="000000"/>
            </w:tcBorders>
            <w:vAlign w:val="center"/>
          </w:tcPr>
          <w:p w14:paraId="09B02435" w14:textId="77777777" w:rsidR="00E976E3" w:rsidRPr="00E976E3" w:rsidRDefault="00E976E3" w:rsidP="00E976E3">
            <w:pPr>
              <w:spacing w:line="259" w:lineRule="auto"/>
              <w:ind w:left="0" w:right="7"/>
              <w:jc w:val="center"/>
              <w:rPr>
                <w:bCs/>
                <w:sz w:val="28"/>
                <w:szCs w:val="28"/>
              </w:rPr>
            </w:pPr>
            <w:r w:rsidRPr="00E976E3">
              <w:rPr>
                <w:bCs/>
                <w:sz w:val="28"/>
                <w:szCs w:val="28"/>
              </w:rPr>
              <w:t>Not Known</w:t>
            </w:r>
          </w:p>
        </w:tc>
      </w:tr>
      <w:tr w:rsidR="00E976E3" w:rsidRPr="00E976E3" w14:paraId="1E07668A" w14:textId="77777777" w:rsidTr="00E976E3">
        <w:trPr>
          <w:trHeight w:val="605"/>
        </w:trPr>
        <w:tc>
          <w:tcPr>
            <w:tcW w:w="2393" w:type="dxa"/>
            <w:tcBorders>
              <w:top w:val="single" w:sz="8" w:space="0" w:color="000000"/>
              <w:left w:val="single" w:sz="8" w:space="0" w:color="000000"/>
              <w:bottom w:val="single" w:sz="8" w:space="0" w:color="000000"/>
              <w:right w:val="single" w:sz="8" w:space="0" w:color="000000"/>
            </w:tcBorders>
            <w:vAlign w:val="center"/>
          </w:tcPr>
          <w:p w14:paraId="021A840B" w14:textId="77777777" w:rsidR="00E976E3" w:rsidRPr="00E976E3" w:rsidRDefault="00E976E3" w:rsidP="00E976E3">
            <w:pPr>
              <w:spacing w:after="3" w:line="259" w:lineRule="auto"/>
              <w:ind w:left="0"/>
              <w:jc w:val="left"/>
              <w:rPr>
                <w:bCs/>
                <w:sz w:val="28"/>
                <w:szCs w:val="28"/>
              </w:rPr>
            </w:pPr>
            <w:r w:rsidRPr="00E976E3">
              <w:rPr>
                <w:bCs/>
                <w:sz w:val="28"/>
                <w:szCs w:val="28"/>
              </w:rPr>
              <w:t>Immune System</w:t>
            </w:r>
          </w:p>
          <w:p w14:paraId="4E484BF9" w14:textId="77777777" w:rsidR="00E976E3" w:rsidRPr="00E976E3" w:rsidRDefault="00E976E3" w:rsidP="00E976E3">
            <w:pPr>
              <w:spacing w:line="259" w:lineRule="auto"/>
              <w:ind w:left="0"/>
              <w:jc w:val="left"/>
              <w:rPr>
                <w:bCs/>
                <w:sz w:val="28"/>
                <w:szCs w:val="28"/>
              </w:rPr>
            </w:pPr>
            <w:r w:rsidRPr="00E976E3">
              <w:rPr>
                <w:bCs/>
                <w:sz w:val="28"/>
                <w:szCs w:val="28"/>
              </w:rPr>
              <w:t>Disorder</w:t>
            </w:r>
          </w:p>
        </w:tc>
        <w:tc>
          <w:tcPr>
            <w:tcW w:w="2046" w:type="dxa"/>
            <w:tcBorders>
              <w:top w:val="single" w:sz="8" w:space="0" w:color="000000"/>
              <w:left w:val="single" w:sz="8" w:space="0" w:color="000000"/>
              <w:bottom w:val="single" w:sz="8" w:space="0" w:color="000000"/>
              <w:right w:val="single" w:sz="8" w:space="0" w:color="000000"/>
            </w:tcBorders>
            <w:vAlign w:val="center"/>
          </w:tcPr>
          <w:p w14:paraId="46976F38" w14:textId="77777777" w:rsidR="00E976E3" w:rsidRPr="00E976E3" w:rsidRDefault="00E976E3" w:rsidP="00E976E3">
            <w:pPr>
              <w:spacing w:after="160" w:line="259" w:lineRule="auto"/>
              <w:ind w:left="0"/>
              <w:jc w:val="center"/>
              <w:rPr>
                <w:bCs/>
                <w:sz w:val="28"/>
                <w:szCs w:val="28"/>
              </w:rPr>
            </w:pPr>
          </w:p>
        </w:tc>
        <w:tc>
          <w:tcPr>
            <w:tcW w:w="2218" w:type="dxa"/>
            <w:tcBorders>
              <w:top w:val="single" w:sz="8" w:space="0" w:color="000000"/>
              <w:left w:val="single" w:sz="8" w:space="0" w:color="000000"/>
              <w:bottom w:val="single" w:sz="8" w:space="0" w:color="000000"/>
              <w:right w:val="single" w:sz="8" w:space="0" w:color="000000"/>
            </w:tcBorders>
            <w:vAlign w:val="center"/>
          </w:tcPr>
          <w:p w14:paraId="3A928711" w14:textId="77777777" w:rsidR="00E976E3" w:rsidRPr="00E976E3" w:rsidRDefault="00E976E3" w:rsidP="00E976E3">
            <w:pPr>
              <w:spacing w:after="160" w:line="259" w:lineRule="auto"/>
              <w:ind w:left="0"/>
              <w:jc w:val="center"/>
              <w:rPr>
                <w:bCs/>
                <w:sz w:val="28"/>
                <w:szCs w:val="28"/>
              </w:rPr>
            </w:pPr>
          </w:p>
        </w:tc>
        <w:tc>
          <w:tcPr>
            <w:tcW w:w="2279" w:type="dxa"/>
            <w:tcBorders>
              <w:top w:val="single" w:sz="8" w:space="0" w:color="000000"/>
              <w:left w:val="single" w:sz="8" w:space="0" w:color="000000"/>
              <w:bottom w:val="single" w:sz="8" w:space="0" w:color="000000"/>
              <w:right w:val="single" w:sz="8" w:space="0" w:color="000000"/>
            </w:tcBorders>
            <w:vAlign w:val="center"/>
          </w:tcPr>
          <w:p w14:paraId="22547B35" w14:textId="77777777" w:rsidR="00E976E3" w:rsidRPr="00E976E3" w:rsidRDefault="00E976E3" w:rsidP="00E976E3">
            <w:pPr>
              <w:spacing w:line="259" w:lineRule="auto"/>
              <w:ind w:left="8"/>
              <w:jc w:val="center"/>
              <w:rPr>
                <w:bCs/>
                <w:sz w:val="28"/>
                <w:szCs w:val="28"/>
              </w:rPr>
            </w:pPr>
            <w:r w:rsidRPr="00E976E3">
              <w:rPr>
                <w:bCs/>
                <w:sz w:val="28"/>
                <w:szCs w:val="28"/>
              </w:rPr>
              <w:t>Hypersensitivity</w:t>
            </w:r>
          </w:p>
        </w:tc>
      </w:tr>
      <w:tr w:rsidR="00E976E3" w:rsidRPr="00E976E3" w14:paraId="17E39AD6" w14:textId="77777777" w:rsidTr="00E976E3">
        <w:trPr>
          <w:trHeight w:val="1576"/>
        </w:trPr>
        <w:tc>
          <w:tcPr>
            <w:tcW w:w="2393" w:type="dxa"/>
            <w:tcBorders>
              <w:top w:val="single" w:sz="8" w:space="0" w:color="000000"/>
              <w:left w:val="single" w:sz="8" w:space="0" w:color="000000"/>
              <w:bottom w:val="single" w:sz="8" w:space="0" w:color="000000"/>
              <w:right w:val="single" w:sz="8" w:space="0" w:color="000000"/>
            </w:tcBorders>
            <w:vAlign w:val="center"/>
          </w:tcPr>
          <w:p w14:paraId="1CF57E26" w14:textId="77777777" w:rsidR="00E976E3" w:rsidRPr="00E976E3" w:rsidRDefault="00E976E3" w:rsidP="00E976E3">
            <w:pPr>
              <w:spacing w:after="31" w:line="259" w:lineRule="auto"/>
              <w:ind w:left="0"/>
              <w:jc w:val="left"/>
              <w:rPr>
                <w:bCs/>
                <w:sz w:val="28"/>
                <w:szCs w:val="28"/>
              </w:rPr>
            </w:pPr>
            <w:r w:rsidRPr="00E976E3">
              <w:rPr>
                <w:bCs/>
                <w:sz w:val="28"/>
                <w:szCs w:val="28"/>
              </w:rPr>
              <w:t>Skin and</w:t>
            </w:r>
          </w:p>
          <w:p w14:paraId="10F52C42" w14:textId="77777777" w:rsidR="00E976E3" w:rsidRPr="00E976E3" w:rsidRDefault="00E976E3" w:rsidP="00E976E3">
            <w:pPr>
              <w:spacing w:after="3" w:line="259" w:lineRule="auto"/>
              <w:ind w:left="0"/>
              <w:jc w:val="left"/>
              <w:rPr>
                <w:bCs/>
                <w:sz w:val="28"/>
                <w:szCs w:val="28"/>
              </w:rPr>
            </w:pPr>
            <w:r w:rsidRPr="00E976E3">
              <w:rPr>
                <w:bCs/>
                <w:sz w:val="28"/>
                <w:szCs w:val="28"/>
              </w:rPr>
              <w:t>Subcutaneous Tissue</w:t>
            </w:r>
          </w:p>
          <w:p w14:paraId="28AF9926" w14:textId="77777777" w:rsidR="00E976E3" w:rsidRPr="00E976E3" w:rsidRDefault="00E976E3" w:rsidP="00E976E3">
            <w:pPr>
              <w:spacing w:line="259" w:lineRule="auto"/>
              <w:ind w:left="0"/>
              <w:jc w:val="left"/>
              <w:rPr>
                <w:bCs/>
                <w:sz w:val="28"/>
                <w:szCs w:val="28"/>
              </w:rPr>
            </w:pPr>
            <w:r w:rsidRPr="00E976E3">
              <w:rPr>
                <w:bCs/>
                <w:sz w:val="28"/>
                <w:szCs w:val="28"/>
              </w:rPr>
              <w:t>Disorders</w:t>
            </w:r>
          </w:p>
        </w:tc>
        <w:tc>
          <w:tcPr>
            <w:tcW w:w="2046" w:type="dxa"/>
            <w:tcBorders>
              <w:top w:val="single" w:sz="8" w:space="0" w:color="000000"/>
              <w:left w:val="single" w:sz="8" w:space="0" w:color="000000"/>
              <w:bottom w:val="single" w:sz="8" w:space="0" w:color="000000"/>
              <w:right w:val="single" w:sz="8" w:space="0" w:color="000000"/>
            </w:tcBorders>
            <w:vAlign w:val="center"/>
          </w:tcPr>
          <w:p w14:paraId="739310FB" w14:textId="77777777" w:rsidR="00E976E3" w:rsidRPr="00E976E3" w:rsidRDefault="00E976E3" w:rsidP="00E976E3">
            <w:pPr>
              <w:spacing w:after="22" w:line="259" w:lineRule="auto"/>
              <w:ind w:left="3"/>
              <w:jc w:val="center"/>
              <w:rPr>
                <w:bCs/>
                <w:sz w:val="28"/>
                <w:szCs w:val="28"/>
              </w:rPr>
            </w:pPr>
            <w:r w:rsidRPr="00E976E3">
              <w:rPr>
                <w:bCs/>
                <w:sz w:val="28"/>
                <w:szCs w:val="28"/>
              </w:rPr>
              <w:t>Pruritus</w:t>
            </w:r>
          </w:p>
          <w:p w14:paraId="6BFF66A4" w14:textId="77777777" w:rsidR="00E976E3" w:rsidRPr="00E976E3" w:rsidRDefault="00E976E3" w:rsidP="00E976E3">
            <w:pPr>
              <w:spacing w:line="259" w:lineRule="auto"/>
              <w:ind w:left="0"/>
              <w:jc w:val="center"/>
              <w:rPr>
                <w:bCs/>
                <w:sz w:val="28"/>
                <w:szCs w:val="28"/>
              </w:rPr>
            </w:pPr>
            <w:r w:rsidRPr="00E976E3">
              <w:rPr>
                <w:bCs/>
                <w:sz w:val="28"/>
                <w:szCs w:val="28"/>
              </w:rPr>
              <w:t>Skin burning sensation</w:t>
            </w:r>
          </w:p>
        </w:tc>
        <w:tc>
          <w:tcPr>
            <w:tcW w:w="2218" w:type="dxa"/>
            <w:tcBorders>
              <w:top w:val="single" w:sz="8" w:space="0" w:color="000000"/>
              <w:left w:val="single" w:sz="8" w:space="0" w:color="000000"/>
              <w:bottom w:val="single" w:sz="8" w:space="0" w:color="000000"/>
              <w:right w:val="single" w:sz="8" w:space="0" w:color="000000"/>
            </w:tcBorders>
            <w:vAlign w:val="center"/>
          </w:tcPr>
          <w:p w14:paraId="40118C5A" w14:textId="77777777" w:rsidR="00E976E3" w:rsidRPr="00E976E3" w:rsidRDefault="00E976E3" w:rsidP="00E976E3">
            <w:pPr>
              <w:spacing w:line="259" w:lineRule="auto"/>
              <w:ind w:left="3"/>
              <w:jc w:val="center"/>
              <w:rPr>
                <w:bCs/>
                <w:sz w:val="28"/>
                <w:szCs w:val="28"/>
              </w:rPr>
            </w:pPr>
            <w:r w:rsidRPr="00E976E3">
              <w:rPr>
                <w:bCs/>
                <w:sz w:val="28"/>
                <w:szCs w:val="28"/>
              </w:rPr>
              <w:t>Erythema</w:t>
            </w:r>
          </w:p>
        </w:tc>
        <w:tc>
          <w:tcPr>
            <w:tcW w:w="2279" w:type="dxa"/>
            <w:tcBorders>
              <w:top w:val="single" w:sz="8" w:space="0" w:color="000000"/>
              <w:left w:val="single" w:sz="8" w:space="0" w:color="000000"/>
              <w:bottom w:val="single" w:sz="8" w:space="0" w:color="000000"/>
              <w:right w:val="single" w:sz="8" w:space="0" w:color="000000"/>
            </w:tcBorders>
            <w:vAlign w:val="center"/>
          </w:tcPr>
          <w:p w14:paraId="7C422C63" w14:textId="77777777" w:rsidR="00E976E3" w:rsidRPr="00E976E3" w:rsidRDefault="00E976E3" w:rsidP="00E976E3">
            <w:pPr>
              <w:spacing w:after="22" w:line="259" w:lineRule="auto"/>
              <w:ind w:left="8"/>
              <w:jc w:val="center"/>
              <w:rPr>
                <w:bCs/>
                <w:sz w:val="28"/>
                <w:szCs w:val="28"/>
              </w:rPr>
            </w:pPr>
            <w:r w:rsidRPr="00E976E3">
              <w:rPr>
                <w:bCs/>
                <w:sz w:val="28"/>
                <w:szCs w:val="28"/>
              </w:rPr>
              <w:t>Angioedema</w:t>
            </w:r>
          </w:p>
          <w:p w14:paraId="11ADCE0D" w14:textId="77777777" w:rsidR="00E976E3" w:rsidRPr="00E976E3" w:rsidRDefault="00E976E3" w:rsidP="00E976E3">
            <w:pPr>
              <w:spacing w:after="3" w:line="259" w:lineRule="auto"/>
              <w:ind w:left="8"/>
              <w:jc w:val="center"/>
              <w:rPr>
                <w:bCs/>
                <w:sz w:val="28"/>
                <w:szCs w:val="28"/>
              </w:rPr>
            </w:pPr>
            <w:r w:rsidRPr="00E976E3">
              <w:rPr>
                <w:bCs/>
                <w:sz w:val="28"/>
                <w:szCs w:val="28"/>
              </w:rPr>
              <w:t>Contact dermatitis</w:t>
            </w:r>
          </w:p>
          <w:p w14:paraId="53C67468" w14:textId="77777777" w:rsidR="00E976E3" w:rsidRPr="00E976E3" w:rsidRDefault="00E976E3" w:rsidP="00E976E3">
            <w:pPr>
              <w:spacing w:line="259" w:lineRule="auto"/>
              <w:ind w:left="8"/>
              <w:jc w:val="center"/>
              <w:rPr>
                <w:bCs/>
                <w:sz w:val="28"/>
                <w:szCs w:val="28"/>
              </w:rPr>
            </w:pPr>
            <w:r w:rsidRPr="00E976E3">
              <w:rPr>
                <w:bCs/>
                <w:sz w:val="28"/>
                <w:szCs w:val="28"/>
              </w:rPr>
              <w:t>Rash</w:t>
            </w:r>
          </w:p>
          <w:p w14:paraId="7F6C8FA5" w14:textId="77777777" w:rsidR="00E976E3" w:rsidRPr="00E976E3" w:rsidRDefault="00E976E3" w:rsidP="00E976E3">
            <w:pPr>
              <w:spacing w:line="259" w:lineRule="auto"/>
              <w:ind w:left="8"/>
              <w:jc w:val="center"/>
              <w:rPr>
                <w:bCs/>
                <w:sz w:val="28"/>
                <w:szCs w:val="28"/>
              </w:rPr>
            </w:pPr>
            <w:r w:rsidRPr="00E976E3">
              <w:rPr>
                <w:bCs/>
                <w:sz w:val="28"/>
                <w:szCs w:val="28"/>
              </w:rPr>
              <w:t>Urticaria</w:t>
            </w:r>
          </w:p>
          <w:p w14:paraId="02CFB34B" w14:textId="77777777" w:rsidR="00E976E3" w:rsidRPr="00E976E3" w:rsidRDefault="00E976E3" w:rsidP="00E976E3">
            <w:pPr>
              <w:spacing w:after="22" w:line="259" w:lineRule="auto"/>
              <w:ind w:left="0" w:right="7"/>
              <w:jc w:val="center"/>
              <w:rPr>
                <w:bCs/>
                <w:sz w:val="28"/>
                <w:szCs w:val="28"/>
              </w:rPr>
            </w:pPr>
            <w:r w:rsidRPr="00E976E3">
              <w:rPr>
                <w:bCs/>
                <w:sz w:val="28"/>
                <w:szCs w:val="28"/>
              </w:rPr>
              <w:t>Blister</w:t>
            </w:r>
          </w:p>
          <w:p w14:paraId="751DEB95" w14:textId="77777777" w:rsidR="00E976E3" w:rsidRPr="00E976E3" w:rsidRDefault="00E976E3" w:rsidP="00E976E3">
            <w:pPr>
              <w:spacing w:line="259" w:lineRule="auto"/>
              <w:ind w:left="8"/>
              <w:jc w:val="center"/>
              <w:rPr>
                <w:bCs/>
                <w:sz w:val="28"/>
                <w:szCs w:val="28"/>
              </w:rPr>
            </w:pPr>
            <w:r w:rsidRPr="00E976E3">
              <w:rPr>
                <w:bCs/>
                <w:sz w:val="28"/>
                <w:szCs w:val="28"/>
              </w:rPr>
              <w:t>Skin exfoliation</w:t>
            </w:r>
          </w:p>
        </w:tc>
      </w:tr>
      <w:tr w:rsidR="00E976E3" w:rsidRPr="00E976E3" w14:paraId="512E6F76" w14:textId="77777777" w:rsidTr="00E976E3">
        <w:trPr>
          <w:trHeight w:val="1899"/>
        </w:trPr>
        <w:tc>
          <w:tcPr>
            <w:tcW w:w="2393" w:type="dxa"/>
            <w:tcBorders>
              <w:top w:val="single" w:sz="8" w:space="0" w:color="000000"/>
              <w:left w:val="single" w:sz="8" w:space="0" w:color="000000"/>
              <w:bottom w:val="single" w:sz="8" w:space="0" w:color="000000"/>
              <w:right w:val="single" w:sz="8" w:space="0" w:color="000000"/>
            </w:tcBorders>
            <w:vAlign w:val="center"/>
          </w:tcPr>
          <w:p w14:paraId="11B7B6C6" w14:textId="77777777" w:rsidR="00E976E3" w:rsidRPr="00E976E3" w:rsidRDefault="00E976E3" w:rsidP="00E976E3">
            <w:pPr>
              <w:spacing w:after="31" w:line="259" w:lineRule="auto"/>
              <w:ind w:left="0"/>
              <w:jc w:val="left"/>
              <w:rPr>
                <w:bCs/>
                <w:sz w:val="28"/>
                <w:szCs w:val="28"/>
              </w:rPr>
            </w:pPr>
            <w:r w:rsidRPr="00E976E3">
              <w:rPr>
                <w:bCs/>
                <w:sz w:val="28"/>
                <w:szCs w:val="28"/>
              </w:rPr>
              <w:t>General Disorders and</w:t>
            </w:r>
          </w:p>
          <w:p w14:paraId="4FEB71CA" w14:textId="77777777" w:rsidR="00E976E3" w:rsidRPr="00E976E3" w:rsidRDefault="00E976E3" w:rsidP="00E976E3">
            <w:pPr>
              <w:spacing w:after="3" w:line="259" w:lineRule="auto"/>
              <w:ind w:left="0"/>
              <w:jc w:val="left"/>
              <w:rPr>
                <w:bCs/>
                <w:sz w:val="28"/>
                <w:szCs w:val="28"/>
              </w:rPr>
            </w:pPr>
            <w:r w:rsidRPr="00E976E3">
              <w:rPr>
                <w:bCs/>
                <w:sz w:val="28"/>
                <w:szCs w:val="28"/>
              </w:rPr>
              <w:t>Administration Site</w:t>
            </w:r>
          </w:p>
          <w:p w14:paraId="16794480" w14:textId="77777777" w:rsidR="00E976E3" w:rsidRPr="00E976E3" w:rsidRDefault="00E976E3" w:rsidP="00E976E3">
            <w:pPr>
              <w:spacing w:line="259" w:lineRule="auto"/>
              <w:ind w:left="0"/>
              <w:jc w:val="left"/>
              <w:rPr>
                <w:bCs/>
                <w:sz w:val="28"/>
                <w:szCs w:val="28"/>
              </w:rPr>
            </w:pPr>
            <w:r w:rsidRPr="00E976E3">
              <w:rPr>
                <w:bCs/>
                <w:sz w:val="28"/>
                <w:szCs w:val="28"/>
              </w:rPr>
              <w:t>Conditions</w:t>
            </w:r>
          </w:p>
        </w:tc>
        <w:tc>
          <w:tcPr>
            <w:tcW w:w="2046" w:type="dxa"/>
            <w:tcBorders>
              <w:top w:val="single" w:sz="8" w:space="0" w:color="000000"/>
              <w:left w:val="single" w:sz="8" w:space="0" w:color="000000"/>
              <w:bottom w:val="single" w:sz="8" w:space="0" w:color="000000"/>
              <w:right w:val="single" w:sz="8" w:space="0" w:color="000000"/>
            </w:tcBorders>
            <w:vAlign w:val="center"/>
          </w:tcPr>
          <w:p w14:paraId="4545AE7A" w14:textId="77777777" w:rsidR="00E976E3" w:rsidRPr="00E976E3" w:rsidRDefault="00E976E3" w:rsidP="00E976E3">
            <w:pPr>
              <w:spacing w:line="259" w:lineRule="auto"/>
              <w:ind w:left="16"/>
              <w:jc w:val="center"/>
              <w:rPr>
                <w:bCs/>
                <w:sz w:val="28"/>
                <w:szCs w:val="28"/>
              </w:rPr>
            </w:pPr>
            <w:r w:rsidRPr="00E976E3">
              <w:rPr>
                <w:bCs/>
                <w:sz w:val="28"/>
                <w:szCs w:val="28"/>
              </w:rPr>
              <w:t>Pain</w:t>
            </w:r>
          </w:p>
        </w:tc>
        <w:tc>
          <w:tcPr>
            <w:tcW w:w="2218" w:type="dxa"/>
            <w:tcBorders>
              <w:top w:val="single" w:sz="8" w:space="0" w:color="000000"/>
              <w:left w:val="single" w:sz="8" w:space="0" w:color="000000"/>
              <w:bottom w:val="single" w:sz="8" w:space="0" w:color="000000"/>
              <w:right w:val="single" w:sz="8" w:space="0" w:color="000000"/>
            </w:tcBorders>
            <w:vAlign w:val="center"/>
          </w:tcPr>
          <w:p w14:paraId="1D435F34" w14:textId="77777777" w:rsidR="00E976E3" w:rsidRPr="00E976E3" w:rsidRDefault="00E976E3" w:rsidP="00E976E3">
            <w:pPr>
              <w:spacing w:line="259" w:lineRule="auto"/>
              <w:ind w:left="61"/>
              <w:jc w:val="center"/>
              <w:rPr>
                <w:bCs/>
                <w:sz w:val="28"/>
                <w:szCs w:val="28"/>
              </w:rPr>
            </w:pPr>
            <w:r w:rsidRPr="00E976E3">
              <w:rPr>
                <w:bCs/>
                <w:sz w:val="28"/>
                <w:szCs w:val="28"/>
              </w:rPr>
              <w:t>Discomfort</w:t>
            </w:r>
          </w:p>
          <w:p w14:paraId="3CA82269" w14:textId="77777777" w:rsidR="00E976E3" w:rsidRPr="00E976E3" w:rsidRDefault="00E976E3" w:rsidP="00E976E3">
            <w:pPr>
              <w:spacing w:line="259" w:lineRule="auto"/>
              <w:ind w:left="61"/>
              <w:jc w:val="center"/>
              <w:rPr>
                <w:bCs/>
                <w:sz w:val="28"/>
                <w:szCs w:val="28"/>
              </w:rPr>
            </w:pPr>
            <w:r w:rsidRPr="00E976E3">
              <w:rPr>
                <w:bCs/>
                <w:sz w:val="28"/>
                <w:szCs w:val="28"/>
              </w:rPr>
              <w:t>Swelling</w:t>
            </w:r>
          </w:p>
        </w:tc>
        <w:tc>
          <w:tcPr>
            <w:tcW w:w="2279" w:type="dxa"/>
            <w:tcBorders>
              <w:top w:val="single" w:sz="8" w:space="0" w:color="000000"/>
              <w:left w:val="single" w:sz="8" w:space="0" w:color="000000"/>
              <w:bottom w:val="single" w:sz="8" w:space="0" w:color="000000"/>
              <w:right w:val="single" w:sz="8" w:space="0" w:color="000000"/>
            </w:tcBorders>
            <w:vAlign w:val="center"/>
          </w:tcPr>
          <w:p w14:paraId="193CEBCA" w14:textId="77777777" w:rsidR="00E976E3" w:rsidRPr="00E976E3" w:rsidRDefault="00E976E3" w:rsidP="00E976E3">
            <w:pPr>
              <w:spacing w:after="160" w:line="259" w:lineRule="auto"/>
              <w:ind w:left="0"/>
              <w:jc w:val="center"/>
              <w:rPr>
                <w:bCs/>
                <w:sz w:val="28"/>
                <w:szCs w:val="28"/>
              </w:rPr>
            </w:pPr>
          </w:p>
        </w:tc>
      </w:tr>
    </w:tbl>
    <w:p w14:paraId="58B0F2FA" w14:textId="0C62F353" w:rsidR="005A16F9" w:rsidRPr="00E976E3" w:rsidRDefault="00000000" w:rsidP="00E976E3">
      <w:pPr>
        <w:pStyle w:val="Heading2"/>
        <w:tabs>
          <w:tab w:val="center" w:pos="1710"/>
        </w:tabs>
        <w:spacing w:after="0" w:line="360" w:lineRule="auto"/>
        <w:ind w:left="792" w:firstLine="0"/>
        <w:jc w:val="thaiDistribute"/>
        <w:rPr>
          <w:b w:val="0"/>
          <w:iCs/>
          <w:sz w:val="28"/>
          <w:szCs w:val="28"/>
        </w:rPr>
      </w:pPr>
      <w:r w:rsidRPr="00E976E3">
        <w:rPr>
          <w:b w:val="0"/>
          <w:bCs/>
          <w:iCs/>
          <w:sz w:val="28"/>
          <w:szCs w:val="28"/>
          <w:u w:val="single"/>
        </w:rPr>
        <w:t>Table 1:</w:t>
      </w:r>
      <w:r w:rsidRPr="00E976E3">
        <w:rPr>
          <w:b w:val="0"/>
          <w:bCs/>
          <w:iCs/>
          <w:sz w:val="28"/>
          <w:szCs w:val="28"/>
        </w:rPr>
        <w:t xml:space="preserve"> Adverse Reactions</w:t>
      </w:r>
    </w:p>
    <w:p w14:paraId="1937424E" w14:textId="77777777" w:rsidR="005A16F9" w:rsidRPr="00E976E3" w:rsidRDefault="00000000" w:rsidP="00E976E3">
      <w:pPr>
        <w:pStyle w:val="Heading2"/>
        <w:spacing w:before="240" w:after="240" w:line="264" w:lineRule="auto"/>
        <w:ind w:left="748" w:hanging="11"/>
        <w:rPr>
          <w:b w:val="0"/>
          <w:bCs/>
          <w:sz w:val="28"/>
          <w:szCs w:val="28"/>
          <w:u w:val="single"/>
        </w:rPr>
      </w:pPr>
      <w:r w:rsidRPr="00E976E3">
        <w:rPr>
          <w:b w:val="0"/>
          <w:bCs/>
          <w:sz w:val="28"/>
          <w:szCs w:val="28"/>
          <w:u w:val="single"/>
        </w:rPr>
        <w:t>Reporting of suspected adverse reactions</w:t>
      </w:r>
    </w:p>
    <w:p w14:paraId="77F76BD2" w14:textId="77777777" w:rsidR="005A16F9" w:rsidRPr="00E976E3" w:rsidRDefault="00000000" w:rsidP="00E976E3">
      <w:pPr>
        <w:spacing w:after="1871"/>
        <w:ind w:left="720" w:right="-9" w:firstLine="705"/>
        <w:jc w:val="both"/>
        <w:rPr>
          <w:bCs/>
          <w:sz w:val="28"/>
          <w:szCs w:val="28"/>
        </w:rPr>
      </w:pPr>
      <w:r w:rsidRPr="00E976E3">
        <w:rPr>
          <w:bCs/>
          <w:sz w:val="28"/>
          <w:szCs w:val="28"/>
        </w:rPr>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p>
    <w:p w14:paraId="77F4DB07" w14:textId="77777777" w:rsidR="00E976E3" w:rsidRDefault="00000000" w:rsidP="00E976E3">
      <w:pPr>
        <w:pStyle w:val="Heading2"/>
        <w:numPr>
          <w:ilvl w:val="1"/>
          <w:numId w:val="2"/>
        </w:numPr>
        <w:tabs>
          <w:tab w:val="center" w:pos="1215"/>
        </w:tabs>
        <w:spacing w:after="240" w:line="360" w:lineRule="auto"/>
        <w:ind w:left="788" w:hanging="431"/>
        <w:rPr>
          <w:sz w:val="28"/>
          <w:szCs w:val="28"/>
        </w:rPr>
      </w:pPr>
      <w:r w:rsidRPr="00E976E3">
        <w:rPr>
          <w:sz w:val="28"/>
          <w:szCs w:val="28"/>
        </w:rPr>
        <w:lastRenderedPageBreak/>
        <w:t>Overdose</w:t>
      </w:r>
    </w:p>
    <w:p w14:paraId="08408FA3" w14:textId="77777777" w:rsidR="00E976E3" w:rsidRDefault="00E976E3" w:rsidP="00E976E3">
      <w:pPr>
        <w:pStyle w:val="Heading2"/>
        <w:tabs>
          <w:tab w:val="center" w:pos="1215"/>
        </w:tabs>
        <w:spacing w:after="240" w:line="360" w:lineRule="auto"/>
        <w:ind w:left="794" w:firstLine="0"/>
        <w:rPr>
          <w:b w:val="0"/>
          <w:sz w:val="28"/>
          <w:szCs w:val="28"/>
        </w:rPr>
      </w:pPr>
      <w:r w:rsidRPr="00E976E3">
        <w:rPr>
          <w:b w:val="0"/>
          <w:color w:val="FF0000"/>
          <w:sz w:val="28"/>
          <w:szCs w:val="28"/>
        </w:rPr>
        <w:t xml:space="preserve">&lt;TRADE NAME&gt; </w:t>
      </w:r>
      <w:r w:rsidR="00000000" w:rsidRPr="00E976E3">
        <w:rPr>
          <w:b w:val="0"/>
          <w:sz w:val="28"/>
          <w:szCs w:val="28"/>
        </w:rPr>
        <w:t>Cream is for cutaneous application only. In the event of accidental ingestion, treat symptomatically.</w:t>
      </w:r>
    </w:p>
    <w:p w14:paraId="6A7E0673" w14:textId="0C0A753E" w:rsidR="005A16F9" w:rsidRPr="00E976E3" w:rsidRDefault="00000000" w:rsidP="00E976E3">
      <w:pPr>
        <w:pStyle w:val="Heading2"/>
        <w:tabs>
          <w:tab w:val="center" w:pos="1215"/>
        </w:tabs>
        <w:spacing w:after="240" w:line="360" w:lineRule="auto"/>
        <w:ind w:left="794" w:firstLine="0"/>
        <w:rPr>
          <w:b w:val="0"/>
          <w:sz w:val="28"/>
          <w:szCs w:val="28"/>
        </w:rPr>
      </w:pPr>
      <w:r w:rsidRPr="00E976E3">
        <w:rPr>
          <w:b w:val="0"/>
          <w:bCs/>
          <w:sz w:val="28"/>
          <w:szCs w:val="28"/>
        </w:rPr>
        <w:t>If large amounts have been taken by mouth or swallowed, use appropriate supportive care.</w:t>
      </w:r>
    </w:p>
    <w:p w14:paraId="6958574D" w14:textId="77777777" w:rsidR="00E976E3" w:rsidRDefault="00000000" w:rsidP="00E976E3">
      <w:pPr>
        <w:pStyle w:val="Heading1"/>
        <w:numPr>
          <w:ilvl w:val="0"/>
          <w:numId w:val="2"/>
        </w:numPr>
        <w:tabs>
          <w:tab w:val="center" w:pos="3150"/>
        </w:tabs>
        <w:spacing w:after="240" w:line="264" w:lineRule="auto"/>
        <w:ind w:left="357" w:hanging="357"/>
        <w:rPr>
          <w:szCs w:val="28"/>
        </w:rPr>
      </w:pPr>
      <w:r w:rsidRPr="00E976E3">
        <w:rPr>
          <w:szCs w:val="28"/>
        </w:rPr>
        <w:t>PHARMACOLOGICAL PROPERTIES</w:t>
      </w:r>
    </w:p>
    <w:p w14:paraId="0FA1BE47" w14:textId="5E010CE3" w:rsidR="005A16F9" w:rsidRPr="00E976E3" w:rsidRDefault="00000000" w:rsidP="00E976E3">
      <w:pPr>
        <w:pStyle w:val="Heading1"/>
        <w:numPr>
          <w:ilvl w:val="1"/>
          <w:numId w:val="2"/>
        </w:numPr>
        <w:tabs>
          <w:tab w:val="center" w:pos="3150"/>
        </w:tabs>
        <w:spacing w:after="240" w:line="264" w:lineRule="auto"/>
        <w:ind w:left="788" w:hanging="431"/>
        <w:rPr>
          <w:szCs w:val="28"/>
        </w:rPr>
      </w:pPr>
      <w:r w:rsidRPr="00E976E3">
        <w:rPr>
          <w:szCs w:val="28"/>
        </w:rPr>
        <w:t>Pharmacodynamic properties</w:t>
      </w:r>
    </w:p>
    <w:p w14:paraId="7C28F86F" w14:textId="77777777" w:rsidR="00E976E3" w:rsidRDefault="00000000" w:rsidP="00E976E3">
      <w:pPr>
        <w:ind w:left="720" w:right="54"/>
        <w:rPr>
          <w:bCs/>
          <w:sz w:val="28"/>
          <w:szCs w:val="28"/>
        </w:rPr>
      </w:pPr>
      <w:r w:rsidRPr="00E976E3">
        <w:rPr>
          <w:bCs/>
          <w:sz w:val="28"/>
          <w:szCs w:val="28"/>
        </w:rPr>
        <w:t>Pharmacotherapeutic group: Antifungals For Topical Use, Imidazole and triazole derivatives, econazole</w:t>
      </w:r>
    </w:p>
    <w:p w14:paraId="40DB7209" w14:textId="0CD901DB" w:rsidR="00E976E3" w:rsidRDefault="00000000" w:rsidP="00E976E3">
      <w:pPr>
        <w:ind w:left="720" w:right="54"/>
        <w:rPr>
          <w:bCs/>
          <w:sz w:val="28"/>
          <w:szCs w:val="28"/>
        </w:rPr>
      </w:pPr>
      <w:r w:rsidRPr="00E976E3">
        <w:rPr>
          <w:bCs/>
          <w:sz w:val="28"/>
          <w:szCs w:val="28"/>
        </w:rPr>
        <w:t>ATC code: D01AC03.</w:t>
      </w:r>
    </w:p>
    <w:p w14:paraId="2A4650D2" w14:textId="77777777" w:rsidR="00E976E3" w:rsidRDefault="00000000" w:rsidP="00E976E3">
      <w:pPr>
        <w:ind w:left="720" w:right="54"/>
        <w:rPr>
          <w:bCs/>
          <w:sz w:val="28"/>
          <w:szCs w:val="28"/>
        </w:rPr>
      </w:pPr>
      <w:r w:rsidRPr="00E976E3">
        <w:rPr>
          <w:bCs/>
          <w:sz w:val="28"/>
          <w:szCs w:val="28"/>
        </w:rPr>
        <w:t>Econazole nitrate is a broad spectrum antimycotic with activity against dermatophytes, yeasts and moulds. A clinically relevant action against Gram positive bacteria has also been found</w:t>
      </w:r>
    </w:p>
    <w:p w14:paraId="5CB67E12" w14:textId="77777777" w:rsidR="00E976E3" w:rsidRPr="00E976E3" w:rsidRDefault="00000000" w:rsidP="00E976E3">
      <w:pPr>
        <w:pStyle w:val="ListParagraph"/>
        <w:numPr>
          <w:ilvl w:val="1"/>
          <w:numId w:val="2"/>
        </w:numPr>
        <w:ind w:right="54"/>
        <w:rPr>
          <w:b/>
          <w:bCs/>
          <w:sz w:val="28"/>
          <w:szCs w:val="28"/>
        </w:rPr>
      </w:pPr>
      <w:r w:rsidRPr="00E976E3">
        <w:rPr>
          <w:b/>
          <w:bCs/>
          <w:sz w:val="28"/>
          <w:szCs w:val="28"/>
        </w:rPr>
        <w:t>Pharmacokinetic properties</w:t>
      </w:r>
      <w:r w:rsidR="00E976E3" w:rsidRPr="00E976E3">
        <w:rPr>
          <w:b/>
          <w:bCs/>
          <w:sz w:val="28"/>
          <w:szCs w:val="28"/>
        </w:rPr>
        <w:t xml:space="preserve"> </w:t>
      </w:r>
    </w:p>
    <w:p w14:paraId="78579968" w14:textId="3358475D" w:rsidR="00E976E3" w:rsidRPr="00E976E3" w:rsidRDefault="00000000" w:rsidP="00E976E3">
      <w:pPr>
        <w:ind w:left="720" w:right="54"/>
        <w:rPr>
          <w:sz w:val="28"/>
          <w:szCs w:val="28"/>
        </w:rPr>
      </w:pPr>
      <w:r w:rsidRPr="00E976E3">
        <w:rPr>
          <w:sz w:val="28"/>
          <w:szCs w:val="28"/>
        </w:rPr>
        <w:t>Econazole nitrate is only slightly absorbed from the skin. No active drug has been detected in the serum. Radio labelling shows that less than 0.1% of an oral dose is absorbed. Peak serum levels are achieved after 2 hours and 90% binds to plasma proteins. Metabolism is limited but occurs primarily in the liver with excretion of metabolites in the urine.</w:t>
      </w:r>
    </w:p>
    <w:p w14:paraId="7D841F18" w14:textId="6D768EF7" w:rsidR="005A16F9" w:rsidRPr="00E976E3" w:rsidRDefault="00000000" w:rsidP="00E976E3">
      <w:pPr>
        <w:pStyle w:val="Heading2"/>
        <w:numPr>
          <w:ilvl w:val="1"/>
          <w:numId w:val="2"/>
        </w:numPr>
        <w:tabs>
          <w:tab w:val="center" w:pos="2160"/>
        </w:tabs>
        <w:spacing w:after="240" w:line="264" w:lineRule="auto"/>
        <w:jc w:val="thaiDistribute"/>
        <w:rPr>
          <w:sz w:val="28"/>
          <w:szCs w:val="28"/>
        </w:rPr>
      </w:pPr>
      <w:r w:rsidRPr="00E976E3">
        <w:rPr>
          <w:sz w:val="28"/>
          <w:szCs w:val="28"/>
        </w:rPr>
        <w:lastRenderedPageBreak/>
        <w:t>Preclinical safety data</w:t>
      </w:r>
    </w:p>
    <w:p w14:paraId="50A9C538" w14:textId="77777777" w:rsidR="005A16F9" w:rsidRPr="00E976E3" w:rsidRDefault="00000000" w:rsidP="00E976E3">
      <w:pPr>
        <w:ind w:left="720" w:right="57"/>
        <w:rPr>
          <w:bCs/>
          <w:sz w:val="28"/>
          <w:szCs w:val="28"/>
        </w:rPr>
      </w:pPr>
      <w:r w:rsidRPr="00E976E3">
        <w:rPr>
          <w:bCs/>
          <w:sz w:val="28"/>
          <w:szCs w:val="28"/>
        </w:rPr>
        <w:t>Low neonatal survival and fetal toxicity was associated only with maternal toxicity. In animal studies, econazole nitrate has shown no teratogenic effects but was foetotoxic in rodents at maternal subcutaneous doses of 20 mg/kg/day and at maternal oral doses of 10 mg/kg/day. The significance of this in humans is unknown.</w:t>
      </w:r>
    </w:p>
    <w:p w14:paraId="0F158805" w14:textId="77777777" w:rsidR="00E976E3" w:rsidRDefault="00000000" w:rsidP="00E976E3">
      <w:pPr>
        <w:ind w:left="720" w:right="57"/>
        <w:rPr>
          <w:bCs/>
          <w:sz w:val="28"/>
          <w:szCs w:val="28"/>
        </w:rPr>
      </w:pPr>
      <w:r w:rsidRPr="00E976E3">
        <w:rPr>
          <w:bCs/>
          <w:sz w:val="28"/>
          <w:szCs w:val="28"/>
        </w:rPr>
        <w:t>Following oral administration of econazole nitrate to lactating rats, econazole and/or metabolites were excreted in milk and were found in nursing pups.</w:t>
      </w:r>
    </w:p>
    <w:p w14:paraId="27304EFA" w14:textId="77777777" w:rsidR="00E976E3" w:rsidRDefault="00000000" w:rsidP="00E976E3">
      <w:pPr>
        <w:pStyle w:val="ListParagraph"/>
        <w:numPr>
          <w:ilvl w:val="0"/>
          <w:numId w:val="2"/>
        </w:numPr>
        <w:ind w:left="357" w:right="57" w:hanging="357"/>
        <w:contextualSpacing w:val="0"/>
        <w:rPr>
          <w:b/>
          <w:sz w:val="28"/>
          <w:szCs w:val="28"/>
        </w:rPr>
      </w:pPr>
      <w:r w:rsidRPr="00E976E3">
        <w:rPr>
          <w:b/>
          <w:sz w:val="28"/>
          <w:szCs w:val="28"/>
        </w:rPr>
        <w:t>Pharmaceutical Particulars</w:t>
      </w:r>
    </w:p>
    <w:p w14:paraId="0E4C6D71" w14:textId="77777777" w:rsidR="00E976E3" w:rsidRDefault="00000000" w:rsidP="00E976E3">
      <w:pPr>
        <w:pStyle w:val="ListParagraph"/>
        <w:numPr>
          <w:ilvl w:val="1"/>
          <w:numId w:val="2"/>
        </w:numPr>
        <w:ind w:left="788" w:right="57" w:hanging="431"/>
        <w:contextualSpacing w:val="0"/>
        <w:rPr>
          <w:b/>
          <w:sz w:val="28"/>
          <w:szCs w:val="28"/>
        </w:rPr>
      </w:pPr>
      <w:r w:rsidRPr="00E976E3">
        <w:rPr>
          <w:b/>
          <w:sz w:val="28"/>
          <w:szCs w:val="28"/>
        </w:rPr>
        <w:t>List of excipients</w:t>
      </w:r>
    </w:p>
    <w:p w14:paraId="7735E859" w14:textId="77777777" w:rsidR="00E976E3" w:rsidRDefault="00000000" w:rsidP="00E976E3">
      <w:pPr>
        <w:pStyle w:val="ListParagraph"/>
        <w:ind w:left="794" w:right="57"/>
        <w:contextualSpacing w:val="0"/>
        <w:rPr>
          <w:bCs/>
          <w:color w:val="FF0000"/>
          <w:sz w:val="28"/>
          <w:szCs w:val="28"/>
        </w:rPr>
      </w:pPr>
      <w:r w:rsidRPr="00E976E3">
        <w:rPr>
          <w:bCs/>
          <w:color w:val="FF0000"/>
          <w:sz w:val="28"/>
          <w:szCs w:val="28"/>
        </w:rPr>
        <w:t>&lt;REGARDING THE APPROVAL&gt;</w:t>
      </w:r>
    </w:p>
    <w:p w14:paraId="105E2E36" w14:textId="77777777" w:rsidR="00E976E3" w:rsidRPr="00E976E3" w:rsidRDefault="00000000" w:rsidP="00E976E3">
      <w:pPr>
        <w:pStyle w:val="ListParagraph"/>
        <w:numPr>
          <w:ilvl w:val="1"/>
          <w:numId w:val="2"/>
        </w:numPr>
        <w:ind w:left="788" w:right="57" w:hanging="431"/>
        <w:contextualSpacing w:val="0"/>
        <w:rPr>
          <w:b/>
          <w:sz w:val="28"/>
          <w:szCs w:val="28"/>
        </w:rPr>
      </w:pPr>
      <w:r w:rsidRPr="00E976E3">
        <w:rPr>
          <w:rFonts w:cs="Times New Roman"/>
          <w:b/>
          <w:sz w:val="28"/>
          <w:szCs w:val="28"/>
        </w:rPr>
        <w:t>Incompatibilities</w:t>
      </w:r>
    </w:p>
    <w:p w14:paraId="20AC6C96" w14:textId="77777777" w:rsidR="00E976E3" w:rsidRDefault="00000000" w:rsidP="00E976E3">
      <w:pPr>
        <w:pStyle w:val="ListParagraph"/>
        <w:ind w:left="794" w:right="57"/>
        <w:contextualSpacing w:val="0"/>
        <w:rPr>
          <w:bCs/>
          <w:color w:val="FF0000"/>
          <w:sz w:val="28"/>
          <w:szCs w:val="28"/>
        </w:rPr>
      </w:pPr>
      <w:r w:rsidRPr="00E976E3">
        <w:rPr>
          <w:bCs/>
          <w:color w:val="FF0000"/>
          <w:sz w:val="28"/>
          <w:szCs w:val="28"/>
        </w:rPr>
        <w:t>&lt;REGARDING THE APPROVAL&gt;</w:t>
      </w:r>
    </w:p>
    <w:p w14:paraId="5CBAC727" w14:textId="77777777" w:rsidR="00E976E3" w:rsidRPr="00E976E3" w:rsidRDefault="00000000" w:rsidP="00E976E3">
      <w:pPr>
        <w:pStyle w:val="ListParagraph"/>
        <w:numPr>
          <w:ilvl w:val="1"/>
          <w:numId w:val="2"/>
        </w:numPr>
        <w:ind w:left="788" w:right="57" w:hanging="431"/>
        <w:contextualSpacing w:val="0"/>
        <w:rPr>
          <w:b/>
          <w:sz w:val="28"/>
          <w:szCs w:val="28"/>
        </w:rPr>
      </w:pPr>
      <w:r w:rsidRPr="00E976E3">
        <w:rPr>
          <w:rFonts w:cs="Times New Roman"/>
          <w:b/>
          <w:sz w:val="28"/>
          <w:szCs w:val="28"/>
        </w:rPr>
        <w:t>Shelf life</w:t>
      </w:r>
    </w:p>
    <w:p w14:paraId="6301D1AB" w14:textId="77777777" w:rsidR="00E976E3" w:rsidRDefault="00000000" w:rsidP="00E976E3">
      <w:pPr>
        <w:pStyle w:val="ListParagraph"/>
        <w:ind w:left="794" w:right="57"/>
        <w:contextualSpacing w:val="0"/>
        <w:rPr>
          <w:bCs/>
          <w:color w:val="FF0000"/>
          <w:sz w:val="28"/>
          <w:szCs w:val="28"/>
        </w:rPr>
      </w:pPr>
      <w:r w:rsidRPr="00E976E3">
        <w:rPr>
          <w:bCs/>
          <w:color w:val="FF0000"/>
          <w:sz w:val="28"/>
          <w:szCs w:val="28"/>
        </w:rPr>
        <w:t>&lt;REGARDING THE APPROVAL&gt;</w:t>
      </w:r>
    </w:p>
    <w:p w14:paraId="3171C8A0" w14:textId="77777777" w:rsidR="00E976E3" w:rsidRPr="00E976E3" w:rsidRDefault="00000000" w:rsidP="00E976E3">
      <w:pPr>
        <w:pStyle w:val="ListParagraph"/>
        <w:numPr>
          <w:ilvl w:val="1"/>
          <w:numId w:val="2"/>
        </w:numPr>
        <w:spacing w:before="240"/>
        <w:ind w:left="788" w:right="57" w:hanging="431"/>
        <w:contextualSpacing w:val="0"/>
        <w:rPr>
          <w:b/>
          <w:sz w:val="28"/>
          <w:szCs w:val="28"/>
        </w:rPr>
      </w:pPr>
      <w:r w:rsidRPr="00E976E3">
        <w:rPr>
          <w:rFonts w:cs="Times New Roman"/>
          <w:b/>
          <w:sz w:val="28"/>
          <w:szCs w:val="28"/>
        </w:rPr>
        <w:t>Special precautions for storage</w:t>
      </w:r>
    </w:p>
    <w:p w14:paraId="50077A4E" w14:textId="77777777" w:rsidR="00E976E3" w:rsidRDefault="00000000" w:rsidP="00E976E3">
      <w:pPr>
        <w:pStyle w:val="ListParagraph"/>
        <w:ind w:left="794" w:right="57"/>
        <w:contextualSpacing w:val="0"/>
        <w:rPr>
          <w:bCs/>
          <w:color w:val="FF0000"/>
          <w:sz w:val="28"/>
          <w:szCs w:val="28"/>
        </w:rPr>
      </w:pPr>
      <w:r w:rsidRPr="00E976E3">
        <w:rPr>
          <w:bCs/>
          <w:color w:val="FF0000"/>
          <w:sz w:val="28"/>
          <w:szCs w:val="28"/>
        </w:rPr>
        <w:t>&lt;REGARDING THE APPROVAL&gt;</w:t>
      </w:r>
    </w:p>
    <w:p w14:paraId="5086B215" w14:textId="77777777" w:rsidR="00E976E3" w:rsidRPr="00E976E3" w:rsidRDefault="00000000" w:rsidP="00E976E3">
      <w:pPr>
        <w:pStyle w:val="ListParagraph"/>
        <w:numPr>
          <w:ilvl w:val="1"/>
          <w:numId w:val="2"/>
        </w:numPr>
        <w:ind w:right="57"/>
        <w:contextualSpacing w:val="0"/>
        <w:rPr>
          <w:b/>
          <w:sz w:val="28"/>
          <w:szCs w:val="28"/>
        </w:rPr>
      </w:pPr>
      <w:r w:rsidRPr="00E976E3">
        <w:rPr>
          <w:rFonts w:cs="Times New Roman"/>
          <w:b/>
          <w:sz w:val="28"/>
          <w:szCs w:val="28"/>
        </w:rPr>
        <w:t>Nature and contents of container</w:t>
      </w:r>
    </w:p>
    <w:p w14:paraId="64C6A988" w14:textId="14DF2B24" w:rsidR="005A16F9" w:rsidRPr="00E976E3" w:rsidRDefault="00000000" w:rsidP="00E976E3">
      <w:pPr>
        <w:pStyle w:val="ListParagraph"/>
        <w:ind w:left="792" w:right="57"/>
        <w:contextualSpacing w:val="0"/>
        <w:rPr>
          <w:b/>
          <w:sz w:val="28"/>
          <w:szCs w:val="28"/>
        </w:rPr>
      </w:pPr>
      <w:r w:rsidRPr="00E976E3">
        <w:rPr>
          <w:bCs/>
          <w:color w:val="FF0000"/>
          <w:sz w:val="28"/>
          <w:szCs w:val="28"/>
        </w:rPr>
        <w:t>&lt;REGARDING THE APPROVAL&gt;</w:t>
      </w:r>
    </w:p>
    <w:p w14:paraId="7E6BEF26" w14:textId="77777777" w:rsidR="00E976E3" w:rsidRDefault="00000000" w:rsidP="00E976E3">
      <w:pPr>
        <w:pStyle w:val="ListParagraph"/>
        <w:numPr>
          <w:ilvl w:val="1"/>
          <w:numId w:val="2"/>
        </w:numPr>
        <w:tabs>
          <w:tab w:val="center" w:pos="2355"/>
        </w:tabs>
        <w:spacing w:line="264" w:lineRule="auto"/>
        <w:ind w:left="788" w:hanging="431"/>
        <w:contextualSpacing w:val="0"/>
        <w:rPr>
          <w:b/>
          <w:sz w:val="28"/>
          <w:szCs w:val="28"/>
        </w:rPr>
      </w:pPr>
      <w:r w:rsidRPr="00E976E3">
        <w:rPr>
          <w:b/>
          <w:sz w:val="28"/>
          <w:szCs w:val="28"/>
        </w:rPr>
        <w:lastRenderedPageBreak/>
        <w:t>Special precautions for disposal</w:t>
      </w:r>
    </w:p>
    <w:p w14:paraId="49ACBFE6" w14:textId="634C3A78" w:rsidR="005A16F9" w:rsidRPr="00E976E3" w:rsidRDefault="00000000" w:rsidP="00E976E3">
      <w:pPr>
        <w:pStyle w:val="ListParagraph"/>
        <w:tabs>
          <w:tab w:val="center" w:pos="2355"/>
        </w:tabs>
        <w:spacing w:before="240" w:line="264" w:lineRule="auto"/>
        <w:ind w:left="794"/>
        <w:contextualSpacing w:val="0"/>
        <w:rPr>
          <w:b/>
          <w:sz w:val="28"/>
          <w:szCs w:val="28"/>
        </w:rPr>
      </w:pPr>
      <w:r w:rsidRPr="00E976E3">
        <w:rPr>
          <w:bCs/>
          <w:color w:val="FF0000"/>
          <w:sz w:val="28"/>
          <w:szCs w:val="28"/>
        </w:rPr>
        <w:t>&lt;REGARDING THE APPROVAL&gt;</w:t>
      </w:r>
    </w:p>
    <w:p w14:paraId="72D693FA" w14:textId="77777777" w:rsidR="00E976E3" w:rsidRDefault="00000000" w:rsidP="00E976E3">
      <w:pPr>
        <w:pStyle w:val="ListParagraph"/>
        <w:numPr>
          <w:ilvl w:val="0"/>
          <w:numId w:val="2"/>
        </w:numPr>
        <w:spacing w:before="240" w:line="264" w:lineRule="auto"/>
        <w:ind w:left="357" w:hanging="357"/>
        <w:contextualSpacing w:val="0"/>
        <w:rPr>
          <w:b/>
          <w:sz w:val="28"/>
          <w:szCs w:val="28"/>
        </w:rPr>
      </w:pPr>
      <w:r w:rsidRPr="00E976E3">
        <w:rPr>
          <w:b/>
          <w:sz w:val="28"/>
          <w:szCs w:val="28"/>
        </w:rPr>
        <w:t>MARKETING AUTHORISATION HOLDER</w:t>
      </w:r>
    </w:p>
    <w:p w14:paraId="14B6B6DF" w14:textId="77777777" w:rsidR="00E976E3" w:rsidRDefault="00000000" w:rsidP="00E976E3">
      <w:pPr>
        <w:pStyle w:val="ListParagraph"/>
        <w:spacing w:line="264" w:lineRule="auto"/>
        <w:ind w:left="357"/>
        <w:contextualSpacing w:val="0"/>
        <w:rPr>
          <w:bCs/>
          <w:color w:val="FF0000"/>
          <w:sz w:val="28"/>
          <w:szCs w:val="28"/>
        </w:rPr>
      </w:pPr>
      <w:r w:rsidRPr="00E976E3">
        <w:rPr>
          <w:bCs/>
          <w:color w:val="FF0000"/>
          <w:sz w:val="28"/>
          <w:szCs w:val="28"/>
        </w:rPr>
        <w:t>&lt;REGARDING THE APPROVAL&gt;</w:t>
      </w:r>
    </w:p>
    <w:p w14:paraId="739FD100" w14:textId="77777777" w:rsidR="00E976E3" w:rsidRPr="00E976E3" w:rsidRDefault="00000000" w:rsidP="00E976E3">
      <w:pPr>
        <w:pStyle w:val="ListParagraph"/>
        <w:numPr>
          <w:ilvl w:val="0"/>
          <w:numId w:val="2"/>
        </w:numPr>
        <w:spacing w:line="264" w:lineRule="auto"/>
        <w:ind w:left="357" w:hanging="357"/>
        <w:contextualSpacing w:val="0"/>
        <w:rPr>
          <w:b/>
          <w:sz w:val="28"/>
          <w:szCs w:val="28"/>
        </w:rPr>
      </w:pPr>
      <w:r w:rsidRPr="00E976E3">
        <w:rPr>
          <w:rFonts w:cs="Times New Roman"/>
          <w:b/>
          <w:sz w:val="28"/>
          <w:szCs w:val="28"/>
        </w:rPr>
        <w:t>MARKETING AUTHORISATION NUMBER(S)</w:t>
      </w:r>
    </w:p>
    <w:p w14:paraId="3097A841" w14:textId="77777777" w:rsidR="00E976E3" w:rsidRDefault="00000000" w:rsidP="00E976E3">
      <w:pPr>
        <w:pStyle w:val="ListParagraph"/>
        <w:spacing w:line="264" w:lineRule="auto"/>
        <w:ind w:left="357"/>
        <w:contextualSpacing w:val="0"/>
        <w:rPr>
          <w:bCs/>
          <w:color w:val="FF0000"/>
          <w:sz w:val="28"/>
          <w:szCs w:val="28"/>
        </w:rPr>
      </w:pPr>
      <w:r w:rsidRPr="00E976E3">
        <w:rPr>
          <w:bCs/>
          <w:color w:val="FF0000"/>
          <w:sz w:val="28"/>
          <w:szCs w:val="28"/>
        </w:rPr>
        <w:t>&lt;REGARDING THE APPROVAL&gt;</w:t>
      </w:r>
    </w:p>
    <w:p w14:paraId="66C6DF21" w14:textId="77777777" w:rsidR="00E976E3" w:rsidRPr="00E976E3" w:rsidRDefault="00000000" w:rsidP="00E976E3">
      <w:pPr>
        <w:pStyle w:val="ListParagraph"/>
        <w:numPr>
          <w:ilvl w:val="0"/>
          <w:numId w:val="2"/>
        </w:numPr>
        <w:spacing w:line="264" w:lineRule="auto"/>
        <w:ind w:left="357" w:hanging="357"/>
        <w:contextualSpacing w:val="0"/>
        <w:rPr>
          <w:b/>
          <w:sz w:val="28"/>
          <w:szCs w:val="28"/>
        </w:rPr>
      </w:pPr>
      <w:r w:rsidRPr="00E976E3">
        <w:rPr>
          <w:rFonts w:cs="Times New Roman"/>
          <w:b/>
          <w:sz w:val="28"/>
          <w:szCs w:val="28"/>
        </w:rPr>
        <w:t>DATE OF FIRST AUTHORISATION/RENEWAL OF THE AUTHORISATION</w:t>
      </w:r>
    </w:p>
    <w:p w14:paraId="366DCB30" w14:textId="77777777" w:rsidR="00E976E3" w:rsidRDefault="00000000" w:rsidP="00E976E3">
      <w:pPr>
        <w:pStyle w:val="ListParagraph"/>
        <w:spacing w:line="264" w:lineRule="auto"/>
        <w:ind w:left="357"/>
        <w:contextualSpacing w:val="0"/>
        <w:rPr>
          <w:bCs/>
          <w:color w:val="FF0000"/>
          <w:sz w:val="28"/>
          <w:szCs w:val="28"/>
        </w:rPr>
      </w:pPr>
      <w:r w:rsidRPr="00E976E3">
        <w:rPr>
          <w:bCs/>
          <w:color w:val="FF0000"/>
          <w:sz w:val="28"/>
          <w:szCs w:val="28"/>
        </w:rPr>
        <w:t>&lt;REGARDING THE APPROVAL&gt;</w:t>
      </w:r>
    </w:p>
    <w:p w14:paraId="08EF60A3" w14:textId="437DB3C4" w:rsidR="00E976E3" w:rsidRPr="00E976E3" w:rsidRDefault="00000000" w:rsidP="00E976E3">
      <w:pPr>
        <w:pStyle w:val="ListParagraph"/>
        <w:numPr>
          <w:ilvl w:val="0"/>
          <w:numId w:val="2"/>
        </w:numPr>
        <w:spacing w:line="264" w:lineRule="auto"/>
        <w:ind w:left="357" w:hanging="357"/>
        <w:contextualSpacing w:val="0"/>
        <w:rPr>
          <w:b/>
          <w:sz w:val="28"/>
          <w:szCs w:val="28"/>
        </w:rPr>
      </w:pPr>
      <w:r w:rsidRPr="00E976E3">
        <w:rPr>
          <w:rFonts w:cs="Times New Roman"/>
          <w:b/>
          <w:sz w:val="28"/>
          <w:szCs w:val="28"/>
        </w:rPr>
        <w:t>DATE OF REVISION OF THE TEXT</w:t>
      </w:r>
      <w:r w:rsidR="00E976E3">
        <w:rPr>
          <w:rFonts w:cs="Times New Roman"/>
          <w:b/>
          <w:sz w:val="28"/>
          <w:szCs w:val="28"/>
          <w:vertAlign w:val="superscript"/>
        </w:rPr>
        <w:t>1</w:t>
      </w:r>
    </w:p>
    <w:p w14:paraId="675D5121" w14:textId="165D00AB" w:rsidR="005A16F9" w:rsidRDefault="00000000" w:rsidP="00E976E3">
      <w:pPr>
        <w:pStyle w:val="ListParagraph"/>
        <w:spacing w:after="1106" w:line="265" w:lineRule="auto"/>
        <w:ind w:left="360"/>
        <w:rPr>
          <w:bCs/>
          <w:color w:val="FF0000"/>
          <w:sz w:val="28"/>
          <w:szCs w:val="28"/>
        </w:rPr>
      </w:pPr>
      <w:r w:rsidRPr="00E976E3">
        <w:rPr>
          <w:bCs/>
          <w:color w:val="FF0000"/>
          <w:sz w:val="28"/>
          <w:szCs w:val="28"/>
        </w:rPr>
        <w:t>&lt;REGARDING THE APPROVAL&gt;</w:t>
      </w:r>
    </w:p>
    <w:p w14:paraId="01CE8320" w14:textId="77777777" w:rsidR="00E976E3" w:rsidRDefault="00E976E3" w:rsidP="00E976E3">
      <w:pPr>
        <w:pStyle w:val="ListParagraph"/>
        <w:spacing w:after="1106" w:line="265" w:lineRule="auto"/>
        <w:ind w:left="360"/>
        <w:rPr>
          <w:bCs/>
          <w:color w:val="FF0000"/>
          <w:sz w:val="28"/>
          <w:szCs w:val="28"/>
        </w:rPr>
      </w:pPr>
    </w:p>
    <w:p w14:paraId="29B42304" w14:textId="77777777" w:rsidR="00E976E3" w:rsidRDefault="00E976E3" w:rsidP="00E976E3">
      <w:pPr>
        <w:pStyle w:val="ListParagraph"/>
        <w:spacing w:after="1106" w:line="265" w:lineRule="auto"/>
        <w:ind w:left="360"/>
        <w:rPr>
          <w:bCs/>
          <w:color w:val="FF0000"/>
          <w:sz w:val="28"/>
          <w:szCs w:val="28"/>
        </w:rPr>
      </w:pPr>
    </w:p>
    <w:p w14:paraId="526779B4" w14:textId="77777777" w:rsidR="00E976E3" w:rsidRDefault="00E976E3" w:rsidP="00E976E3">
      <w:pPr>
        <w:pStyle w:val="ListParagraph"/>
        <w:spacing w:after="1106" w:line="265" w:lineRule="auto"/>
        <w:ind w:left="360"/>
        <w:rPr>
          <w:bCs/>
          <w:color w:val="FF0000"/>
          <w:sz w:val="28"/>
          <w:szCs w:val="28"/>
        </w:rPr>
      </w:pPr>
    </w:p>
    <w:p w14:paraId="41EDC009" w14:textId="77777777" w:rsidR="00E976E3" w:rsidRDefault="00E976E3" w:rsidP="00E976E3">
      <w:pPr>
        <w:pStyle w:val="ListParagraph"/>
        <w:spacing w:after="1106" w:line="265" w:lineRule="auto"/>
        <w:ind w:left="360"/>
        <w:rPr>
          <w:bCs/>
          <w:color w:val="FF0000"/>
          <w:sz w:val="28"/>
          <w:szCs w:val="28"/>
        </w:rPr>
      </w:pPr>
    </w:p>
    <w:p w14:paraId="141D9785" w14:textId="77777777" w:rsidR="00E976E3" w:rsidRDefault="00E976E3" w:rsidP="00E976E3">
      <w:pPr>
        <w:pStyle w:val="ListParagraph"/>
        <w:spacing w:after="1106" w:line="265" w:lineRule="auto"/>
        <w:ind w:left="360"/>
        <w:rPr>
          <w:bCs/>
          <w:color w:val="FF0000"/>
          <w:sz w:val="28"/>
          <w:szCs w:val="28"/>
        </w:rPr>
      </w:pPr>
    </w:p>
    <w:p w14:paraId="1D992747" w14:textId="77777777" w:rsidR="00E976E3" w:rsidRDefault="00E976E3" w:rsidP="00E976E3">
      <w:pPr>
        <w:pStyle w:val="ListParagraph"/>
        <w:spacing w:after="1106" w:line="265" w:lineRule="auto"/>
        <w:ind w:left="360"/>
        <w:rPr>
          <w:bCs/>
          <w:color w:val="FF0000"/>
          <w:sz w:val="28"/>
          <w:szCs w:val="28"/>
        </w:rPr>
      </w:pPr>
    </w:p>
    <w:p w14:paraId="5523F918" w14:textId="77777777" w:rsidR="00E976E3" w:rsidRDefault="00E976E3" w:rsidP="00E976E3">
      <w:pPr>
        <w:pStyle w:val="ListParagraph"/>
        <w:spacing w:after="1106" w:line="265" w:lineRule="auto"/>
        <w:ind w:left="360"/>
        <w:rPr>
          <w:bCs/>
          <w:color w:val="FF0000"/>
          <w:sz w:val="28"/>
          <w:szCs w:val="28"/>
        </w:rPr>
      </w:pPr>
    </w:p>
    <w:p w14:paraId="1265903E" w14:textId="77777777" w:rsidR="00E976E3" w:rsidRDefault="00E976E3" w:rsidP="00E976E3">
      <w:pPr>
        <w:pStyle w:val="ListParagraph"/>
        <w:spacing w:after="1106" w:line="265" w:lineRule="auto"/>
        <w:ind w:left="360"/>
        <w:rPr>
          <w:bCs/>
          <w:color w:val="FF0000"/>
          <w:sz w:val="28"/>
          <w:szCs w:val="28"/>
        </w:rPr>
      </w:pPr>
    </w:p>
    <w:p w14:paraId="133962C3" w14:textId="77777777" w:rsidR="00E976E3" w:rsidRDefault="00E976E3" w:rsidP="00E976E3">
      <w:pPr>
        <w:pStyle w:val="ListParagraph"/>
        <w:spacing w:after="1106" w:line="265" w:lineRule="auto"/>
        <w:ind w:left="360"/>
        <w:rPr>
          <w:bCs/>
          <w:color w:val="FF0000"/>
          <w:sz w:val="28"/>
          <w:szCs w:val="28"/>
        </w:rPr>
      </w:pPr>
    </w:p>
    <w:p w14:paraId="4539A94E" w14:textId="77777777" w:rsidR="00E976E3" w:rsidRDefault="00E976E3" w:rsidP="00E976E3">
      <w:pPr>
        <w:pStyle w:val="ListParagraph"/>
        <w:spacing w:after="1106" w:line="265" w:lineRule="auto"/>
        <w:ind w:left="360"/>
        <w:rPr>
          <w:bCs/>
          <w:color w:val="FF0000"/>
          <w:sz w:val="28"/>
          <w:szCs w:val="28"/>
        </w:rPr>
      </w:pPr>
    </w:p>
    <w:p w14:paraId="1B591974" w14:textId="77777777" w:rsidR="00E976E3" w:rsidRDefault="00E976E3" w:rsidP="00E976E3">
      <w:pPr>
        <w:pStyle w:val="ListParagraph"/>
        <w:spacing w:after="1106" w:line="265" w:lineRule="auto"/>
        <w:ind w:left="360"/>
        <w:rPr>
          <w:bCs/>
          <w:color w:val="FF0000"/>
          <w:sz w:val="28"/>
          <w:szCs w:val="28"/>
        </w:rPr>
      </w:pPr>
    </w:p>
    <w:p w14:paraId="53D33E7C" w14:textId="77777777" w:rsidR="00E976E3" w:rsidRDefault="00E976E3" w:rsidP="00E976E3">
      <w:pPr>
        <w:pStyle w:val="ListParagraph"/>
        <w:spacing w:after="1106" w:line="265" w:lineRule="auto"/>
        <w:ind w:left="360"/>
        <w:rPr>
          <w:bCs/>
          <w:color w:val="FF0000"/>
          <w:sz w:val="28"/>
          <w:szCs w:val="28"/>
        </w:rPr>
      </w:pPr>
    </w:p>
    <w:p w14:paraId="676DF0D4" w14:textId="77777777" w:rsidR="00E976E3" w:rsidRPr="00E976E3" w:rsidRDefault="00E976E3" w:rsidP="00E976E3">
      <w:pPr>
        <w:pStyle w:val="ListParagraph"/>
        <w:spacing w:after="1106" w:line="265" w:lineRule="auto"/>
        <w:ind w:left="360"/>
        <w:rPr>
          <w:b/>
          <w:sz w:val="28"/>
          <w:szCs w:val="28"/>
        </w:rPr>
      </w:pPr>
    </w:p>
    <w:p w14:paraId="114149E8" w14:textId="77777777" w:rsidR="005A16F9" w:rsidRPr="00E976E3" w:rsidRDefault="00000000" w:rsidP="00E976E3">
      <w:pPr>
        <w:spacing w:after="171" w:line="259" w:lineRule="auto"/>
        <w:ind w:left="0"/>
        <w:rPr>
          <w:bCs/>
          <w:sz w:val="28"/>
          <w:szCs w:val="28"/>
        </w:rPr>
      </w:pPr>
      <w:r w:rsidRPr="00E976E3">
        <w:rPr>
          <w:rFonts w:eastAsia="Calibri"/>
          <w:bCs/>
          <w:noProof/>
          <w:sz w:val="28"/>
          <w:szCs w:val="28"/>
        </w:rPr>
        <mc:AlternateContent>
          <mc:Choice Requires="wpg">
            <w:drawing>
              <wp:inline distT="0" distB="0" distL="0" distR="0" wp14:anchorId="3D4DA63F" wp14:editId="66EF98B9">
                <wp:extent cx="1828800" cy="9525"/>
                <wp:effectExtent l="0" t="0" r="0" b="0"/>
                <wp:docPr id="8438" name="Group 8438"/>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1272" name="Shape 1272"/>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5C7A2D" id="Group 8438" o:spid="_x0000_s1026" style="width:2in;height:.75pt;mso-position-horizontal-relative:char;mso-position-vertical-relative:line" coordsize="18288,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">
                <v:shape id="Shape 1272" o:spid="_x0000_s1027" style="position:absolute;width:18288;height:0;visibility:visible;mso-wrap-style:square;v-text-anchor:top" coordsize="1828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" path="m,l1828800,e" filled="f">
                  <v:stroke miterlimit="83231f" joinstyle="miter"/>
                  <v:path arrowok="t" textboxrect="0,0,1828800,0"/>
                </v:shape>
                <w10:anchorlock/>
              </v:group>
            </w:pict>
          </mc:Fallback>
        </mc:AlternateContent>
      </w:r>
    </w:p>
    <w:p w14:paraId="10BCFD49" w14:textId="77777777" w:rsidR="005A16F9" w:rsidRPr="00E976E3" w:rsidRDefault="00000000" w:rsidP="0091430E">
      <w:pPr>
        <w:spacing w:after="0" w:line="259" w:lineRule="auto"/>
        <w:ind w:left="15"/>
        <w:rPr>
          <w:bCs/>
          <w:sz w:val="28"/>
          <w:szCs w:val="28"/>
        </w:rPr>
      </w:pPr>
      <w:r w:rsidRPr="00E976E3">
        <w:rPr>
          <w:bCs/>
          <w:sz w:val="28"/>
          <w:szCs w:val="28"/>
          <w:vertAlign w:val="superscript"/>
        </w:rPr>
        <w:t>1</w:t>
      </w:r>
      <w:r w:rsidRPr="00E976E3">
        <w:rPr>
          <w:bCs/>
          <w:sz w:val="28"/>
          <w:szCs w:val="28"/>
        </w:rPr>
        <w:t>Ref: Pevaryl 1%, MHRA, 16/11/2022</w:t>
      </w:r>
    </w:p>
    <w:sectPr w:rsidR="005A16F9" w:rsidRPr="00E976E3" w:rsidSect="0091430E">
      <w:pgSz w:w="11920" w:h="16840"/>
      <w:pgMar w:top="1985" w:right="1418" w:bottom="1985"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Quattrocento Sans">
    <w:panose1 w:val="020B0502050000020003"/>
    <w:charset w:val="00"/>
    <w:family w:val="swiss"/>
    <w:pitch w:val="variable"/>
    <w:sig w:usb0="800000BF" w:usb1="4000005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62274"/>
    <w:multiLevelType w:val="hybridMultilevel"/>
    <w:tmpl w:val="DA800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FF7251"/>
    <w:multiLevelType w:val="multilevel"/>
    <w:tmpl w:val="34B44D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4F34FC"/>
    <w:multiLevelType w:val="multilevel"/>
    <w:tmpl w:val="34B44D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5F2CD2"/>
    <w:multiLevelType w:val="multilevel"/>
    <w:tmpl w:val="34B44D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68271D"/>
    <w:multiLevelType w:val="multilevel"/>
    <w:tmpl w:val="34B44D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DB2661"/>
    <w:multiLevelType w:val="hybridMultilevel"/>
    <w:tmpl w:val="4294AED2"/>
    <w:lvl w:ilvl="0" w:tplc="4D30A30A">
      <w:start w:val="7"/>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252D15E">
      <w:start w:val="1"/>
      <w:numFmt w:val="lowerLetter"/>
      <w:lvlText w:val="%2"/>
      <w:lvlJc w:val="left"/>
      <w:pPr>
        <w:ind w:left="1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53E798C">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0E7970">
      <w:start w:val="1"/>
      <w:numFmt w:val="decimal"/>
      <w:lvlText w:val="%4"/>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884F1B2">
      <w:start w:val="1"/>
      <w:numFmt w:val="lowerLetter"/>
      <w:lvlText w:val="%5"/>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003A56">
      <w:start w:val="1"/>
      <w:numFmt w:val="lowerRoman"/>
      <w:lvlText w:val="%6"/>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0A4619E">
      <w:start w:val="1"/>
      <w:numFmt w:val="decimal"/>
      <w:lvlText w:val="%7"/>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F829588">
      <w:start w:val="1"/>
      <w:numFmt w:val="lowerLetter"/>
      <w:lvlText w:val="%8"/>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A3E0264">
      <w:start w:val="1"/>
      <w:numFmt w:val="lowerRoman"/>
      <w:lvlText w:val="%9"/>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55B0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8584182">
    <w:abstractNumId w:val="5"/>
  </w:num>
  <w:num w:numId="2" w16cid:durableId="1730610817">
    <w:abstractNumId w:val="3"/>
  </w:num>
  <w:num w:numId="3" w16cid:durableId="875892485">
    <w:abstractNumId w:val="6"/>
  </w:num>
  <w:num w:numId="4" w16cid:durableId="700056292">
    <w:abstractNumId w:val="0"/>
  </w:num>
  <w:num w:numId="5" w16cid:durableId="855774576">
    <w:abstractNumId w:val="2"/>
  </w:num>
  <w:num w:numId="6" w16cid:durableId="1884751693">
    <w:abstractNumId w:val="4"/>
  </w:num>
  <w:num w:numId="7" w16cid:durableId="191400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F9"/>
    <w:rsid w:val="005A16F9"/>
    <w:rsid w:val="00800F90"/>
    <w:rsid w:val="0091430E"/>
    <w:rsid w:val="00C51289"/>
    <w:rsid w:val="00E976E3"/>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217A873C"/>
  <w15:docId w15:val="{8097A68C-62FA-D74C-BA1D-C878602F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240" w:line="360" w:lineRule="auto"/>
        <w:ind w:left="794"/>
        <w:jc w:val="thai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65" w:lineRule="auto"/>
      <w:ind w:left="730" w:hanging="10"/>
      <w:jc w:val="left"/>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37" w:line="265" w:lineRule="auto"/>
      <w:ind w:left="10" w:hanging="10"/>
      <w:jc w:val="left"/>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430E"/>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1</TotalTime>
  <Pages>9</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6909_1_econazole_cream_smpc_MHRA.docx</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6909_1_econazole_cream_smpc_MHRA.docx</dc:title>
  <dc:subject/>
  <dc:creator>PIYATIDA PANITSUPAKAMOL</dc:creator>
  <cp:keywords/>
  <cp:lastModifiedBy>PIYATIDA PANITSUPAKAMOL</cp:lastModifiedBy>
  <cp:revision>2</cp:revision>
  <dcterms:created xsi:type="dcterms:W3CDTF">2024-09-05T15:45:00Z</dcterms:created>
  <dcterms:modified xsi:type="dcterms:W3CDTF">2024-09-05T15:45:00Z</dcterms:modified>
</cp:coreProperties>
</file>