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34977933" w:rsidR="00227FD4" w:rsidRPr="00E641A1" w:rsidRDefault="00826464" w:rsidP="00AF212D">
      <w:pPr>
        <w:pStyle w:val="BodyTextSMPC"/>
        <w:rPr>
          <w:rFonts w:cstheme="minorBidi"/>
        </w:rPr>
      </w:pPr>
      <w:r>
        <w:t>M</w:t>
      </w:r>
      <w:r w:rsidRPr="00826464">
        <w:t>efenamic acid</w:t>
      </w:r>
      <w:r w:rsidR="00C069FE" w:rsidRPr="005574FA">
        <w:rPr>
          <w:color w:val="FF0000"/>
        </w:rPr>
        <w:t>&lt;TRADE NAME&gt; &lt;STRENGTH&gt;</w:t>
      </w:r>
      <w:r w:rsidR="00A10233">
        <w:rPr>
          <w:color w:val="FF0000"/>
        </w:rPr>
        <w:t xml:space="preserve"> </w:t>
      </w:r>
      <w:r>
        <w:t>Capsules</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0DA9DC66" w14:textId="1E1F5ADF" w:rsidR="00A10233" w:rsidRDefault="008639E1" w:rsidP="00391F2E">
      <w:pPr>
        <w:pStyle w:val="BodyTextSMPC"/>
      </w:pPr>
      <w:r w:rsidRPr="008639E1">
        <w:t xml:space="preserve">Each </w:t>
      </w:r>
      <w:r w:rsidR="00826464">
        <w:t>capsules</w:t>
      </w:r>
      <w:r w:rsidRPr="008639E1">
        <w:t xml:space="preserve"> contains </w:t>
      </w:r>
      <w:r w:rsidR="00A10233" w:rsidRPr="005574FA">
        <w:rPr>
          <w:color w:val="FF0000"/>
        </w:rPr>
        <w:t>&lt;STRENGTH&gt;</w:t>
      </w:r>
      <w:r w:rsidR="00A10233">
        <w:rPr>
          <w:color w:val="FF0000"/>
        </w:rPr>
        <w:t xml:space="preserve"> </w:t>
      </w:r>
      <w:r w:rsidR="00826464" w:rsidRPr="00826464">
        <w:t>mefenamic acid</w:t>
      </w:r>
    </w:p>
    <w:p w14:paraId="5C373BE4" w14:textId="42A391AC" w:rsidR="00A144D2" w:rsidRPr="008F5678" w:rsidRDefault="00000000" w:rsidP="00AF212D">
      <w:pPr>
        <w:pStyle w:val="BodyTextSMPC"/>
      </w:pPr>
      <w:r w:rsidRPr="008F5678">
        <w:t xml:space="preserve">For the full list of excipients, see section 6.1. </w:t>
      </w:r>
    </w:p>
    <w:p w14:paraId="52CB22EB" w14:textId="13522123" w:rsidR="00227FD4" w:rsidRPr="008F5678" w:rsidRDefault="00000000" w:rsidP="00AF212D">
      <w:pPr>
        <w:pStyle w:val="BodyTextSMPC"/>
        <w:rPr>
          <w:color w:val="FF0000"/>
        </w:rPr>
      </w:pPr>
      <w:r w:rsidRPr="008F5678">
        <w:rPr>
          <w:color w:val="FF0000"/>
        </w:rPr>
        <w:t>&lt;REGARDING THE APPROVAL&gt;</w:t>
      </w:r>
    </w:p>
    <w:p w14:paraId="7E05B8A9" w14:textId="77777777" w:rsidR="00A144D2" w:rsidRPr="008F5678" w:rsidRDefault="00000000" w:rsidP="00834A79">
      <w:pPr>
        <w:pStyle w:val="HEADING1SMPC"/>
      </w:pPr>
      <w:r w:rsidRPr="008F5678">
        <w:t xml:space="preserve">PHARMACEUTICAL FORM </w:t>
      </w:r>
    </w:p>
    <w:p w14:paraId="74CE521D" w14:textId="6D987BBB" w:rsidR="00227FD4" w:rsidRPr="00070173" w:rsidRDefault="00826464" w:rsidP="00AF212D">
      <w:pPr>
        <w:pStyle w:val="BodyTextSMPC"/>
        <w:rPr>
          <w:rFonts w:cs="Angsana New"/>
          <w:szCs w:val="35"/>
        </w:rPr>
      </w:pPr>
      <w:r>
        <w:t>Capsules</w:t>
      </w:r>
      <w:r w:rsidRPr="008F5678">
        <w:rPr>
          <w:color w:val="FF0000"/>
        </w:rPr>
        <w:t xml:space="preserve"> </w:t>
      </w:r>
      <w:r w:rsidR="008639E1"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00BC808A" w14:textId="6248A261" w:rsidR="00A10233" w:rsidRPr="00E86F32" w:rsidRDefault="00000000" w:rsidP="00E86F32">
      <w:pPr>
        <w:pStyle w:val="SubHeafingSMPC"/>
      </w:pPr>
      <w:r w:rsidRPr="008F5678">
        <w:t xml:space="preserve">Therapeutic indications </w:t>
      </w:r>
    </w:p>
    <w:p w14:paraId="2D79A845" w14:textId="24FF2760" w:rsidR="00795F52" w:rsidRPr="00795F52" w:rsidRDefault="00795F52" w:rsidP="00795F52">
      <w:pPr>
        <w:pStyle w:val="BodyTextSMPC"/>
        <w:rPr>
          <w:rFonts w:cstheme="minorBidi"/>
        </w:rPr>
      </w:pPr>
      <w:r w:rsidRPr="00795F52">
        <w:rPr>
          <w:rFonts w:cstheme="minorBidi"/>
        </w:rPr>
        <w:t xml:space="preserve">Mefenamic acid is a non-steroidal anti-inflammatory agent with analgesic properties, and a demonstrable antipyretic effect. It has been shown to inhibit prostaglandin activity. </w:t>
      </w:r>
    </w:p>
    <w:p w14:paraId="2F393C34" w14:textId="77777777" w:rsidR="00795F52" w:rsidRPr="00795F52" w:rsidRDefault="00795F52" w:rsidP="00795F52">
      <w:pPr>
        <w:pStyle w:val="BodyTextSMPC"/>
        <w:rPr>
          <w:rFonts w:cstheme="minorBidi"/>
        </w:rPr>
      </w:pPr>
      <w:r w:rsidRPr="00795F52">
        <w:rPr>
          <w:rFonts w:cstheme="minorBidi"/>
        </w:rPr>
        <w:t xml:space="preserve">Indications </w:t>
      </w:r>
    </w:p>
    <w:p w14:paraId="28962057" w14:textId="0539DA36" w:rsidR="00795F52" w:rsidRPr="00795F52" w:rsidRDefault="00795F52" w:rsidP="00795F52">
      <w:pPr>
        <w:pStyle w:val="BodyTextSMPC"/>
        <w:rPr>
          <w:rFonts w:cstheme="minorBidi"/>
        </w:rPr>
      </w:pPr>
      <w:r w:rsidRPr="00795F52">
        <w:rPr>
          <w:rFonts w:cstheme="minorBidi"/>
        </w:rPr>
        <w:t xml:space="preserve">1. As an anti-inflammatory analgesic for the symptomatic relief of rheumatoid arthritis ( including Still’s Disease ), osteoarthritis, and pain including muscular, traumatic and dental pain, headaches of most </w:t>
      </w:r>
      <w:proofErr w:type="spellStart"/>
      <w:r w:rsidRPr="00795F52">
        <w:rPr>
          <w:rFonts w:cstheme="minorBidi"/>
        </w:rPr>
        <w:t>aetiology</w:t>
      </w:r>
      <w:proofErr w:type="spellEnd"/>
      <w:r w:rsidRPr="00795F52">
        <w:rPr>
          <w:rFonts w:cstheme="minorBidi"/>
        </w:rPr>
        <w:t xml:space="preserve">, post-operative and post-partum pain; pyrexia in children. </w:t>
      </w:r>
    </w:p>
    <w:p w14:paraId="226383AC" w14:textId="77777777" w:rsidR="00795F52" w:rsidRPr="00795F52" w:rsidRDefault="00795F52" w:rsidP="00795F52">
      <w:pPr>
        <w:pStyle w:val="BodyTextSMPC"/>
        <w:rPr>
          <w:rFonts w:cstheme="minorBidi"/>
        </w:rPr>
      </w:pPr>
      <w:r w:rsidRPr="00795F52">
        <w:rPr>
          <w:rFonts w:cstheme="minorBidi"/>
        </w:rPr>
        <w:t xml:space="preserve">2. Primary </w:t>
      </w:r>
      <w:proofErr w:type="spellStart"/>
      <w:r w:rsidRPr="00795F52">
        <w:rPr>
          <w:rFonts w:cstheme="minorBidi"/>
        </w:rPr>
        <w:t>dysmenorrhoea</w:t>
      </w:r>
      <w:proofErr w:type="spellEnd"/>
      <w:r w:rsidRPr="00795F52">
        <w:rPr>
          <w:rFonts w:cstheme="minorBidi"/>
        </w:rPr>
        <w:t xml:space="preserve">. </w:t>
      </w:r>
    </w:p>
    <w:p w14:paraId="6AB32669" w14:textId="1774F36E" w:rsidR="00795F52" w:rsidRDefault="00795F52" w:rsidP="00795F52">
      <w:pPr>
        <w:pStyle w:val="BodyTextSMPC"/>
        <w:rPr>
          <w:rFonts w:cstheme="minorBidi"/>
        </w:rPr>
      </w:pPr>
      <w:r w:rsidRPr="00795F52">
        <w:rPr>
          <w:rFonts w:cstheme="minorBidi"/>
        </w:rPr>
        <w:t>3. Menorrhagia due to dysfunctional causes and presence of an IUD when other pelvic pathology has been ruled out.</w:t>
      </w:r>
      <w:r w:rsidRPr="00795F52">
        <w:rPr>
          <w:rFonts w:cstheme="minorBidi"/>
        </w:rPr>
        <w:t xml:space="preserve"> </w:t>
      </w:r>
    </w:p>
    <w:p w14:paraId="1A65FE50" w14:textId="77777777" w:rsidR="00795F52" w:rsidRDefault="00795F52" w:rsidP="00795F52">
      <w:pPr>
        <w:pStyle w:val="BodyTextSMPC"/>
        <w:rPr>
          <w:rFonts w:cstheme="minorBidi"/>
        </w:rPr>
      </w:pPr>
    </w:p>
    <w:p w14:paraId="361392E9" w14:textId="0F394946" w:rsidR="00732389" w:rsidRPr="00C864CB" w:rsidRDefault="00000000" w:rsidP="00C864CB">
      <w:pPr>
        <w:pStyle w:val="SubHeafingSMPC"/>
      </w:pPr>
      <w:r w:rsidRPr="008F5678">
        <w:lastRenderedPageBreak/>
        <w:t>Posology and method of administration</w:t>
      </w:r>
    </w:p>
    <w:p w14:paraId="2090D318" w14:textId="796C95FA" w:rsidR="00795F52" w:rsidRDefault="00795F52" w:rsidP="00795F52">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4.4). </w:t>
      </w:r>
    </w:p>
    <w:p w14:paraId="6EFF00FB" w14:textId="77777777" w:rsidR="00795F52" w:rsidRDefault="00795F52" w:rsidP="00795F52">
      <w:pPr>
        <w:pStyle w:val="BodyTextSMPC"/>
      </w:pPr>
      <w:r>
        <w:t xml:space="preserve">Do not exceed the stated dose. </w:t>
      </w:r>
    </w:p>
    <w:p w14:paraId="47D57F0A" w14:textId="77777777" w:rsidR="00795F52" w:rsidRPr="00795F52" w:rsidRDefault="00795F52" w:rsidP="00795F52">
      <w:pPr>
        <w:pStyle w:val="BodyTextSMPC"/>
        <w:rPr>
          <w:b/>
          <w:bCs/>
        </w:rPr>
      </w:pPr>
      <w:r w:rsidRPr="00795F52">
        <w:rPr>
          <w:b/>
          <w:bCs/>
        </w:rPr>
        <w:t>Posology</w:t>
      </w:r>
    </w:p>
    <w:p w14:paraId="64778529" w14:textId="77777777" w:rsidR="00795F52" w:rsidRPr="00795F52" w:rsidRDefault="00795F52" w:rsidP="00795F52">
      <w:pPr>
        <w:pStyle w:val="BodyTextSMPC"/>
        <w:rPr>
          <w:b/>
          <w:bCs/>
        </w:rPr>
      </w:pPr>
      <w:r w:rsidRPr="00795F52">
        <w:rPr>
          <w:b/>
          <w:bCs/>
        </w:rPr>
        <w:t xml:space="preserve">Adults </w:t>
      </w:r>
    </w:p>
    <w:p w14:paraId="583C70A0" w14:textId="25323139" w:rsidR="00795F52" w:rsidRDefault="00795F52" w:rsidP="00795F52">
      <w:pPr>
        <w:pStyle w:val="BodyTextSMPC"/>
      </w:pPr>
      <w:r>
        <w:t xml:space="preserve">500 mg three times daily. </w:t>
      </w:r>
    </w:p>
    <w:p w14:paraId="40F75E2C" w14:textId="4420BC1C" w:rsidR="00795F52" w:rsidRDefault="00795F52" w:rsidP="00795F52">
      <w:pPr>
        <w:pStyle w:val="BodyTextSMPC"/>
      </w:pPr>
      <w:r>
        <w:t xml:space="preserve">In menorrhagia to be administered on the first day of excessive bleeding and continued according to the judgment of the physician. In </w:t>
      </w:r>
      <w:proofErr w:type="spellStart"/>
      <w:r>
        <w:t>dysmenorrhoea</w:t>
      </w:r>
      <w:proofErr w:type="spellEnd"/>
      <w:r>
        <w:t xml:space="preserve"> to be administered at the onset of menstrual pain and continued according to the judgment of the physician. </w:t>
      </w:r>
    </w:p>
    <w:p w14:paraId="6CE491FA" w14:textId="77777777" w:rsidR="00795F52" w:rsidRPr="00795F52" w:rsidRDefault="00795F52" w:rsidP="00795F52">
      <w:pPr>
        <w:pStyle w:val="BodyTextSMPC"/>
        <w:rPr>
          <w:b/>
          <w:bCs/>
        </w:rPr>
      </w:pPr>
      <w:r w:rsidRPr="00795F52">
        <w:rPr>
          <w:b/>
          <w:bCs/>
        </w:rPr>
        <w:t xml:space="preserve">Elderly (over 65 years) </w:t>
      </w:r>
    </w:p>
    <w:p w14:paraId="17C1156A" w14:textId="77777777" w:rsidR="00795F52" w:rsidRDefault="00795F52" w:rsidP="00795F52">
      <w:pPr>
        <w:pStyle w:val="BodyTextSMPC"/>
      </w:pPr>
      <w:r>
        <w:t xml:space="preserve">As for adults. </w:t>
      </w:r>
    </w:p>
    <w:p w14:paraId="26E8882E" w14:textId="0CD2F301" w:rsidR="00795F52" w:rsidRDefault="00795F52" w:rsidP="00795F52">
      <w:pPr>
        <w:pStyle w:val="BodyTextSMPC"/>
      </w:pPr>
      <w:r>
        <w:t xml:space="preserve">Whilst no pharmacokinetic or clinical studies specific to the elderly have been undertaken with </w:t>
      </w:r>
      <w:r w:rsidR="00D03A8E">
        <w:t>Mefenamic acid</w:t>
      </w:r>
      <w:r>
        <w:t xml:space="preserve">, it has been used at normal dosage in trials which included many elderly patients. </w:t>
      </w:r>
    </w:p>
    <w:p w14:paraId="32F543E5" w14:textId="3A30B763" w:rsidR="00795F52" w:rsidRDefault="00795F52" w:rsidP="00795F52">
      <w:pPr>
        <w:pStyle w:val="BodyTextSMPC"/>
      </w:pPr>
      <w:r>
        <w:t xml:space="preserve">The elderly are at increased risk of the serious consequences of adverse reactions. If an NSAID is considered necessary, the lowest effective dose should be used and for the shortest possible duration. The patient should be monitored regularly for GI bleeding during NSAID therapy </w:t>
      </w:r>
    </w:p>
    <w:p w14:paraId="65376959" w14:textId="7274B104" w:rsidR="00795F52" w:rsidRDefault="00D03A8E" w:rsidP="00795F52">
      <w:pPr>
        <w:pStyle w:val="BodyTextSMPC"/>
      </w:pPr>
      <w:r>
        <w:t>Mefenamic acid</w:t>
      </w:r>
      <w:r w:rsidR="00795F52">
        <w:t xml:space="preserve"> should be used with caution in elderly patients suffering from dehydration and renal disease. Non-oliguric renal failure and proctocolitis have been reported mainly in elderly patients who have not discontinued mefenamic acid after the development of </w:t>
      </w:r>
      <w:proofErr w:type="spellStart"/>
      <w:r w:rsidR="00795F52">
        <w:t>diarrhoea</w:t>
      </w:r>
      <w:proofErr w:type="spellEnd"/>
      <w:r w:rsidR="00795F52">
        <w:t xml:space="preserve">. </w:t>
      </w:r>
    </w:p>
    <w:p w14:paraId="19D1716C" w14:textId="77777777" w:rsidR="00795F52" w:rsidRPr="00795F52" w:rsidRDefault="00795F52" w:rsidP="00795F52">
      <w:pPr>
        <w:pStyle w:val="BodyTextSMPC"/>
        <w:rPr>
          <w:b/>
          <w:bCs/>
        </w:rPr>
      </w:pPr>
      <w:proofErr w:type="spellStart"/>
      <w:r w:rsidRPr="00795F52">
        <w:rPr>
          <w:b/>
          <w:bCs/>
        </w:rPr>
        <w:t>Paediatric</w:t>
      </w:r>
      <w:proofErr w:type="spellEnd"/>
      <w:r w:rsidRPr="00795F52">
        <w:rPr>
          <w:b/>
          <w:bCs/>
        </w:rPr>
        <w:t xml:space="preserve"> population </w:t>
      </w:r>
    </w:p>
    <w:p w14:paraId="7497D933" w14:textId="5C5ACE57" w:rsidR="00795F52" w:rsidRDefault="00795F52" w:rsidP="00795F52">
      <w:pPr>
        <w:pStyle w:val="BodyTextSMPC"/>
      </w:pPr>
      <w:r>
        <w:t xml:space="preserve">It is recommended that children under 12 years of age should be given Mefenamic Acid Suspension (50 mg / 5 ml). </w:t>
      </w:r>
    </w:p>
    <w:p w14:paraId="007461E8" w14:textId="77777777" w:rsidR="00795F52" w:rsidRPr="00795F52" w:rsidRDefault="00795F52" w:rsidP="00795F52">
      <w:pPr>
        <w:pStyle w:val="BodyTextSMPC"/>
        <w:rPr>
          <w:b/>
          <w:bCs/>
        </w:rPr>
      </w:pPr>
      <w:r w:rsidRPr="00795F52">
        <w:rPr>
          <w:b/>
          <w:bCs/>
        </w:rPr>
        <w:t xml:space="preserve">Method of administration </w:t>
      </w:r>
    </w:p>
    <w:p w14:paraId="6F4E4EFC" w14:textId="77777777" w:rsidR="00795F52" w:rsidRDefault="00795F52" w:rsidP="00795F52">
      <w:pPr>
        <w:pStyle w:val="BodyTextSMPC"/>
      </w:pPr>
      <w:r>
        <w:t>For oral administration.</w:t>
      </w:r>
    </w:p>
    <w:p w14:paraId="6B255F2A" w14:textId="3018D003" w:rsidR="00D511A4" w:rsidRDefault="00857B56" w:rsidP="00857B56">
      <w:pPr>
        <w:pStyle w:val="BodyTextSMPC"/>
      </w:pPr>
      <w:r>
        <w:lastRenderedPageBreak/>
        <w:t>Mefenamic acid</w:t>
      </w:r>
      <w:r w:rsidR="00795F52">
        <w:t xml:space="preserve"> Capsules should be taken preferably with or after food.</w:t>
      </w:r>
      <w:r w:rsidR="00795F52">
        <w:t xml:space="preserve"> </w:t>
      </w:r>
    </w:p>
    <w:p w14:paraId="5B05A77F" w14:textId="77777777" w:rsidR="00671E86" w:rsidRPr="008F5678" w:rsidRDefault="00000000" w:rsidP="00233A79">
      <w:pPr>
        <w:pStyle w:val="SubHeafingSMPC"/>
      </w:pPr>
      <w:r w:rsidRPr="008F5678">
        <w:t>Contraindications</w:t>
      </w:r>
    </w:p>
    <w:p w14:paraId="3442A6CC" w14:textId="2141D890" w:rsidR="00857B56" w:rsidRDefault="00857B56" w:rsidP="00857B56">
      <w:pPr>
        <w:pStyle w:val="BodyTextSMPC"/>
      </w:pPr>
      <w:r>
        <w:t xml:space="preserve">Hypersensitivity to the active substance or any of the excipients listed in section 6.1. </w:t>
      </w:r>
    </w:p>
    <w:p w14:paraId="7C05A50A" w14:textId="583C6D81" w:rsidR="00857B56" w:rsidRDefault="00857B56" w:rsidP="00857B56">
      <w:pPr>
        <w:pStyle w:val="BodyTextSMPC"/>
      </w:pPr>
      <w:r>
        <w:t xml:space="preserve">Inflammatory bowel disease. </w:t>
      </w:r>
    </w:p>
    <w:p w14:paraId="3D2B8C3F" w14:textId="4FE93FE3" w:rsidR="00857B56" w:rsidRDefault="00857B56" w:rsidP="00857B56">
      <w:pPr>
        <w:pStyle w:val="BodyTextSMPC"/>
      </w:pPr>
      <w:r>
        <w:t xml:space="preserve">History of gastrointestinal bleeding or perforation, related to previous NSAIDs therapy. </w:t>
      </w:r>
    </w:p>
    <w:p w14:paraId="63B074E5" w14:textId="3021B5E0" w:rsidR="00857B56" w:rsidRDefault="00857B56" w:rsidP="00857B56">
      <w:pPr>
        <w:pStyle w:val="BodyTextSMPC"/>
      </w:pPr>
      <w:r>
        <w:t>Active, or history of recurrent peptic ulcer/</w:t>
      </w:r>
      <w:proofErr w:type="spellStart"/>
      <w:r>
        <w:t>haemorrhage</w:t>
      </w:r>
      <w:proofErr w:type="spellEnd"/>
      <w:r>
        <w:t xml:space="preserve"> (two or more distinct episodes of proven ulceration or bleeding). </w:t>
      </w:r>
    </w:p>
    <w:p w14:paraId="03815E2C" w14:textId="13909253" w:rsidR="00857B56" w:rsidRDefault="00857B56" w:rsidP="00857B56">
      <w:pPr>
        <w:pStyle w:val="BodyTextSMPC"/>
      </w:pPr>
      <w:r>
        <w:t xml:space="preserve">Severe heart failure, hepatic failure and renal failure (see section 4.4). </w:t>
      </w:r>
    </w:p>
    <w:p w14:paraId="723CCA82" w14:textId="49F0CEE9" w:rsidR="00857B56" w:rsidRDefault="00857B56" w:rsidP="00857B56">
      <w:pPr>
        <w:pStyle w:val="BodyTextSMPC"/>
      </w:pPr>
      <w:r>
        <w:t xml:space="preserve">Because the potential exists for cross-sensitivity to aspirin, ibuprofen, or other non-steroidal anti-inflammatory drugs, mefenamic acid must not be given to patients who have previously shown hypersensitivity reaction (e.g. asthma, bronchospasm, rhinitis, angioedema or urticaria) to these medicines. </w:t>
      </w:r>
    </w:p>
    <w:p w14:paraId="2131DF3B" w14:textId="19F8C163" w:rsidR="00857B56" w:rsidRDefault="00857B56" w:rsidP="00857B56">
      <w:pPr>
        <w:pStyle w:val="BodyTextSMPC"/>
      </w:pPr>
      <w:r>
        <w:t xml:space="preserve">During the last trimester of pregnancy (see section 4.6). </w:t>
      </w:r>
    </w:p>
    <w:p w14:paraId="4D60939E" w14:textId="15522271" w:rsidR="007B18D7" w:rsidRDefault="00857B56" w:rsidP="00857B56">
      <w:pPr>
        <w:pStyle w:val="BodyTextSMPC"/>
      </w:pPr>
      <w:r>
        <w:t>Treatment of pain after coronary artery bypass graft (CABG) surgery.</w:t>
      </w:r>
    </w:p>
    <w:p w14:paraId="6955ACE4" w14:textId="77777777" w:rsidR="00A144D2" w:rsidRPr="008F5678" w:rsidRDefault="00000000" w:rsidP="00671E86">
      <w:pPr>
        <w:pStyle w:val="SubHeafingSMPC"/>
      </w:pPr>
      <w:r w:rsidRPr="008F5678">
        <w:t xml:space="preserve">Special warnings and precautions for use </w:t>
      </w:r>
    </w:p>
    <w:p w14:paraId="5F7FD835" w14:textId="41BB0E4E" w:rsidR="00857B56" w:rsidRDefault="00857B56" w:rsidP="00857B56">
      <w:pPr>
        <w:pStyle w:val="BodyTextSMPC"/>
      </w:pPr>
      <w:r>
        <w:t xml:space="preserve">Undesirable effects may be </w:t>
      </w:r>
      <w:proofErr w:type="spellStart"/>
      <w:r>
        <w:t>minimised</w:t>
      </w:r>
      <w:proofErr w:type="spellEnd"/>
      <w:r>
        <w:t xml:space="preserve"> by using the lowest effective dose for the shortest duration necessary to control symptoms (see section 4.2 and GI and cardiovascular risks below). </w:t>
      </w:r>
    </w:p>
    <w:p w14:paraId="3B7D6D2C" w14:textId="28468935" w:rsidR="00857B56" w:rsidRDefault="00857B56" w:rsidP="00857B56">
      <w:pPr>
        <w:pStyle w:val="BodyTextSMPC"/>
      </w:pPr>
      <w:r>
        <w:t xml:space="preserve">Patients on prolonged therapy should be kept under regular surveillance with particular attention to liver dysfunction, rash, blood dyscrasias or development of </w:t>
      </w:r>
      <w:proofErr w:type="spellStart"/>
      <w:r>
        <w:t>diarrhoea</w:t>
      </w:r>
      <w:proofErr w:type="spellEnd"/>
      <w:r>
        <w:t xml:space="preserve">. Appearance of any of these symptoms should be regarded as an indication to stop therapy immediately (see section 4.8). </w:t>
      </w:r>
    </w:p>
    <w:p w14:paraId="7446E5B8" w14:textId="350A847B" w:rsidR="00857B56" w:rsidRDefault="00857B56" w:rsidP="00857B56">
      <w:pPr>
        <w:pStyle w:val="BodyTextSMPC"/>
      </w:pPr>
      <w:r>
        <w:t xml:space="preserve">Use with concomitant NSAIDs including cyclooxygenase 2 specific inhibitors (see section 4.5). </w:t>
      </w:r>
    </w:p>
    <w:p w14:paraId="5EE9FFA0" w14:textId="7990F3E9" w:rsidR="00857B56" w:rsidRDefault="00857B56" w:rsidP="00857B56">
      <w:pPr>
        <w:pStyle w:val="BodyTextSMPC"/>
      </w:pPr>
      <w:r>
        <w:t xml:space="preserve">Prolonged use of any type of painkiller for headaches can make them worse. If this situation is experienced or suspected, medical advice </w:t>
      </w:r>
      <w:r>
        <w:lastRenderedPageBreak/>
        <w:t xml:space="preserve">should be obtained, and treatment should be discontinued. The diagnosis of ‘Medication Overuse Headache’ should be suspected in patients who have frequent or daily headaches despite (or because of) the regular use of headache medications. </w:t>
      </w:r>
    </w:p>
    <w:p w14:paraId="7930E439" w14:textId="48EA2C60" w:rsidR="00857B56" w:rsidRDefault="00857B56" w:rsidP="00857B56">
      <w:pPr>
        <w:pStyle w:val="BodyTextSMPC"/>
      </w:pPr>
      <w:r>
        <w:t>Precaution should be taken in patients suffering from dehydration and renal disease, particularly the elderly.</w:t>
      </w:r>
    </w:p>
    <w:p w14:paraId="12FC0C64" w14:textId="785B72F9" w:rsidR="00857B56" w:rsidRDefault="00857B56" w:rsidP="00857B56">
      <w:pPr>
        <w:pStyle w:val="BodyTextSMPC"/>
      </w:pPr>
      <w:r w:rsidRPr="00857B56">
        <w:rPr>
          <w:b/>
          <w:bCs/>
        </w:rPr>
        <w:t>Elderly</w:t>
      </w:r>
      <w:r>
        <w:t xml:space="preserve">: The elderly have an increased frequency of adverse reactions to NSAIDs especially gastrointestinal bleeding and perforation which may be fatal (see section 4.2). </w:t>
      </w:r>
    </w:p>
    <w:p w14:paraId="15C0FA3E" w14:textId="03F08668" w:rsidR="00857B56" w:rsidRDefault="00857B56" w:rsidP="00857B56">
      <w:pPr>
        <w:pStyle w:val="BodyTextSMPC"/>
      </w:pPr>
      <w:r w:rsidRPr="00857B56">
        <w:rPr>
          <w:b/>
          <w:bCs/>
        </w:rPr>
        <w:t>Respiratory disorders</w:t>
      </w:r>
      <w:r>
        <w:t xml:space="preserve">: Caution is required if administered to patients suffering from, or with a previous history of, bronchial asthma since NSAIDs have been reported to precipitate bronchospasm in such patients. </w:t>
      </w:r>
    </w:p>
    <w:p w14:paraId="7AE22856" w14:textId="2916DFDF" w:rsidR="00857B56" w:rsidRDefault="00857B56" w:rsidP="00857B56">
      <w:pPr>
        <w:pStyle w:val="BodyTextSMPC"/>
      </w:pPr>
      <w:r w:rsidRPr="00857B56">
        <w:rPr>
          <w:b/>
          <w:bCs/>
        </w:rPr>
        <w:t>Cardiovascular, renal and hepatic impairment</w:t>
      </w:r>
      <w:r>
        <w:t xml:space="preserve">: The administration of an NSAID may cause a dose </w:t>
      </w:r>
      <w:proofErr w:type="spellStart"/>
      <w:r>
        <w:t>dependant</w:t>
      </w:r>
      <w:proofErr w:type="spellEnd"/>
      <w:r>
        <w:t xml:space="preserve"> reduction in prostaglandin formation and precipitate renal failure. Patients at greatest risk of this reaction are those with impaired renal function, cardiac impairment, liver dysfunction, those taking diuretics and the elderly. Renal function should be monitored in these patients (see also section 4.3). </w:t>
      </w:r>
    </w:p>
    <w:p w14:paraId="708D60C0" w14:textId="05138191" w:rsidR="00857B56" w:rsidRDefault="00857B56" w:rsidP="00857B56">
      <w:pPr>
        <w:pStyle w:val="BodyTextSMPC"/>
      </w:pPr>
      <w:r w:rsidRPr="00857B56">
        <w:rPr>
          <w:b/>
          <w:bCs/>
        </w:rPr>
        <w:t>Cardiovascular and cerebrovascular effects</w:t>
      </w:r>
      <w:r>
        <w:t xml:space="preserve">: Appropriate monitoring and advice are required for patients with a history of hypertension and/or mild to moderate congestive heart failure as fluid retention and oedema have been reported in association with NSAID therapy. </w:t>
      </w:r>
    </w:p>
    <w:p w14:paraId="062E2C3F" w14:textId="6F14768C" w:rsidR="00857B56" w:rsidRDefault="00857B56" w:rsidP="00857B56">
      <w:pPr>
        <w:pStyle w:val="BodyTextSMPC"/>
      </w:pPr>
      <w:r>
        <w:t xml:space="preserve">Clinical trial and epidemiological data suggest that use of some NSAIDs (particularly at high doses and in long term treatment) may be associated with a small increased risk of arterial thrombotic events (for example myocardial infarction or stroke). There are insufficient data to exclude such a risk for mefenamic acid. </w:t>
      </w:r>
    </w:p>
    <w:p w14:paraId="19341BA6" w14:textId="696DCDC7" w:rsidR="00857B56" w:rsidRDefault="00857B56" w:rsidP="00857B56">
      <w:pPr>
        <w:pStyle w:val="BodyTextSMPC"/>
      </w:pPr>
      <w:r>
        <w:t xml:space="preserve">Patients with uncontrolled hypertension, congestive heart failure, established </w:t>
      </w:r>
      <w:proofErr w:type="spellStart"/>
      <w:r>
        <w:t>ischaemic</w:t>
      </w:r>
      <w:proofErr w:type="spellEnd"/>
      <w:r>
        <w:t xml:space="preserve"> heart disease, peripheral arterial disease, and/or cerebrovascular disease should only be treated with mefenamic acid after careful consideration. Similar consideration should be made before initiating longer-term treatment of patients with risk factors for </w:t>
      </w:r>
      <w:r>
        <w:lastRenderedPageBreak/>
        <w:t xml:space="preserve">cardiovascular disease (e.g. hypertension, </w:t>
      </w:r>
      <w:proofErr w:type="spellStart"/>
      <w:r>
        <w:t>hyperlipidaemia</w:t>
      </w:r>
      <w:proofErr w:type="spellEnd"/>
      <w:r>
        <w:t xml:space="preserve">, diabetes mellitus, smoking). </w:t>
      </w:r>
    </w:p>
    <w:p w14:paraId="755E2317" w14:textId="347C3A43" w:rsidR="00857B56" w:rsidRDefault="00857B56" w:rsidP="00857B56">
      <w:pPr>
        <w:pStyle w:val="BodyTextSMPC"/>
      </w:pPr>
      <w:r>
        <w:t xml:space="preserve">As NSAIDs can interfere with platelet function, they should be used in caution in patients with intracranial </w:t>
      </w:r>
      <w:proofErr w:type="spellStart"/>
      <w:r>
        <w:t>haemorrhage</w:t>
      </w:r>
      <w:proofErr w:type="spellEnd"/>
      <w:r>
        <w:t xml:space="preserve"> and bleeding diathesis. </w:t>
      </w:r>
    </w:p>
    <w:p w14:paraId="51D9A981" w14:textId="77777777" w:rsidR="00237AA7" w:rsidRDefault="00857B56" w:rsidP="00857B56">
      <w:pPr>
        <w:pStyle w:val="BodyTextSMPC"/>
      </w:pPr>
      <w:r w:rsidRPr="00857B56">
        <w:rPr>
          <w:b/>
          <w:bCs/>
        </w:rPr>
        <w:t>Gastrointestinal bleeding, ulceration and perforation</w:t>
      </w:r>
      <w:r>
        <w:t xml:space="preserve">: GI bleeding, ulceration or perforation, which can be fatal, has been reported with all NSAIDs at any time during treatment, with or without warning symptoms or a previous history of serious GI events. Smoking and alcohol use are added risk factors. </w:t>
      </w:r>
    </w:p>
    <w:p w14:paraId="7F1EA26D" w14:textId="06AB1678" w:rsidR="00857B56" w:rsidRDefault="00857B56" w:rsidP="00237AA7">
      <w:pPr>
        <w:pStyle w:val="BodyTextSMPC"/>
      </w:pPr>
      <w:r>
        <w:t xml:space="preserve">The risk of GI bleeding, ulceration or perforation is higher with increasing NSAID doses, in patients with a history of ulcer, particularly if complicated with </w:t>
      </w:r>
      <w:proofErr w:type="spellStart"/>
      <w:r>
        <w:t>haemorrhage</w:t>
      </w:r>
      <w:proofErr w:type="spellEnd"/>
      <w:r>
        <w:t xml:space="preserve"> or perforation (see section 4.3), and in the elderly. Combination therapy with protective agents (e.g. misoprostol or proton pump inhibitors) should be considered for patients at risk of GI bleeding such as the elderly, and also for patients requiring concomitant low dose aspirin, or other drugs likely to increase gastrointestinal risk (see below and section 4.5). </w:t>
      </w:r>
    </w:p>
    <w:p w14:paraId="0E398EE4" w14:textId="7ADAE506" w:rsidR="00857B56" w:rsidRDefault="00857B56" w:rsidP="00237AA7">
      <w:pPr>
        <w:pStyle w:val="BodyTextSMPC"/>
      </w:pPr>
      <w:r>
        <w:t xml:space="preserve">Patients with a history of GI toxicity, particularly when elderly, should report any unusual abdominal symptoms (especially GI bleeding) particularly in the initial stages of treatment. </w:t>
      </w:r>
    </w:p>
    <w:p w14:paraId="5E007932" w14:textId="42637428" w:rsidR="00857B56" w:rsidRDefault="00857B56" w:rsidP="00237AA7">
      <w:pPr>
        <w:pStyle w:val="BodyTextSMPC"/>
      </w:pPr>
      <w:r>
        <w:t xml:space="preserve">Caution should be advised in patients receiving concomitant medications which could increase the risk of </w:t>
      </w:r>
      <w:proofErr w:type="spellStart"/>
      <w:r>
        <w:t>gastrotoxicity</w:t>
      </w:r>
      <w:proofErr w:type="spellEnd"/>
      <w:r>
        <w:t xml:space="preserve"> or bleeding such as corticosteroids, anticoagulants such as warfarin, selective serotonin reuptake inhibitors or anti-platelet agents such as aspirin (see section 4.5) </w:t>
      </w:r>
    </w:p>
    <w:p w14:paraId="67E11241" w14:textId="7C6C0043" w:rsidR="00857B56" w:rsidRDefault="00857B56" w:rsidP="00237AA7">
      <w:pPr>
        <w:pStyle w:val="BodyTextSMPC"/>
      </w:pPr>
      <w:r>
        <w:t xml:space="preserve">When GI bleeding or ulceration occurs in patients receiving mefenamic acid the treatment should be withdrawn. </w:t>
      </w:r>
    </w:p>
    <w:p w14:paraId="4ACCCD56" w14:textId="4C1E58ED" w:rsidR="00857B56" w:rsidRDefault="00857B56" w:rsidP="00237AA7">
      <w:pPr>
        <w:pStyle w:val="BodyTextSMPC"/>
      </w:pPr>
      <w:r w:rsidRPr="00237AA7">
        <w:rPr>
          <w:b/>
          <w:bCs/>
        </w:rPr>
        <w:t>SLE and mixed connective tissue disease</w:t>
      </w:r>
      <w:r>
        <w:t xml:space="preserve">: In patients with systemic lupus erythematosus (SLE) and mixed connective tissue disorders there may be an increased risk of aseptic meningitis (see section 4.8). </w:t>
      </w:r>
    </w:p>
    <w:p w14:paraId="6AFED128" w14:textId="454ACAC7" w:rsidR="00857B56" w:rsidRDefault="00857B56" w:rsidP="00237AA7">
      <w:pPr>
        <w:pStyle w:val="BodyTextSMPC"/>
      </w:pPr>
      <w:r w:rsidRPr="00237AA7">
        <w:rPr>
          <w:b/>
          <w:bCs/>
        </w:rPr>
        <w:t>Skin reactions</w:t>
      </w:r>
      <w:r>
        <w:t xml:space="preserve">: Serious skin reactions, some of them fatal, including exfoliative dermatitis, Stevens-Johnson syndrome, and toxic epidermal necrolysis, have been reported in association with use of NSAIDs (see section 4.8). Patients appear to be at highest risk of these reactions early </w:t>
      </w:r>
      <w:r>
        <w:lastRenderedPageBreak/>
        <w:t xml:space="preserve">in the course of therapy, the onset of the reaction occurring in the majority of cases within the first month of treatment. Mefenamic acid should be stopped at the first appearance of skin rash, mucosal lesions or any other sign of hypersensitivity. </w:t>
      </w:r>
    </w:p>
    <w:p w14:paraId="4B0A29A1" w14:textId="3E79BC1D" w:rsidR="00857B56" w:rsidRDefault="00857B56" w:rsidP="00237AA7">
      <w:pPr>
        <w:pStyle w:val="BodyTextSMPC"/>
      </w:pPr>
      <w:r w:rsidRPr="00237AA7">
        <w:rPr>
          <w:b/>
          <w:bCs/>
        </w:rPr>
        <w:t>Female fertility</w:t>
      </w:r>
      <w:r>
        <w:t xml:space="preserve">: The use of mefenamic acid may impair female fertility and is not recommended in women attempting to conceive. In women who have difficulties conceiving or who are undergoing investigation of infertility, withdrawal of mefenamic acid should be considered. </w:t>
      </w:r>
    </w:p>
    <w:p w14:paraId="7764C55D" w14:textId="5F32674B" w:rsidR="00857B56" w:rsidRDefault="00857B56" w:rsidP="00237AA7">
      <w:pPr>
        <w:pStyle w:val="BodyTextSMPC"/>
      </w:pPr>
      <w:r>
        <w:t xml:space="preserve">In </w:t>
      </w:r>
      <w:proofErr w:type="spellStart"/>
      <w:r>
        <w:t>dysmenorrhoea</w:t>
      </w:r>
      <w:proofErr w:type="spellEnd"/>
      <w:r>
        <w:t xml:space="preserve"> and menorrhagia lack of response should alert the physician to investigate other causes. </w:t>
      </w:r>
    </w:p>
    <w:p w14:paraId="56343506" w14:textId="77777777" w:rsidR="00237AA7" w:rsidRDefault="00857B56" w:rsidP="00237AA7">
      <w:pPr>
        <w:pStyle w:val="BodyTextSMPC"/>
      </w:pPr>
      <w:r w:rsidRPr="00237AA7">
        <w:rPr>
          <w:b/>
          <w:bCs/>
        </w:rPr>
        <w:t>Epilepsy</w:t>
      </w:r>
      <w:r>
        <w:t xml:space="preserve">: Caution should be exercised when treating patients suffering from epilepsy. </w:t>
      </w:r>
    </w:p>
    <w:p w14:paraId="3D78E8D9" w14:textId="1158300D" w:rsidR="00857B56" w:rsidRDefault="00857B56" w:rsidP="00237AA7">
      <w:pPr>
        <w:pStyle w:val="BodyTextSMPC"/>
      </w:pPr>
      <w:r>
        <w:t xml:space="preserve">In patients who are known or suspected to be poor CYP2C9 </w:t>
      </w:r>
      <w:proofErr w:type="spellStart"/>
      <w:r>
        <w:t>metabolisers</w:t>
      </w:r>
      <w:proofErr w:type="spellEnd"/>
      <w:r>
        <w:t xml:space="preserve"> based on previous history/experience with other CYP2C9 substrates, mefenamic acid should be administered with caution as they may have abnormally high plasma levels due to reduced metabolic clearance (see section 5.2). </w:t>
      </w:r>
    </w:p>
    <w:p w14:paraId="7DF3817A" w14:textId="7F381EF6" w:rsidR="00164F55" w:rsidRDefault="00857B56" w:rsidP="00237AA7">
      <w:pPr>
        <w:pStyle w:val="BodyTextSMPC"/>
      </w:pPr>
      <w:r w:rsidRPr="00237AA7">
        <w:rPr>
          <w:b/>
          <w:bCs/>
        </w:rPr>
        <w:t>Alcohol</w:t>
      </w:r>
      <w:r>
        <w:t>: Concomitant consumption of alcohol with mefenamic acid may increase gastrointestinal bleeding, ulceration and perforation.</w:t>
      </w:r>
      <w:r w:rsidR="00164F55">
        <w:t xml:space="preserve"> </w:t>
      </w:r>
    </w:p>
    <w:p w14:paraId="194CA827" w14:textId="0F363097" w:rsidR="001E1455" w:rsidRDefault="001E1455" w:rsidP="00B65CC5">
      <w:pPr>
        <w:pStyle w:val="BodyTextSMPC"/>
        <w:jc w:val="thaiDistribute"/>
        <w:rPr>
          <w:rFonts w:cstheme="minorBidi"/>
          <w:b/>
          <w:bCs/>
        </w:rPr>
      </w:pPr>
      <w:r w:rsidRPr="00B65CC5">
        <w:rPr>
          <w:rFonts w:cstheme="minorBidi"/>
          <w:b/>
          <w:bCs/>
        </w:rPr>
        <w:t xml:space="preserve">Excipient </w:t>
      </w:r>
      <w:r w:rsidR="00BE0013" w:rsidRPr="00BE0013">
        <w:rPr>
          <w:rFonts w:cstheme="minorBidi"/>
          <w:b/>
          <w:bCs/>
        </w:rPr>
        <w:t>information</w:t>
      </w:r>
    </w:p>
    <w:p w14:paraId="14F2DC79" w14:textId="7B2D8FBD" w:rsidR="00A144D2" w:rsidRPr="00962771" w:rsidRDefault="00962771" w:rsidP="00962771">
      <w:pPr>
        <w:pStyle w:val="BodyTextSMPC"/>
        <w:jc w:val="thaiDistribute"/>
        <w:rPr>
          <w:rFonts w:cstheme="minorBidi"/>
          <w:b/>
          <w:bCs/>
        </w:rPr>
      </w:pPr>
      <w:r w:rsidRPr="008F5678">
        <w:rPr>
          <w:color w:val="FF0000"/>
        </w:rPr>
        <w:t>&lt;REGARDING THE APPROVAL&gt;</w:t>
      </w:r>
      <w:r w:rsidRPr="008F5678">
        <w:t xml:space="preserve"> </w:t>
      </w:r>
    </w:p>
    <w:p w14:paraId="42302B80" w14:textId="4AC16B23" w:rsidR="00F83417" w:rsidRPr="00B755AE" w:rsidRDefault="00000000" w:rsidP="00B755AE">
      <w:pPr>
        <w:pStyle w:val="SubHeafingSMPC"/>
      </w:pPr>
      <w:r w:rsidRPr="008F5678">
        <w:t xml:space="preserve">Interaction with other medicinal products and other forms of interaction </w:t>
      </w:r>
    </w:p>
    <w:p w14:paraId="6C129C53" w14:textId="277D4BB8" w:rsidR="00237AA7" w:rsidRDefault="00237AA7" w:rsidP="00237AA7">
      <w:pPr>
        <w:pStyle w:val="BodyTextSMPC"/>
      </w:pPr>
      <w:r>
        <w:t xml:space="preserve">Concurrent therapy with other plasma protein binding drugs may necessitate a modification in dosage. </w:t>
      </w:r>
    </w:p>
    <w:p w14:paraId="524FEA38" w14:textId="6E35DA69" w:rsidR="00237AA7" w:rsidRDefault="00237AA7" w:rsidP="00237AA7">
      <w:pPr>
        <w:pStyle w:val="BodyTextSMPC"/>
      </w:pPr>
      <w:r w:rsidRPr="00237AA7">
        <w:rPr>
          <w:b/>
          <w:bCs/>
        </w:rPr>
        <w:t>Anti-coagulants</w:t>
      </w:r>
      <w:r>
        <w:t xml:space="preserve">: NSAIDs may enhance the effects of anti-coagulants, such as warfarin (see section 4.4). Concurrent administration of mefenamic acid with oral anti-coagulant drugs requires careful prothrombin time monitoring. </w:t>
      </w:r>
    </w:p>
    <w:p w14:paraId="52153F00" w14:textId="2308D7F2" w:rsidR="00237AA7" w:rsidRDefault="00237AA7" w:rsidP="00237AA7">
      <w:pPr>
        <w:pStyle w:val="BodyTextSMPC"/>
      </w:pPr>
      <w:r>
        <w:t xml:space="preserve">It is considered unsafe to take NSAIDs in combination with warfarin or heparin unless under direct medical supervision. </w:t>
      </w:r>
    </w:p>
    <w:p w14:paraId="72661CEF" w14:textId="34F8B872" w:rsidR="00237AA7" w:rsidRDefault="00237AA7" w:rsidP="00237AA7">
      <w:pPr>
        <w:pStyle w:val="BodyTextSMPC"/>
      </w:pPr>
      <w:r w:rsidRPr="00237AA7">
        <w:rPr>
          <w:b/>
          <w:bCs/>
        </w:rPr>
        <w:lastRenderedPageBreak/>
        <w:t>Lithium</w:t>
      </w:r>
      <w:r>
        <w:t xml:space="preserve">: A reduction in renal lithium clearance and elevation of plasma lithium levels. Patients should be observed carefully for signs of lithium toxicity. </w:t>
      </w:r>
    </w:p>
    <w:p w14:paraId="5443004E" w14:textId="071E4C86" w:rsidR="00237AA7" w:rsidRDefault="00237AA7" w:rsidP="00237AA7">
      <w:pPr>
        <w:pStyle w:val="BodyTextSMPC"/>
      </w:pPr>
      <w:r>
        <w:t xml:space="preserve">The following interactions have been reported with NSAIDs but have not necessarily been associated with </w:t>
      </w:r>
      <w:r w:rsidR="00D03A8E">
        <w:t>Mefenamic acid</w:t>
      </w:r>
      <w:r>
        <w:t xml:space="preserve"> Capsules: </w:t>
      </w:r>
    </w:p>
    <w:p w14:paraId="19FA708B" w14:textId="2228A2B2" w:rsidR="00237AA7" w:rsidRDefault="00237AA7" w:rsidP="00B643DA">
      <w:pPr>
        <w:pStyle w:val="BodyTextSMPC"/>
      </w:pPr>
      <w:r w:rsidRPr="00B643DA">
        <w:rPr>
          <w:b/>
          <w:bCs/>
        </w:rPr>
        <w:t>Other analgesics including cyclooxygenase-2 selective inhibitors</w:t>
      </w:r>
      <w:r>
        <w:t xml:space="preserve">: Avoid concomitant use of two or more NSAIDs (including aspirin) as this may increase the risk of adverse effects (see section 4.4). </w:t>
      </w:r>
    </w:p>
    <w:p w14:paraId="4DDB392D" w14:textId="0BF65318" w:rsidR="00237AA7" w:rsidRDefault="00237AA7" w:rsidP="00B643DA">
      <w:pPr>
        <w:pStyle w:val="BodyTextSMPC"/>
      </w:pPr>
      <w:r w:rsidRPr="00B643DA">
        <w:rPr>
          <w:b/>
          <w:bCs/>
        </w:rPr>
        <w:t>Antidepressants</w:t>
      </w:r>
      <w:r>
        <w:t xml:space="preserve">: Selective serotonin reuptake inhibitors (SSRIs): increased risk of gastrointestinal bleeding (see section 4.4). </w:t>
      </w:r>
    </w:p>
    <w:p w14:paraId="61CD10B6" w14:textId="3CFC16B9" w:rsidR="00237AA7" w:rsidRDefault="00237AA7" w:rsidP="00B643DA">
      <w:pPr>
        <w:pStyle w:val="BodyTextSMPC"/>
      </w:pPr>
      <w:r w:rsidRPr="00B643DA">
        <w:rPr>
          <w:b/>
          <w:bCs/>
        </w:rPr>
        <w:t>Antihypertensives and diuretics</w:t>
      </w:r>
      <w:r>
        <w:t xml:space="preserve">: A reduction in antihypertensive and diuretic effect has been observed. Diuretics can increase the nephrotoxicity of NSAIDs. </w:t>
      </w:r>
    </w:p>
    <w:p w14:paraId="69584A8E" w14:textId="0ABFEA64" w:rsidR="00237AA7" w:rsidRDefault="00237AA7" w:rsidP="00B643DA">
      <w:pPr>
        <w:pStyle w:val="BodyTextSMPC"/>
      </w:pPr>
      <w:r w:rsidRPr="00B643DA">
        <w:rPr>
          <w:b/>
          <w:bCs/>
        </w:rPr>
        <w:t>ACE inhibitors and angiotensin-II-receptor antagonists</w:t>
      </w:r>
      <w:r>
        <w:t xml:space="preserve">: A reduction in antihypertensive effect and an increased risk of renal impairment especially in elderly patients. Patients should be adequately hydrated, and the renal function assessed in the beginning and during concomitant therapy. </w:t>
      </w:r>
    </w:p>
    <w:p w14:paraId="24BBC2FC" w14:textId="7F8FA763" w:rsidR="00237AA7" w:rsidRDefault="00237AA7" w:rsidP="00B643DA">
      <w:pPr>
        <w:pStyle w:val="BodyTextSMPC"/>
      </w:pPr>
      <w:r w:rsidRPr="00B643DA">
        <w:rPr>
          <w:b/>
          <w:bCs/>
        </w:rPr>
        <w:t>Aminoglycosides</w:t>
      </w:r>
      <w:r>
        <w:t xml:space="preserve">: Reduction in renal function in susceptible individuals, decreased elimination of aminoglycoside and increased plasma concentrations. </w:t>
      </w:r>
    </w:p>
    <w:p w14:paraId="2F8F6F62" w14:textId="45156F7C" w:rsidR="00237AA7" w:rsidRDefault="00237AA7" w:rsidP="00B643DA">
      <w:pPr>
        <w:pStyle w:val="BodyTextSMPC"/>
      </w:pPr>
      <w:r w:rsidRPr="00B643DA">
        <w:rPr>
          <w:b/>
          <w:bCs/>
        </w:rPr>
        <w:t>Anti-platelet agents</w:t>
      </w:r>
      <w:r>
        <w:t xml:space="preserve">: Increased risk of gastrointestinal ulceration or bleeding (see section 4.4). </w:t>
      </w:r>
    </w:p>
    <w:p w14:paraId="45656BA3" w14:textId="503CD22F" w:rsidR="00237AA7" w:rsidRDefault="00237AA7" w:rsidP="00B643DA">
      <w:pPr>
        <w:pStyle w:val="BodyTextSMPC"/>
      </w:pPr>
      <w:r w:rsidRPr="00B643DA">
        <w:rPr>
          <w:b/>
          <w:bCs/>
        </w:rPr>
        <w:t>Acetylsalicylic Acid</w:t>
      </w:r>
      <w:r>
        <w:t xml:space="preserve">: Experimental data implies that mefenamic acid interferes with the anti-platelet effect of low-dose aspirin when given concomitantly, and thus may interfere with aspirin’s prophylactic treatment of cardiovascular disease. However, the limitations of this experimental data and the uncertainties regarding extrapolation of ex vivo data to the clinical situation imply that no firm conclusions can be made for regular mefenamic acid use. </w:t>
      </w:r>
    </w:p>
    <w:p w14:paraId="32958F51" w14:textId="48583954" w:rsidR="00237AA7" w:rsidRDefault="00237AA7" w:rsidP="00B643DA">
      <w:pPr>
        <w:pStyle w:val="BodyTextSMPC"/>
      </w:pPr>
      <w:r w:rsidRPr="00B643DA">
        <w:rPr>
          <w:b/>
          <w:bCs/>
        </w:rPr>
        <w:t>Cardiac glycosides</w:t>
      </w:r>
      <w:r>
        <w:t xml:space="preserve">: NSAIDs may exacerbate cardiac failure, reduce GFR and increase plasma cardiac glycoside levels. </w:t>
      </w:r>
    </w:p>
    <w:p w14:paraId="7C90C8AC" w14:textId="7B9C26B3" w:rsidR="00237AA7" w:rsidRDefault="00237AA7" w:rsidP="00B643DA">
      <w:pPr>
        <w:pStyle w:val="BodyTextSMPC"/>
      </w:pPr>
      <w:r w:rsidRPr="00B643DA">
        <w:rPr>
          <w:b/>
          <w:bCs/>
        </w:rPr>
        <w:lastRenderedPageBreak/>
        <w:t>Ciclosporin</w:t>
      </w:r>
      <w:r>
        <w:t xml:space="preserve">: The risk of nephrotoxicity of ciclosporin may be increased with NSAIDs. </w:t>
      </w:r>
    </w:p>
    <w:p w14:paraId="22918C23" w14:textId="3085A367" w:rsidR="00237AA7" w:rsidRDefault="00237AA7" w:rsidP="00B643DA">
      <w:pPr>
        <w:pStyle w:val="BodyTextSMPC"/>
      </w:pPr>
      <w:r w:rsidRPr="00B643DA">
        <w:rPr>
          <w:b/>
          <w:bCs/>
        </w:rPr>
        <w:t>Corticosteroids</w:t>
      </w:r>
      <w:r>
        <w:t>: Concomitant use may increase the risk of gastrointestinal ulceration or bleeding (see section 4.4).</w:t>
      </w:r>
    </w:p>
    <w:p w14:paraId="2B74EDF1" w14:textId="11DA825C" w:rsidR="00237AA7" w:rsidRDefault="00237AA7" w:rsidP="00B643DA">
      <w:pPr>
        <w:pStyle w:val="BodyTextSMPC"/>
      </w:pPr>
      <w:r w:rsidRPr="00B643DA">
        <w:rPr>
          <w:b/>
          <w:bCs/>
        </w:rPr>
        <w:t xml:space="preserve">Oral </w:t>
      </w:r>
      <w:proofErr w:type="spellStart"/>
      <w:r w:rsidRPr="00B643DA">
        <w:rPr>
          <w:b/>
          <w:bCs/>
        </w:rPr>
        <w:t>hypoglycaemic</w:t>
      </w:r>
      <w:proofErr w:type="spellEnd"/>
      <w:r w:rsidRPr="00B643DA">
        <w:rPr>
          <w:b/>
          <w:bCs/>
        </w:rPr>
        <w:t xml:space="preserve"> agents</w:t>
      </w:r>
      <w:r>
        <w:t xml:space="preserve">: Inhibition of metabolism of sulfonylurea drugs, prolonged half-life and increased risk of </w:t>
      </w:r>
      <w:proofErr w:type="spellStart"/>
      <w:r>
        <w:t>hypoglycaemia</w:t>
      </w:r>
      <w:proofErr w:type="spellEnd"/>
      <w:r>
        <w:t xml:space="preserve">. </w:t>
      </w:r>
    </w:p>
    <w:p w14:paraId="04738838" w14:textId="06C7B208" w:rsidR="00237AA7" w:rsidRDefault="00237AA7" w:rsidP="00B643DA">
      <w:pPr>
        <w:pStyle w:val="BodyTextSMPC"/>
      </w:pPr>
      <w:r w:rsidRPr="00B643DA">
        <w:rPr>
          <w:b/>
          <w:bCs/>
        </w:rPr>
        <w:t>Methotrexate</w:t>
      </w:r>
      <w:r>
        <w:t xml:space="preserve">: Elimination of the drug can be reduced, resulting in increased plasma levels. </w:t>
      </w:r>
    </w:p>
    <w:p w14:paraId="5817ED89" w14:textId="36058FA2" w:rsidR="00237AA7" w:rsidRDefault="00237AA7" w:rsidP="00B643DA">
      <w:pPr>
        <w:pStyle w:val="BodyTextSMPC"/>
      </w:pPr>
      <w:r w:rsidRPr="00B643DA">
        <w:rPr>
          <w:b/>
          <w:bCs/>
        </w:rPr>
        <w:t>Mifepristone</w:t>
      </w:r>
      <w:r>
        <w:t xml:space="preserve">: NSAIDs should not be taken for 8-12 days after mifepristone administration, NSAIDs can reduce the effects of mifepristone. </w:t>
      </w:r>
    </w:p>
    <w:p w14:paraId="11C2EBFA" w14:textId="0E641292" w:rsidR="00237AA7" w:rsidRDefault="00237AA7" w:rsidP="00B643DA">
      <w:pPr>
        <w:pStyle w:val="BodyTextSMPC"/>
      </w:pPr>
      <w:r w:rsidRPr="00B643DA">
        <w:rPr>
          <w:b/>
          <w:bCs/>
        </w:rPr>
        <w:t>Probenecid</w:t>
      </w:r>
      <w:r>
        <w:t xml:space="preserve">: Reduction in metabolism and elimination of NSAIDs and metabolites. </w:t>
      </w:r>
    </w:p>
    <w:p w14:paraId="6F517BD1" w14:textId="22EE3305" w:rsidR="00237AA7" w:rsidRDefault="00237AA7" w:rsidP="00B643DA">
      <w:pPr>
        <w:pStyle w:val="BodyTextSMPC"/>
      </w:pPr>
      <w:r w:rsidRPr="00B643DA">
        <w:rPr>
          <w:b/>
          <w:bCs/>
        </w:rPr>
        <w:t>Quinolone antibiotics</w:t>
      </w:r>
      <w:r>
        <w:t xml:space="preserve">: Animal data indicates that NSAIDs can increase the risk of convulsions associated with quinolone antibiotics. Patients taking NSAIDs and quinolones may have an increased risk of developing convulsions. </w:t>
      </w:r>
    </w:p>
    <w:p w14:paraId="5D7FD604" w14:textId="2727FAAB" w:rsidR="00237AA7" w:rsidRDefault="00237AA7" w:rsidP="00B643DA">
      <w:pPr>
        <w:pStyle w:val="BodyTextSMPC"/>
      </w:pPr>
      <w:r w:rsidRPr="00B643DA">
        <w:rPr>
          <w:b/>
          <w:bCs/>
        </w:rPr>
        <w:t>Tacrolimus</w:t>
      </w:r>
      <w:r>
        <w:t xml:space="preserve">: Possible increased risk of nephrotoxicity when NSAIDS are given with tacrolimus. </w:t>
      </w:r>
    </w:p>
    <w:p w14:paraId="671F337F" w14:textId="35CE4814" w:rsidR="003B51C2" w:rsidRPr="004951BD" w:rsidRDefault="00237AA7" w:rsidP="00B643DA">
      <w:pPr>
        <w:pStyle w:val="BodyTextSMPC"/>
      </w:pPr>
      <w:r w:rsidRPr="00B643DA">
        <w:rPr>
          <w:b/>
          <w:bCs/>
        </w:rPr>
        <w:t>Zidovudine</w:t>
      </w:r>
      <w:r>
        <w:t xml:space="preserve">: Increased risk of </w:t>
      </w:r>
      <w:proofErr w:type="spellStart"/>
      <w:r>
        <w:t>haematological</w:t>
      </w:r>
      <w:proofErr w:type="spellEnd"/>
      <w:r>
        <w:t xml:space="preserve"> toxicity when NSAIDs are given with zidovudine. There is evidence of an increased risk of </w:t>
      </w:r>
      <w:proofErr w:type="spellStart"/>
      <w:r>
        <w:t>haemarthroses</w:t>
      </w:r>
      <w:proofErr w:type="spellEnd"/>
      <w:r>
        <w:t xml:space="preserve"> and </w:t>
      </w:r>
      <w:proofErr w:type="spellStart"/>
      <w:r>
        <w:t>haematoma</w:t>
      </w:r>
      <w:proofErr w:type="spellEnd"/>
      <w:r>
        <w:t xml:space="preserve"> in HIV(+) </w:t>
      </w:r>
      <w:proofErr w:type="spellStart"/>
      <w:r>
        <w:t>haemaophiliacs</w:t>
      </w:r>
      <w:proofErr w:type="spellEnd"/>
      <w:r>
        <w:t xml:space="preserve"> receiving concurrent treatment with zidovudine and ibuprofen.</w:t>
      </w:r>
      <w:r w:rsidR="004951BD">
        <w:t xml:space="preserve"> </w:t>
      </w:r>
      <w:r w:rsidR="00F70F86" w:rsidRPr="004951BD">
        <w:t xml:space="preserve"> </w:t>
      </w:r>
      <w:r w:rsidR="004B5CBB" w:rsidRPr="004951BD">
        <w:t xml:space="preserve"> </w:t>
      </w:r>
    </w:p>
    <w:p w14:paraId="622B2896" w14:textId="178152B9" w:rsidR="009D6FFD" w:rsidRPr="009D6FFD" w:rsidRDefault="00000000" w:rsidP="004A5AB4">
      <w:pPr>
        <w:pStyle w:val="SubHeafingSMPC"/>
      </w:pPr>
      <w:r w:rsidRPr="008F5678">
        <w:t xml:space="preserve">Fertility, pregnancy and lactation </w:t>
      </w:r>
    </w:p>
    <w:p w14:paraId="0C23359C" w14:textId="110F9764" w:rsidR="00D32C40" w:rsidRPr="00D32C40" w:rsidRDefault="00D32C40" w:rsidP="00D32C40">
      <w:pPr>
        <w:pStyle w:val="BodyTextSMPC"/>
        <w:rPr>
          <w:b/>
          <w:bCs/>
        </w:rPr>
      </w:pPr>
      <w:r w:rsidRPr="00D32C40">
        <w:rPr>
          <w:b/>
          <w:bCs/>
        </w:rPr>
        <w:t>Pregnancy</w:t>
      </w:r>
    </w:p>
    <w:p w14:paraId="4AD7CCD7" w14:textId="77777777" w:rsidR="00977FD4" w:rsidRDefault="00977FD4" w:rsidP="00977FD4">
      <w:pPr>
        <w:pStyle w:val="BodyTextSMPC"/>
      </w:pPr>
      <w:r>
        <w:t xml:space="preserve">Congenital abnormalities have been reported in association with NSAID administration in man; however, these are low in frequency and do not appear to follow any discernible pattern. In view of the known effects of NSAIDs on the </w:t>
      </w:r>
      <w:proofErr w:type="spellStart"/>
      <w:r>
        <w:t>foetal</w:t>
      </w:r>
      <w:proofErr w:type="spellEnd"/>
      <w:r>
        <w:t xml:space="preserve"> cardiovascular system (risk of closure of the ductus arteriosus), use in the last trimester of pregnancy is contraindicated. The onset of </w:t>
      </w:r>
      <w:proofErr w:type="spellStart"/>
      <w:r>
        <w:t>labour</w:t>
      </w:r>
      <w:proofErr w:type="spellEnd"/>
      <w:r>
        <w:t xml:space="preserve"> may be delayed, and the duration increased with an increased bleeding tendency in both mother and child </w:t>
      </w:r>
      <w:r>
        <w:lastRenderedPageBreak/>
        <w:t xml:space="preserve">(see section 4.3). NSAIDs should not be used during the first two trimesters of pregnancy or </w:t>
      </w:r>
      <w:proofErr w:type="spellStart"/>
      <w:r>
        <w:t>labour</w:t>
      </w:r>
      <w:proofErr w:type="spellEnd"/>
      <w:r>
        <w:t xml:space="preserve"> unless the potential benefit to the patient outweighs the potential risk to the </w:t>
      </w:r>
      <w:proofErr w:type="spellStart"/>
      <w:r>
        <w:t>foetus</w:t>
      </w:r>
      <w:proofErr w:type="spellEnd"/>
      <w:r>
        <w:t xml:space="preserve">. </w:t>
      </w:r>
    </w:p>
    <w:p w14:paraId="6AC4C904" w14:textId="33A88A82" w:rsidR="00977FD4" w:rsidRDefault="00977FD4" w:rsidP="00977FD4">
      <w:pPr>
        <w:pStyle w:val="BodyTextSMPC"/>
      </w:pPr>
      <w:r>
        <w:t xml:space="preserve">From the 20th week of pregnancy onward, Mefenamic Acid use may cause oligohydramnios resulting from </w:t>
      </w:r>
      <w:proofErr w:type="spellStart"/>
      <w:r>
        <w:t>foetal</w:t>
      </w:r>
      <w:proofErr w:type="spellEnd"/>
      <w:r>
        <w:t xml:space="preserve"> renal dysfunction. This may occur shortly after treatment initiation and is usually reversible upon discontinuation. In addition, there have been reports of ductus arteriosus constriction following treatment in the second trimester, most of which resolved after treatment cessation. </w:t>
      </w:r>
    </w:p>
    <w:p w14:paraId="5F26361A" w14:textId="25030C86" w:rsidR="00977FD4" w:rsidRDefault="00977FD4" w:rsidP="00977FD4">
      <w:pPr>
        <w:pStyle w:val="BodyTextSMPC"/>
      </w:pPr>
      <w:r>
        <w:t xml:space="preserve">If </w:t>
      </w:r>
      <w:r w:rsidR="00D03A8E">
        <w:t>Mefenamic acid</w:t>
      </w:r>
      <w:r>
        <w:t xml:space="preserve"> is used by a woman attempting to conceive, or during the first and second trimester of pregnancy, the dose should be kept as low and duration of treatment as short as possible. Antenatal monitoring for oligohydramnios and ductus arteriosus constriction should be considered after exposure to </w:t>
      </w:r>
      <w:r w:rsidR="00D03A8E">
        <w:t>Mefenamic acid</w:t>
      </w:r>
      <w:r>
        <w:t xml:space="preserve"> for several days from gestational week 20 onward. </w:t>
      </w:r>
      <w:r w:rsidR="00D03A8E">
        <w:t>Mefenamic acid</w:t>
      </w:r>
      <w:r>
        <w:t xml:space="preserve"> should be discontinued if oligohydramnios or ductus arteriosus constriction are found. During the third trimester of pregnancy, all prostaglandin synthesis inhibitors may expose the </w:t>
      </w:r>
      <w:proofErr w:type="spellStart"/>
      <w:r>
        <w:t>foetus</w:t>
      </w:r>
      <w:proofErr w:type="spellEnd"/>
      <w:r>
        <w:t xml:space="preserve"> to: </w:t>
      </w:r>
    </w:p>
    <w:p w14:paraId="57F67BEE" w14:textId="77777777" w:rsidR="00977FD4" w:rsidRDefault="00977FD4" w:rsidP="00977FD4">
      <w:pPr>
        <w:pStyle w:val="BodyTextSMPC"/>
      </w:pPr>
      <w:r>
        <w:t xml:space="preserve">- cardiopulmonary toxicity (with premature constriction/closure of the ductus </w:t>
      </w:r>
    </w:p>
    <w:p w14:paraId="25FD364D" w14:textId="77777777" w:rsidR="00977FD4" w:rsidRDefault="00977FD4" w:rsidP="00977FD4">
      <w:pPr>
        <w:pStyle w:val="BodyTextSMPC"/>
      </w:pPr>
      <w:r>
        <w:t xml:space="preserve">arteriosus and pulmonary hypertension); </w:t>
      </w:r>
    </w:p>
    <w:p w14:paraId="7E18DD78" w14:textId="77777777" w:rsidR="00977FD4" w:rsidRDefault="00977FD4" w:rsidP="00977FD4">
      <w:pPr>
        <w:pStyle w:val="BodyTextSMPC"/>
      </w:pPr>
      <w:r>
        <w:t xml:space="preserve">- renal dysfunction (see above); </w:t>
      </w:r>
    </w:p>
    <w:p w14:paraId="1AF538F6" w14:textId="77777777" w:rsidR="00977FD4" w:rsidRDefault="00977FD4" w:rsidP="00977FD4">
      <w:pPr>
        <w:pStyle w:val="BodyTextSMPC"/>
      </w:pPr>
      <w:r>
        <w:t xml:space="preserve">the mother and the neonate, at the end of pregnancy, to: </w:t>
      </w:r>
    </w:p>
    <w:p w14:paraId="4C96EC4A" w14:textId="77777777" w:rsidR="00977FD4" w:rsidRDefault="00977FD4" w:rsidP="00977FD4">
      <w:pPr>
        <w:pStyle w:val="BodyTextSMPC"/>
      </w:pPr>
      <w:r>
        <w:t xml:space="preserve">- possible prolongation of bleeding time, an anti-aggregating effect which may </w:t>
      </w:r>
    </w:p>
    <w:p w14:paraId="54F3B231" w14:textId="77777777" w:rsidR="00977FD4" w:rsidRDefault="00977FD4" w:rsidP="00977FD4">
      <w:pPr>
        <w:pStyle w:val="BodyTextSMPC"/>
      </w:pPr>
      <w:r>
        <w:t xml:space="preserve">occur even at very low doses; </w:t>
      </w:r>
    </w:p>
    <w:p w14:paraId="3BBEE802" w14:textId="2407DD71" w:rsidR="003B16FC" w:rsidRDefault="00977FD4" w:rsidP="00977FD4">
      <w:pPr>
        <w:pStyle w:val="BodyTextSMPC"/>
      </w:pPr>
      <w:r>
        <w:t xml:space="preserve">- inhibition of uterine contractions resulting in delayed or prolonged </w:t>
      </w:r>
      <w:proofErr w:type="spellStart"/>
      <w:r>
        <w:t>labour</w:t>
      </w:r>
      <w:proofErr w:type="spellEnd"/>
      <w:r>
        <w:t>.</w:t>
      </w:r>
    </w:p>
    <w:p w14:paraId="0F6D438F" w14:textId="21009765" w:rsidR="00D32C40" w:rsidRPr="00D32C40" w:rsidRDefault="00D32C40" w:rsidP="00D32C40">
      <w:pPr>
        <w:pStyle w:val="BodyTextSMPC"/>
        <w:rPr>
          <w:b/>
          <w:bCs/>
        </w:rPr>
      </w:pPr>
      <w:r w:rsidRPr="00D32C40">
        <w:rPr>
          <w:b/>
          <w:bCs/>
        </w:rPr>
        <w:t>Breast-feeding</w:t>
      </w:r>
    </w:p>
    <w:p w14:paraId="00C7C5F6" w14:textId="5116B8C7" w:rsidR="001678C4" w:rsidRDefault="00A41E63" w:rsidP="00A41E63">
      <w:pPr>
        <w:pStyle w:val="BodyTextSMPC"/>
      </w:pPr>
      <w:r>
        <w:lastRenderedPageBreak/>
        <w:t>Trace amounts of mefenamic acid may be present in breast milk and transmitted to the nursing infant. Therefore, mefenamic acid should not be taken by nursing mothers</w:t>
      </w:r>
      <w:r w:rsidR="00BA0700" w:rsidRPr="00BA0700">
        <w:t>.</w:t>
      </w:r>
    </w:p>
    <w:p w14:paraId="21F781EB" w14:textId="381BF575" w:rsidR="00EB692F" w:rsidRDefault="00EB692F" w:rsidP="00EB692F">
      <w:pPr>
        <w:pStyle w:val="BodyTextSMPC"/>
      </w:pPr>
      <w:r w:rsidRPr="00EB692F">
        <w:rPr>
          <w:b/>
          <w:bCs/>
        </w:rPr>
        <w:t>Fertility</w:t>
      </w:r>
      <w:r>
        <w:t xml:space="preserve"> </w:t>
      </w:r>
    </w:p>
    <w:p w14:paraId="7F9E4D3C" w14:textId="224A69ED" w:rsidR="00EB692F" w:rsidRDefault="00A41E63" w:rsidP="00A41E63">
      <w:pPr>
        <w:pStyle w:val="BodyTextSMPC"/>
      </w:pPr>
      <w:r>
        <w:t>The use of mefenamic acid may impair female fertility and is not recommended in women attempting to conceive. In women who have difficulties conceiving or who are undergoing investigation of infertility, withdrawal of mefenamic acid should be considered (see section 4.4)</w:t>
      </w:r>
      <w:r>
        <w:t>.</w:t>
      </w:r>
    </w:p>
    <w:p w14:paraId="6D62B196" w14:textId="223FFB6A" w:rsidR="00227FD4" w:rsidRPr="008F5678" w:rsidRDefault="00000000" w:rsidP="00671E86">
      <w:pPr>
        <w:pStyle w:val="SubHeafingSMPC"/>
      </w:pPr>
      <w:r w:rsidRPr="008F5678">
        <w:t xml:space="preserve">Effects on ability to drive and use machines </w:t>
      </w:r>
    </w:p>
    <w:p w14:paraId="7E43B901" w14:textId="4E5911C9" w:rsidR="00227FD4" w:rsidRPr="009D6FFD" w:rsidRDefault="00A41E63" w:rsidP="00A41E63">
      <w:pPr>
        <w:pStyle w:val="BodyTextSMPC"/>
      </w:pPr>
      <w:r>
        <w:t>Undesirable effects such as dizziness, drowsiness, fatigue and visual disturbances are possible after taking NSAIDs. If affected, patients should not drive or operate machinery</w:t>
      </w:r>
      <w:r w:rsidR="00EB692F">
        <w:t>.</w:t>
      </w:r>
    </w:p>
    <w:p w14:paraId="071D62C3" w14:textId="1176E362" w:rsidR="00227FD4" w:rsidRPr="008F5678" w:rsidRDefault="00000000" w:rsidP="00671E86">
      <w:pPr>
        <w:pStyle w:val="SubHeafingSMPC"/>
      </w:pPr>
      <w:r w:rsidRPr="008F5678">
        <w:t xml:space="preserve">Undesirable effects </w:t>
      </w:r>
    </w:p>
    <w:p w14:paraId="4C3BDD21" w14:textId="4F6BE2C5" w:rsidR="00A41E63" w:rsidRDefault="00A41E63" w:rsidP="00A41E63">
      <w:pPr>
        <w:pStyle w:val="BodyTextSMPC"/>
        <w:spacing w:before="240"/>
      </w:pPr>
      <w:r>
        <w:t xml:space="preserve">The most frequently reported side effects associated with mefenamic acid involve the gastrointestinal tract. </w:t>
      </w:r>
    </w:p>
    <w:p w14:paraId="52BF116C" w14:textId="4DE80F86" w:rsidR="00A41E63" w:rsidRDefault="00A41E63" w:rsidP="00A41E63">
      <w:pPr>
        <w:pStyle w:val="BodyTextSMPC"/>
        <w:spacing w:before="240"/>
      </w:pPr>
      <w:proofErr w:type="spellStart"/>
      <w:r>
        <w:t>Diarrhoea</w:t>
      </w:r>
      <w:proofErr w:type="spellEnd"/>
      <w:r>
        <w:t xml:space="preserve"> occasionally occurs following the use of mefenamic acid. Although this may occur soon after starting treatment, it may also occur after several months of continuous use. The </w:t>
      </w:r>
      <w:proofErr w:type="spellStart"/>
      <w:r>
        <w:t>diarrhoea</w:t>
      </w:r>
      <w:proofErr w:type="spellEnd"/>
      <w:r>
        <w:t xml:space="preserve"> has been investigated in some patients who have continued this drug in spite of its continued presence. These patients were found to have associated proctocolitis. If </w:t>
      </w:r>
      <w:proofErr w:type="spellStart"/>
      <w:r>
        <w:t>diarrhoea</w:t>
      </w:r>
      <w:proofErr w:type="spellEnd"/>
      <w:r>
        <w:t xml:space="preserve"> does develop the drug should be withdrawn immediately and this patient should not receive mefenamic acid again. </w:t>
      </w:r>
    </w:p>
    <w:p w14:paraId="070C4224" w14:textId="77777777" w:rsidR="00A41E63" w:rsidRDefault="00A41E63" w:rsidP="00A41E63">
      <w:pPr>
        <w:pStyle w:val="BodyTextSMPC"/>
        <w:spacing w:before="240"/>
      </w:pPr>
      <w:r>
        <w:t xml:space="preserve">Frequencies are not known for the following adverse reactions: </w:t>
      </w:r>
    </w:p>
    <w:p w14:paraId="7C5213C0" w14:textId="77777777" w:rsidR="00A41E63" w:rsidRPr="00A41E63" w:rsidRDefault="00A41E63" w:rsidP="00A41E63">
      <w:pPr>
        <w:pStyle w:val="BodyTextSMPC"/>
        <w:spacing w:before="240"/>
        <w:rPr>
          <w:b/>
          <w:bCs/>
        </w:rPr>
      </w:pPr>
      <w:r w:rsidRPr="00A41E63">
        <w:rPr>
          <w:b/>
          <w:bCs/>
        </w:rPr>
        <w:t>Blood and the lymphatic system disorders</w:t>
      </w:r>
    </w:p>
    <w:p w14:paraId="5429C02F" w14:textId="17397B78" w:rsidR="00A41E63" w:rsidRDefault="00A41E63" w:rsidP="00A41E63">
      <w:pPr>
        <w:pStyle w:val="BodyTextSMPC"/>
        <w:spacing w:before="240"/>
      </w:pPr>
      <w:proofErr w:type="spellStart"/>
      <w:r>
        <w:t>Haemolytic</w:t>
      </w:r>
      <w:proofErr w:type="spellEnd"/>
      <w:r>
        <w:t xml:space="preserve"> </w:t>
      </w:r>
      <w:proofErr w:type="spellStart"/>
      <w:r>
        <w:t>anaemia</w:t>
      </w:r>
      <w:proofErr w:type="spellEnd"/>
      <w:r>
        <w:t xml:space="preserve">*, </w:t>
      </w:r>
      <w:proofErr w:type="spellStart"/>
      <w:r>
        <w:t>anaemia</w:t>
      </w:r>
      <w:proofErr w:type="spellEnd"/>
      <w:r>
        <w:t xml:space="preserve">, hypoplasia bone marrow, </w:t>
      </w:r>
      <w:proofErr w:type="spellStart"/>
      <w:r>
        <w:t>haematocrit</w:t>
      </w:r>
      <w:proofErr w:type="spellEnd"/>
      <w:r>
        <w:t xml:space="preserve"> decreased, thrombocytopenic purpura, temporary lowering of the white blood cell count (leukopenia) with a risk of infection, sepsis, and disseminated intravascular coagulation. </w:t>
      </w:r>
    </w:p>
    <w:p w14:paraId="4B453FE8" w14:textId="77777777" w:rsidR="00A41E63" w:rsidRDefault="00A41E63" w:rsidP="00A41E63">
      <w:pPr>
        <w:pStyle w:val="BodyTextSMPC"/>
        <w:spacing w:before="240"/>
      </w:pPr>
      <w:r>
        <w:t xml:space="preserve">Agranulocytosis, aplastic </w:t>
      </w:r>
      <w:proofErr w:type="spellStart"/>
      <w:r>
        <w:t>anaemia</w:t>
      </w:r>
      <w:proofErr w:type="spellEnd"/>
      <w:r>
        <w:t xml:space="preserve">, eosinophilia, neutropenia, pancytopenia, thrombocytopenia. </w:t>
      </w:r>
    </w:p>
    <w:p w14:paraId="2DCDB102" w14:textId="2756E2BD" w:rsidR="00A41E63" w:rsidRDefault="00A41E63" w:rsidP="00A41E63">
      <w:pPr>
        <w:pStyle w:val="BodyTextSMPC"/>
        <w:spacing w:before="240"/>
      </w:pPr>
      <w:r>
        <w:lastRenderedPageBreak/>
        <w:t>*</w:t>
      </w:r>
      <w:proofErr w:type="gramStart"/>
      <w:r>
        <w:t>reversible</w:t>
      </w:r>
      <w:proofErr w:type="gramEnd"/>
      <w:r>
        <w:t xml:space="preserve"> when mefenamic acid is stopped </w:t>
      </w:r>
    </w:p>
    <w:p w14:paraId="470C5FB6" w14:textId="77777777" w:rsidR="00A41E63" w:rsidRPr="00A41E63" w:rsidRDefault="00A41E63" w:rsidP="00A41E63">
      <w:pPr>
        <w:pStyle w:val="BodyTextSMPC"/>
        <w:spacing w:before="240"/>
        <w:rPr>
          <w:b/>
          <w:bCs/>
        </w:rPr>
      </w:pPr>
      <w:r w:rsidRPr="00A41E63">
        <w:rPr>
          <w:b/>
          <w:bCs/>
        </w:rPr>
        <w:t>Immune system disorders</w:t>
      </w:r>
    </w:p>
    <w:p w14:paraId="53E566AD" w14:textId="203CDD28" w:rsidR="00A41E63" w:rsidRDefault="00A41E63" w:rsidP="00A41E63">
      <w:pPr>
        <w:pStyle w:val="BodyTextSMPC"/>
        <w:spacing w:before="240"/>
      </w:pPr>
      <w:r>
        <w:t xml:space="preserve">Hypersensitivity reactions have been reported following treatment with NSAIDs. These may consist of (a) non-specific allergic reactions and anaphylaxis (b) respiratory tract reactivity comprising asthma, aggravated asthma, bronchospasm, or </w:t>
      </w:r>
      <w:proofErr w:type="spellStart"/>
      <w:r>
        <w:t>dyspnoea</w:t>
      </w:r>
      <w:proofErr w:type="spellEnd"/>
      <w:r>
        <w:t xml:space="preserve"> or (c) assorted skin disorders including rashes of various types, pruritus, urticaria, purpura, angioedema, and more rarely exfoliative or bullous dermatoses (including epidermal necrolysis and erythema multiforme). </w:t>
      </w:r>
    </w:p>
    <w:p w14:paraId="22A0EA31" w14:textId="77777777" w:rsidR="00A41E63" w:rsidRPr="00A41E63" w:rsidRDefault="00A41E63" w:rsidP="00A41E63">
      <w:pPr>
        <w:pStyle w:val="BodyTextSMPC"/>
        <w:spacing w:before="240"/>
        <w:rPr>
          <w:b/>
          <w:bCs/>
        </w:rPr>
      </w:pPr>
      <w:r w:rsidRPr="00A41E63">
        <w:rPr>
          <w:b/>
          <w:bCs/>
        </w:rPr>
        <w:t>Metabolism and nutrition disorders</w:t>
      </w:r>
    </w:p>
    <w:p w14:paraId="1245307F" w14:textId="77777777" w:rsidR="00A41E63" w:rsidRDefault="00A41E63" w:rsidP="00A41E63">
      <w:pPr>
        <w:pStyle w:val="BodyTextSMPC"/>
        <w:spacing w:before="240"/>
      </w:pPr>
      <w:r>
        <w:t xml:space="preserve">Glucose intolerance in diabetic patients, </w:t>
      </w:r>
      <w:proofErr w:type="spellStart"/>
      <w:r>
        <w:t>hyponatraemia</w:t>
      </w:r>
      <w:proofErr w:type="spellEnd"/>
      <w:r>
        <w:t xml:space="preserve">. </w:t>
      </w:r>
    </w:p>
    <w:p w14:paraId="036231B0" w14:textId="77777777" w:rsidR="00A41E63" w:rsidRPr="00A41E63" w:rsidRDefault="00A41E63" w:rsidP="00A41E63">
      <w:pPr>
        <w:pStyle w:val="BodyTextSMPC"/>
        <w:spacing w:before="240"/>
        <w:rPr>
          <w:b/>
          <w:bCs/>
        </w:rPr>
      </w:pPr>
      <w:r w:rsidRPr="00A41E63">
        <w:rPr>
          <w:b/>
          <w:bCs/>
        </w:rPr>
        <w:t>Psychiatric disorders</w:t>
      </w:r>
    </w:p>
    <w:p w14:paraId="6918CD3B" w14:textId="77777777" w:rsidR="00A41E63" w:rsidRDefault="00A41E63" w:rsidP="00A41E63">
      <w:pPr>
        <w:pStyle w:val="BodyTextSMPC"/>
        <w:spacing w:before="240"/>
      </w:pPr>
      <w:r>
        <w:t xml:space="preserve">Confusion, depression, hallucinations, nervousness. </w:t>
      </w:r>
    </w:p>
    <w:p w14:paraId="77863549" w14:textId="77777777" w:rsidR="00A41E63" w:rsidRPr="00A41E63" w:rsidRDefault="00A41E63" w:rsidP="00A41E63">
      <w:pPr>
        <w:pStyle w:val="BodyTextSMPC"/>
        <w:spacing w:before="240"/>
        <w:rPr>
          <w:b/>
          <w:bCs/>
        </w:rPr>
      </w:pPr>
      <w:r w:rsidRPr="00A41E63">
        <w:rPr>
          <w:b/>
          <w:bCs/>
        </w:rPr>
        <w:t>Nervous system disorders</w:t>
      </w:r>
    </w:p>
    <w:p w14:paraId="117E8506" w14:textId="639E6CFF" w:rsidR="00A41E63" w:rsidRDefault="00A41E63" w:rsidP="00A41E63">
      <w:pPr>
        <w:pStyle w:val="BodyTextSMPC"/>
        <w:spacing w:before="240"/>
      </w:pPr>
      <w:r>
        <w:t xml:space="preserve">Optic neuritis, headaches, </w:t>
      </w:r>
      <w:proofErr w:type="spellStart"/>
      <w:r>
        <w:t>paraesthesia</w:t>
      </w:r>
      <w:proofErr w:type="spellEnd"/>
      <w:r>
        <w:t xml:space="preserve">, dizziness, drowsiness, reports of aseptic meningitis (especially in patients with existing auto-immune disorders, such as systemic lupus erythematosus, mixed connective tissue disease), with symptoms such as stiff neck, headache, nausea, vomiting, fever or disorientation (see section 4.4). </w:t>
      </w:r>
    </w:p>
    <w:p w14:paraId="3DC1FCB7" w14:textId="77777777" w:rsidR="00A41E63" w:rsidRDefault="00A41E63" w:rsidP="00A41E63">
      <w:pPr>
        <w:pStyle w:val="BodyTextSMPC"/>
        <w:spacing w:before="240"/>
      </w:pPr>
      <w:r>
        <w:t xml:space="preserve">Blurred vision, convulsions, insomnia. </w:t>
      </w:r>
    </w:p>
    <w:p w14:paraId="5608C189" w14:textId="77777777" w:rsidR="00A41E63" w:rsidRPr="008B34B9" w:rsidRDefault="00A41E63" w:rsidP="00A41E63">
      <w:pPr>
        <w:pStyle w:val="BodyTextSMPC"/>
        <w:spacing w:before="240"/>
        <w:rPr>
          <w:b/>
          <w:bCs/>
        </w:rPr>
      </w:pPr>
      <w:r w:rsidRPr="008B34B9">
        <w:rPr>
          <w:b/>
          <w:bCs/>
        </w:rPr>
        <w:t>Eye disorders</w:t>
      </w:r>
    </w:p>
    <w:p w14:paraId="28F5826E" w14:textId="77777777" w:rsidR="00A41E63" w:rsidRDefault="00A41E63" w:rsidP="00A41E63">
      <w:pPr>
        <w:pStyle w:val="BodyTextSMPC"/>
        <w:spacing w:before="240"/>
      </w:pPr>
      <w:r>
        <w:t xml:space="preserve">Eye irritation, reversible loss of </w:t>
      </w:r>
      <w:proofErr w:type="spellStart"/>
      <w:r>
        <w:t>colour</w:t>
      </w:r>
      <w:proofErr w:type="spellEnd"/>
      <w:r>
        <w:t xml:space="preserve"> vision, visual disturbances. </w:t>
      </w:r>
    </w:p>
    <w:p w14:paraId="6D9991BF" w14:textId="77777777" w:rsidR="00A41E63" w:rsidRPr="008B34B9" w:rsidRDefault="00A41E63" w:rsidP="00A41E63">
      <w:pPr>
        <w:pStyle w:val="BodyTextSMPC"/>
        <w:spacing w:before="240"/>
        <w:rPr>
          <w:b/>
          <w:bCs/>
        </w:rPr>
      </w:pPr>
      <w:r w:rsidRPr="008B34B9">
        <w:rPr>
          <w:b/>
          <w:bCs/>
        </w:rPr>
        <w:t>Ear and labyrinth disorders</w:t>
      </w:r>
    </w:p>
    <w:p w14:paraId="377939C8" w14:textId="77777777" w:rsidR="00A41E63" w:rsidRDefault="00A41E63" w:rsidP="00A41E63">
      <w:pPr>
        <w:pStyle w:val="BodyTextSMPC"/>
        <w:spacing w:before="240"/>
      </w:pPr>
      <w:r>
        <w:t xml:space="preserve">Ear pain, tinnitus, vertigo. </w:t>
      </w:r>
    </w:p>
    <w:p w14:paraId="40AA8EFD" w14:textId="77777777" w:rsidR="00A41E63" w:rsidRPr="008B34B9" w:rsidRDefault="00A41E63" w:rsidP="00A41E63">
      <w:pPr>
        <w:pStyle w:val="BodyTextSMPC"/>
        <w:spacing w:before="240"/>
        <w:rPr>
          <w:b/>
          <w:bCs/>
        </w:rPr>
      </w:pPr>
      <w:r w:rsidRPr="008B34B9">
        <w:rPr>
          <w:b/>
          <w:bCs/>
        </w:rPr>
        <w:t>Cardiac / Vascular disorders</w:t>
      </w:r>
    </w:p>
    <w:p w14:paraId="28040FA8" w14:textId="6D98CE9E" w:rsidR="00A41E63" w:rsidRDefault="00A41E63" w:rsidP="008B34B9">
      <w:pPr>
        <w:pStyle w:val="BodyTextSMPC"/>
        <w:spacing w:before="240"/>
      </w:pPr>
      <w:r>
        <w:t xml:space="preserve">Oedema, hypertension and cardiac failure have been reported in association with NSAID treatment. </w:t>
      </w:r>
    </w:p>
    <w:p w14:paraId="37A78318" w14:textId="2A74ED53" w:rsidR="00A41E63" w:rsidRDefault="00A41E63" w:rsidP="008B34B9">
      <w:pPr>
        <w:pStyle w:val="BodyTextSMPC"/>
        <w:spacing w:before="240"/>
      </w:pPr>
      <w:r>
        <w:lastRenderedPageBreak/>
        <w:t xml:space="preserve">Clinical trial and epidemiological data suggest that use of some NSAIDs (particularly at high doses and in long term treatment) may be associated with an increased risk of arterial thrombotic events (for example myocardial infarction or stroke) (see section 4.4). </w:t>
      </w:r>
    </w:p>
    <w:p w14:paraId="305D0823" w14:textId="77777777" w:rsidR="00A41E63" w:rsidRDefault="00A41E63" w:rsidP="00A41E63">
      <w:pPr>
        <w:pStyle w:val="BodyTextSMPC"/>
        <w:spacing w:before="240"/>
      </w:pPr>
      <w:r>
        <w:t xml:space="preserve">Palpitations. </w:t>
      </w:r>
    </w:p>
    <w:p w14:paraId="7C0DE713" w14:textId="77777777" w:rsidR="00A41E63" w:rsidRDefault="00A41E63" w:rsidP="00A41E63">
      <w:pPr>
        <w:pStyle w:val="BodyTextSMPC"/>
        <w:spacing w:before="240"/>
      </w:pPr>
      <w:r>
        <w:t xml:space="preserve">Hypotension. </w:t>
      </w:r>
    </w:p>
    <w:p w14:paraId="3C66C53B" w14:textId="77777777" w:rsidR="00A41E63" w:rsidRPr="008B34B9" w:rsidRDefault="00A41E63" w:rsidP="00A41E63">
      <w:pPr>
        <w:pStyle w:val="BodyTextSMPC"/>
        <w:spacing w:before="240"/>
        <w:rPr>
          <w:b/>
          <w:bCs/>
        </w:rPr>
      </w:pPr>
      <w:r w:rsidRPr="008B34B9">
        <w:rPr>
          <w:b/>
          <w:bCs/>
        </w:rPr>
        <w:t>Respiratory, thoracic and mediastinal disorders</w:t>
      </w:r>
    </w:p>
    <w:p w14:paraId="4DA92FB1" w14:textId="77777777" w:rsidR="00A41E63" w:rsidRDefault="00A41E63" w:rsidP="00A41E63">
      <w:pPr>
        <w:pStyle w:val="BodyTextSMPC"/>
        <w:spacing w:before="240"/>
      </w:pPr>
      <w:r>
        <w:t xml:space="preserve">Asthma, </w:t>
      </w:r>
      <w:proofErr w:type="spellStart"/>
      <w:r>
        <w:t>dyspnoea</w:t>
      </w:r>
      <w:proofErr w:type="spellEnd"/>
      <w:r>
        <w:t xml:space="preserve">. </w:t>
      </w:r>
    </w:p>
    <w:p w14:paraId="6E97692C" w14:textId="77777777" w:rsidR="00A41E63" w:rsidRPr="008B34B9" w:rsidRDefault="00A41E63" w:rsidP="00A41E63">
      <w:pPr>
        <w:pStyle w:val="BodyTextSMPC"/>
        <w:spacing w:before="240"/>
        <w:rPr>
          <w:b/>
          <w:bCs/>
        </w:rPr>
      </w:pPr>
      <w:r w:rsidRPr="008B34B9">
        <w:rPr>
          <w:b/>
          <w:bCs/>
        </w:rPr>
        <w:t>Gastrointestinal disorders</w:t>
      </w:r>
    </w:p>
    <w:p w14:paraId="1CB78997" w14:textId="0AAFA616" w:rsidR="00A41E63" w:rsidRDefault="00A41E63" w:rsidP="008B34B9">
      <w:pPr>
        <w:pStyle w:val="BodyTextSMPC"/>
        <w:spacing w:before="240"/>
      </w:pPr>
      <w:r>
        <w:t xml:space="preserve">The most commonly observed adverse events are gastrointestinal in nature. Peptic ulcers, perforation or GI bleeding, sometimes fatal, particularly in the elderly, may occur (see section 4.4). Nausea, vomiting, </w:t>
      </w:r>
      <w:proofErr w:type="spellStart"/>
      <w:r>
        <w:t>diarrhoea</w:t>
      </w:r>
      <w:proofErr w:type="spellEnd"/>
      <w:r>
        <w:t xml:space="preserve">, flatulence, constipation, dyspepsia, abdominal pain, melaena, </w:t>
      </w:r>
      <w:proofErr w:type="spellStart"/>
      <w:r>
        <w:t>haematemesis</w:t>
      </w:r>
      <w:proofErr w:type="spellEnd"/>
      <w:r>
        <w:t xml:space="preserve">, ulcerative stomatitis, exacerbation of colitis and Crohn’s disease have been reported following administration. Less frequently, gastritis has been observed. </w:t>
      </w:r>
    </w:p>
    <w:p w14:paraId="15D95EF3" w14:textId="3BDDDF27" w:rsidR="00A41E63" w:rsidRDefault="00A41E63" w:rsidP="008B34B9">
      <w:pPr>
        <w:pStyle w:val="BodyTextSMPC"/>
        <w:spacing w:before="240"/>
      </w:pPr>
      <w:r>
        <w:t xml:space="preserve">Elderly or debilitated patients seem to tolerate gastrointestinal ulceration or bleeding less well than other individuals and most spontaneous reports of fatal GI events are in this population. </w:t>
      </w:r>
    </w:p>
    <w:p w14:paraId="0D84F094" w14:textId="49C6B814" w:rsidR="00A41E63" w:rsidRDefault="00A41E63" w:rsidP="008B34B9">
      <w:pPr>
        <w:pStyle w:val="BodyTextSMPC"/>
        <w:spacing w:before="240"/>
      </w:pPr>
      <w:r>
        <w:t xml:space="preserve">Anorexia, colitis, enterocolitis, gastric ulceration with or without </w:t>
      </w:r>
      <w:proofErr w:type="spellStart"/>
      <w:r>
        <w:t>haemorrhage</w:t>
      </w:r>
      <w:proofErr w:type="spellEnd"/>
      <w:r>
        <w:t xml:space="preserve">, pancreatitis, steatorrhea. </w:t>
      </w:r>
    </w:p>
    <w:p w14:paraId="400E0DCC" w14:textId="77777777" w:rsidR="00A41E63" w:rsidRPr="008B34B9" w:rsidRDefault="00A41E63" w:rsidP="00A41E63">
      <w:pPr>
        <w:pStyle w:val="BodyTextSMPC"/>
        <w:spacing w:before="240"/>
        <w:rPr>
          <w:b/>
          <w:bCs/>
        </w:rPr>
      </w:pPr>
      <w:r w:rsidRPr="008B34B9">
        <w:rPr>
          <w:b/>
          <w:bCs/>
        </w:rPr>
        <w:t>Hepato-</w:t>
      </w:r>
      <w:proofErr w:type="spellStart"/>
      <w:r w:rsidRPr="008B34B9">
        <w:rPr>
          <w:b/>
          <w:bCs/>
        </w:rPr>
        <w:t>bilary</w:t>
      </w:r>
      <w:proofErr w:type="spellEnd"/>
      <w:r w:rsidRPr="008B34B9">
        <w:rPr>
          <w:b/>
          <w:bCs/>
        </w:rPr>
        <w:t xml:space="preserve"> disorders</w:t>
      </w:r>
    </w:p>
    <w:p w14:paraId="76340F24" w14:textId="77777777" w:rsidR="00A41E63" w:rsidRDefault="00A41E63" w:rsidP="00A41E63">
      <w:pPr>
        <w:pStyle w:val="BodyTextSMPC"/>
        <w:spacing w:before="240"/>
      </w:pPr>
      <w:r>
        <w:t xml:space="preserve">Borderline elevations of one or more liver function tests, cholestatic jaundice. </w:t>
      </w:r>
    </w:p>
    <w:p w14:paraId="4635D595" w14:textId="77777777" w:rsidR="00A41E63" w:rsidRDefault="00A41E63" w:rsidP="00A41E63">
      <w:pPr>
        <w:pStyle w:val="BodyTextSMPC"/>
        <w:spacing w:before="240"/>
      </w:pPr>
      <w:r>
        <w:t xml:space="preserve">Mild hepatotoxicity, hepatitis, hepatorenal syndrome. </w:t>
      </w:r>
    </w:p>
    <w:p w14:paraId="1A4F9890" w14:textId="77777777" w:rsidR="00A41E63" w:rsidRPr="008B34B9" w:rsidRDefault="00A41E63" w:rsidP="00A41E63">
      <w:pPr>
        <w:pStyle w:val="BodyTextSMPC"/>
        <w:spacing w:before="240"/>
        <w:rPr>
          <w:b/>
          <w:bCs/>
        </w:rPr>
      </w:pPr>
      <w:r w:rsidRPr="008B34B9">
        <w:rPr>
          <w:b/>
          <w:bCs/>
        </w:rPr>
        <w:t>Skin and subcutaneous tissue disorders</w:t>
      </w:r>
    </w:p>
    <w:p w14:paraId="093C5E46" w14:textId="54572CF4" w:rsidR="00A41E63" w:rsidRDefault="00A41E63" w:rsidP="008B34B9">
      <w:pPr>
        <w:pStyle w:val="BodyTextSMPC"/>
        <w:spacing w:before="240"/>
      </w:pPr>
      <w:r>
        <w:t xml:space="preserve">Angioedema, laryngeal oedema, erythema multiforme, face oedema, bullous reactions including Lyell’s syndrome (toxic epidermal necrolysis) and Stevens-Johnson syndrome, perspiration, rash, photosensitivity reaction, pruritus and urticaria. </w:t>
      </w:r>
    </w:p>
    <w:p w14:paraId="6BF94E83" w14:textId="77777777" w:rsidR="00A41E63" w:rsidRPr="008B34B9" w:rsidRDefault="00A41E63" w:rsidP="00A41E63">
      <w:pPr>
        <w:pStyle w:val="BodyTextSMPC"/>
        <w:spacing w:before="240"/>
        <w:rPr>
          <w:b/>
          <w:bCs/>
        </w:rPr>
      </w:pPr>
      <w:r w:rsidRPr="008B34B9">
        <w:rPr>
          <w:b/>
          <w:bCs/>
        </w:rPr>
        <w:lastRenderedPageBreak/>
        <w:t>Renal and urinary disorders</w:t>
      </w:r>
    </w:p>
    <w:p w14:paraId="4DCBD72A" w14:textId="38FBB705" w:rsidR="00A41E63" w:rsidRDefault="00A41E63" w:rsidP="008B34B9">
      <w:pPr>
        <w:pStyle w:val="BodyTextSMPC"/>
        <w:spacing w:before="240"/>
      </w:pPr>
      <w:r>
        <w:t xml:space="preserve">Allergic glomerulonephritis, acute interstitial nephritis, dysuria, </w:t>
      </w:r>
      <w:proofErr w:type="spellStart"/>
      <w:r>
        <w:t>haematuria</w:t>
      </w:r>
      <w:proofErr w:type="spellEnd"/>
      <w:r>
        <w:t xml:space="preserve">, nephrotic syndrome, non-oliguric renal failure (particularly in dehydration), proteinuria, renal failure including renal papillary necrosis. </w:t>
      </w:r>
    </w:p>
    <w:p w14:paraId="200A348F" w14:textId="77777777" w:rsidR="00A41E63" w:rsidRPr="008B34B9" w:rsidRDefault="00A41E63" w:rsidP="00A41E63">
      <w:pPr>
        <w:pStyle w:val="BodyTextSMPC"/>
        <w:spacing w:before="240"/>
        <w:rPr>
          <w:b/>
          <w:bCs/>
        </w:rPr>
      </w:pPr>
      <w:r w:rsidRPr="008B34B9">
        <w:rPr>
          <w:b/>
          <w:bCs/>
        </w:rPr>
        <w:t>General disorders</w:t>
      </w:r>
    </w:p>
    <w:p w14:paraId="428F24AC" w14:textId="77777777" w:rsidR="00A41E63" w:rsidRDefault="00A41E63" w:rsidP="00A41E63">
      <w:pPr>
        <w:pStyle w:val="BodyTextSMPC"/>
        <w:spacing w:before="240"/>
      </w:pPr>
      <w:r>
        <w:t xml:space="preserve">Fatigue, malaise, multi-organ failure, pyrexia. </w:t>
      </w:r>
    </w:p>
    <w:p w14:paraId="087EA258" w14:textId="77777777" w:rsidR="00A41E63" w:rsidRPr="008B34B9" w:rsidRDefault="00A41E63" w:rsidP="00A41E63">
      <w:pPr>
        <w:pStyle w:val="BodyTextSMPC"/>
        <w:spacing w:before="240"/>
        <w:rPr>
          <w:b/>
          <w:bCs/>
        </w:rPr>
      </w:pPr>
      <w:r w:rsidRPr="008B34B9">
        <w:rPr>
          <w:b/>
          <w:bCs/>
        </w:rPr>
        <w:t>Investigations</w:t>
      </w:r>
    </w:p>
    <w:p w14:paraId="3DC0B0D1" w14:textId="119B566C" w:rsidR="00EB692F" w:rsidRPr="00EB692F" w:rsidRDefault="00A41E63" w:rsidP="008B34B9">
      <w:pPr>
        <w:pStyle w:val="BodyTextSMPC"/>
        <w:spacing w:before="240"/>
      </w:pPr>
      <w:r>
        <w:t>A positive reaction in certain tests for bile in the urine of patients receiving mefenamic acid has been demonstrated to be due to the presence of the drug and its metabolites and not to the presence of bile.</w:t>
      </w:r>
    </w:p>
    <w:p w14:paraId="6D003B03" w14:textId="6E048073" w:rsidR="00227FD4" w:rsidRPr="008F5678" w:rsidRDefault="00000000" w:rsidP="00E21167">
      <w:pPr>
        <w:pStyle w:val="BodyTextSMPC"/>
        <w:spacing w:before="240"/>
        <w:ind w:left="0" w:firstLine="720"/>
        <w:rPr>
          <w:u w:val="single"/>
        </w:rPr>
      </w:pPr>
      <w:r w:rsidRPr="008F5678">
        <w:rPr>
          <w:u w:val="single"/>
        </w:rPr>
        <w:t xml:space="preserve">Reporting of suspected adverse reactions </w:t>
      </w:r>
    </w:p>
    <w:p w14:paraId="3CE4C9DE" w14:textId="14F42494" w:rsidR="00227FD4" w:rsidRPr="008F5678" w:rsidRDefault="00E01FDA" w:rsidP="00671E86">
      <w:pPr>
        <w:pStyle w:val="BodyTextSMPC"/>
        <w:rPr>
          <w:rFonts w:eastAsia="Times"/>
        </w:rPr>
      </w:pPr>
      <w:r w:rsidRPr="00E01FDA">
        <w:t xml:space="preserve">Reporting suspected adverse reactions after </w:t>
      </w:r>
      <w:proofErr w:type="spellStart"/>
      <w:r w:rsidRPr="00E01FDA">
        <w:t>authorisation</w:t>
      </w:r>
      <w:proofErr w:type="spellEnd"/>
      <w:r w:rsidRPr="00E01FDA">
        <w:t xml:space="preserve"> of the medicinal product is important. It allows continued monitoring of the benefit/risk balance of the medicinal product. Healthcare professionals are asked to report any suspected adverse reactions via Health Product Vigilance Center; HPVC</w:t>
      </w:r>
      <w:r w:rsidR="00415AF9" w:rsidRPr="00415AF9">
        <w:t>.</w:t>
      </w:r>
    </w:p>
    <w:p w14:paraId="30211328" w14:textId="69F1473A" w:rsidR="00227FD4" w:rsidRPr="008F5678" w:rsidRDefault="00000000" w:rsidP="00671E86">
      <w:pPr>
        <w:pStyle w:val="SubHeafingSMPC"/>
      </w:pPr>
      <w:r w:rsidRPr="008F5678">
        <w:t xml:space="preserve">Overdose </w:t>
      </w:r>
    </w:p>
    <w:p w14:paraId="6282C537" w14:textId="5B32F1E6" w:rsidR="007652F2" w:rsidRPr="007652F2" w:rsidRDefault="007652F2" w:rsidP="007652F2">
      <w:pPr>
        <w:pStyle w:val="BodyTextSMPC"/>
      </w:pPr>
      <w:r>
        <w:t>It is important that the recommended dose is not exceeded, and the regime adhered to since some reports have involved daily dosages under 3g</w:t>
      </w:r>
    </w:p>
    <w:p w14:paraId="11E5CC2D" w14:textId="4B2B9869" w:rsidR="001624D3" w:rsidRPr="001624D3" w:rsidRDefault="001624D3" w:rsidP="00567F62">
      <w:pPr>
        <w:pStyle w:val="BodyTextSMPC"/>
        <w:rPr>
          <w:b/>
          <w:bCs/>
        </w:rPr>
      </w:pPr>
      <w:r w:rsidRPr="001624D3">
        <w:rPr>
          <w:b/>
          <w:bCs/>
        </w:rPr>
        <w:t>Symptoms</w:t>
      </w:r>
    </w:p>
    <w:p w14:paraId="779748E9" w14:textId="24F183BA" w:rsidR="00227FD4" w:rsidRDefault="007652F2" w:rsidP="007652F2">
      <w:pPr>
        <w:pStyle w:val="BodyTextSMPC"/>
      </w:pPr>
      <w:r>
        <w:t xml:space="preserve">Symptoms include headache, nausea, vomiting epigastric pain, gastrointestinal bleeding, rarely </w:t>
      </w:r>
      <w:proofErr w:type="spellStart"/>
      <w:r>
        <w:t>diarrhoea</w:t>
      </w:r>
      <w:proofErr w:type="spellEnd"/>
      <w:r>
        <w:t>, disorientation, excitation, coma, drowsiness, tinnitus, fainting, occasionally convulsions [Mefenamic acid has a tendency to induce tonic-</w:t>
      </w:r>
      <w:proofErr w:type="spellStart"/>
      <w:r>
        <w:t>clonic</w:t>
      </w:r>
      <w:proofErr w:type="spellEnd"/>
      <w:r>
        <w:t xml:space="preserve"> (grand mal) convulsions in overdose]. In cases of significant poisoning acute renal failure and liver damage are possible.</w:t>
      </w:r>
    </w:p>
    <w:p w14:paraId="1AAD5B48" w14:textId="5AB2A122" w:rsidR="001624D3" w:rsidRDefault="001624D3" w:rsidP="001624D3">
      <w:pPr>
        <w:pStyle w:val="BodyTextSMPC"/>
        <w:rPr>
          <w:b/>
          <w:bCs/>
        </w:rPr>
      </w:pPr>
      <w:r w:rsidRPr="001624D3">
        <w:rPr>
          <w:b/>
          <w:bCs/>
        </w:rPr>
        <w:t>Management</w:t>
      </w:r>
    </w:p>
    <w:p w14:paraId="509C1D33" w14:textId="77777777" w:rsidR="007257C4" w:rsidRDefault="007257C4" w:rsidP="007257C4">
      <w:pPr>
        <w:pStyle w:val="BodyTextSMPC"/>
      </w:pPr>
      <w:r>
        <w:t xml:space="preserve">Patients should be treated symptomatically as required. </w:t>
      </w:r>
    </w:p>
    <w:p w14:paraId="2A8FF148" w14:textId="4C9F5115" w:rsidR="007257C4" w:rsidRDefault="007257C4" w:rsidP="007257C4">
      <w:pPr>
        <w:pStyle w:val="BodyTextSMPC"/>
      </w:pPr>
      <w:r>
        <w:lastRenderedPageBreak/>
        <w:t xml:space="preserve">Within one hour of ingestion of a potentially toxic amount activated charcoal should be considered. Alternatively, in </w:t>
      </w:r>
      <w:proofErr w:type="gramStart"/>
      <w:r>
        <w:t>adults</w:t>
      </w:r>
      <w:proofErr w:type="gramEnd"/>
      <w:r>
        <w:t xml:space="preserve"> gastric lavage should be considered within one hour of ingestion of a potentially life-threatening overdose. </w:t>
      </w:r>
    </w:p>
    <w:p w14:paraId="6F282D19" w14:textId="77777777" w:rsidR="007257C4" w:rsidRDefault="007257C4" w:rsidP="007257C4">
      <w:pPr>
        <w:pStyle w:val="BodyTextSMPC"/>
      </w:pPr>
      <w:r>
        <w:t xml:space="preserve">Good urine output should be ensured </w:t>
      </w:r>
    </w:p>
    <w:p w14:paraId="7356FF08" w14:textId="77777777" w:rsidR="007257C4" w:rsidRDefault="007257C4" w:rsidP="007257C4">
      <w:pPr>
        <w:pStyle w:val="BodyTextSMPC"/>
      </w:pPr>
      <w:r>
        <w:t xml:space="preserve">Renal and liver function should be closely monitored. </w:t>
      </w:r>
    </w:p>
    <w:p w14:paraId="12EFDDDB" w14:textId="16F66FB1" w:rsidR="007257C4" w:rsidRDefault="007257C4" w:rsidP="007257C4">
      <w:pPr>
        <w:pStyle w:val="BodyTextSMPC"/>
      </w:pPr>
      <w:r>
        <w:t xml:space="preserve">Patients should be observed for at least four hours after ingestion of potentially toxic amounts. </w:t>
      </w:r>
    </w:p>
    <w:p w14:paraId="15FAE81D" w14:textId="0727A3B5" w:rsidR="007257C4" w:rsidRDefault="007257C4" w:rsidP="007257C4">
      <w:pPr>
        <w:pStyle w:val="BodyTextSMPC"/>
      </w:pPr>
      <w:r>
        <w:t xml:space="preserve">Frequent or prolonged convulsions should be treated with intravenous diazepam. </w:t>
      </w:r>
    </w:p>
    <w:p w14:paraId="55A761F2" w14:textId="77777777" w:rsidR="007257C4" w:rsidRDefault="007257C4" w:rsidP="007257C4">
      <w:pPr>
        <w:pStyle w:val="BodyTextSMPC"/>
      </w:pPr>
      <w:r>
        <w:t xml:space="preserve">Other measures may be indicated by the patient’s clinical condition. </w:t>
      </w:r>
    </w:p>
    <w:p w14:paraId="5199B15A" w14:textId="16C01865" w:rsidR="001624D3" w:rsidRPr="001624D3" w:rsidRDefault="007257C4" w:rsidP="007257C4">
      <w:pPr>
        <w:pStyle w:val="BodyTextSMPC"/>
      </w:pPr>
      <w:proofErr w:type="spellStart"/>
      <w:r>
        <w:t>Haemodialysis</w:t>
      </w:r>
      <w:proofErr w:type="spellEnd"/>
      <w:r>
        <w:t xml:space="preserve"> is of little value since mefenamic acid and its metabolites are firmly bound to plasma proteins</w:t>
      </w:r>
      <w:r w:rsidR="001624D3">
        <w:t>.</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3B2844F2" w14:textId="7948B8A2" w:rsidR="00DD521B" w:rsidRDefault="007257C4" w:rsidP="007257C4">
      <w:pPr>
        <w:pStyle w:val="BodyTextSMPC"/>
      </w:pPr>
      <w:r>
        <w:t xml:space="preserve">Pharmacotherapeutic group: Anti-inflammatory and anti- rheumatic products, non-steroids, </w:t>
      </w:r>
      <w:proofErr w:type="spellStart"/>
      <w:r>
        <w:t>fenamates</w:t>
      </w:r>
      <w:proofErr w:type="spellEnd"/>
      <w:r>
        <w:t>. ATC code: M01AG01.</w:t>
      </w:r>
      <w:r w:rsidR="00DD521B">
        <w:t xml:space="preserve"> </w:t>
      </w:r>
    </w:p>
    <w:p w14:paraId="2B48253C" w14:textId="77777777" w:rsidR="007257C4" w:rsidRPr="007257C4" w:rsidRDefault="007257C4" w:rsidP="007257C4">
      <w:pPr>
        <w:pStyle w:val="BodyTextSMPC"/>
        <w:rPr>
          <w:b/>
          <w:bCs/>
        </w:rPr>
      </w:pPr>
      <w:r w:rsidRPr="007257C4">
        <w:rPr>
          <w:b/>
          <w:bCs/>
        </w:rPr>
        <w:t>Animal models</w:t>
      </w:r>
    </w:p>
    <w:p w14:paraId="6E81B12A" w14:textId="5D400B28" w:rsidR="007257C4" w:rsidRDefault="007257C4" w:rsidP="007257C4">
      <w:pPr>
        <w:pStyle w:val="BodyTextSMPC"/>
      </w:pPr>
      <w:r>
        <w:t>Mefenamic acid is a non-steroidal anti-inflammatory drug (NSAID) with anti</w:t>
      </w:r>
      <w:r>
        <w:t>-</w:t>
      </w:r>
      <w:r>
        <w:t xml:space="preserve">inflammatory, analgesic and antipyretic properties. Its anti-inflammatory effect was first established in the UV erythema model of inflammation. Further studies included inhibition of granulation tissue growth into subcutaneous cotton pellets in rats and carrageenin induced rat paw oedema tests. </w:t>
      </w:r>
    </w:p>
    <w:p w14:paraId="152C252D" w14:textId="7505DFAB" w:rsidR="007257C4" w:rsidRDefault="007257C4" w:rsidP="007257C4">
      <w:pPr>
        <w:pStyle w:val="BodyTextSMPC"/>
      </w:pPr>
      <w:r>
        <w:t xml:space="preserve">Antipyretic activity was demonstrated in yeast-induced </w:t>
      </w:r>
      <w:proofErr w:type="spellStart"/>
      <w:r>
        <w:t>pyresis</w:t>
      </w:r>
      <w:proofErr w:type="spellEnd"/>
      <w:r>
        <w:t xml:space="preserve"> in rats. In this model its antipyretic activity was roughly equal to that of phenylbutazone and </w:t>
      </w:r>
      <w:proofErr w:type="spellStart"/>
      <w:r>
        <w:t>flufenamic</w:t>
      </w:r>
      <w:proofErr w:type="spellEnd"/>
      <w:r>
        <w:t xml:space="preserve"> acid, but less than that of indomethacin. </w:t>
      </w:r>
    </w:p>
    <w:p w14:paraId="34DB5568" w14:textId="494C197D" w:rsidR="007257C4" w:rsidRDefault="007257C4" w:rsidP="007257C4">
      <w:pPr>
        <w:pStyle w:val="BodyTextSMPC"/>
      </w:pPr>
      <w:r>
        <w:t xml:space="preserve">Analgesic activity was demonstrated in tests involving pain sensitivity of </w:t>
      </w:r>
      <w:proofErr w:type="gramStart"/>
      <w:r>
        <w:t>rats</w:t>
      </w:r>
      <w:proofErr w:type="gramEnd"/>
      <w:r>
        <w:t xml:space="preserve"> paws inflamed by </w:t>
      </w:r>
      <w:proofErr w:type="spellStart"/>
      <w:r>
        <w:t>brewers</w:t>
      </w:r>
      <w:proofErr w:type="spellEnd"/>
      <w:r>
        <w:t xml:space="preserve"> yeast. Mefenamic acid was less potent than </w:t>
      </w:r>
      <w:proofErr w:type="spellStart"/>
      <w:r>
        <w:t>flufenamic</w:t>
      </w:r>
      <w:proofErr w:type="spellEnd"/>
      <w:r>
        <w:t xml:space="preserve"> acid in this model. </w:t>
      </w:r>
    </w:p>
    <w:p w14:paraId="3313E8F6" w14:textId="09469AE4" w:rsidR="007257C4" w:rsidRDefault="007257C4" w:rsidP="007257C4">
      <w:pPr>
        <w:pStyle w:val="BodyTextSMPC"/>
      </w:pPr>
      <w:r>
        <w:lastRenderedPageBreak/>
        <w:t xml:space="preserve">Prostaglandins are implicated in a number of disease processes including inflammation, modulation of the pain response, </w:t>
      </w:r>
      <w:proofErr w:type="spellStart"/>
      <w:r>
        <w:t>dysmenorrhoea</w:t>
      </w:r>
      <w:proofErr w:type="spellEnd"/>
      <w:r>
        <w:t xml:space="preserve">, menorrhagia and pyrexia. </w:t>
      </w:r>
    </w:p>
    <w:p w14:paraId="707816AE" w14:textId="3C4B67FE" w:rsidR="007257C4" w:rsidRDefault="007257C4" w:rsidP="007257C4">
      <w:pPr>
        <w:pStyle w:val="BodyTextSMPC"/>
      </w:pPr>
      <w:r>
        <w:t>In common with most NSAIDs mefenamic acid inhibits the action of prostaglandin synthetase (</w:t>
      </w:r>
      <w:proofErr w:type="spellStart"/>
      <w:r>
        <w:t>cyclo</w:t>
      </w:r>
      <w:proofErr w:type="spellEnd"/>
      <w:r>
        <w:t xml:space="preserve"> oxygenase). This results in a reduction in the rate of prostaglandin synthesis and reduced prostaglandin levels. </w:t>
      </w:r>
    </w:p>
    <w:p w14:paraId="06BF9B2B" w14:textId="5F15259A" w:rsidR="007257C4" w:rsidRDefault="007257C4" w:rsidP="007257C4">
      <w:pPr>
        <w:pStyle w:val="BodyTextSMPC"/>
      </w:pPr>
      <w:r>
        <w:t xml:space="preserve">The anti-inflammatory activity of NSAIDs in the rat paw oedema test has been correlated with their ability to inhibit prostaglandin synthetase. When mefenamic acid is ranked in both these tests it falls between indomethacin and phenylbutazone and it is probable that inhibition of prostaglandin synthesis contributes to the pharmacological activity and clinical efficacy of mefenamic acid. </w:t>
      </w:r>
    </w:p>
    <w:p w14:paraId="51641238" w14:textId="600691F1" w:rsidR="00351B91" w:rsidRDefault="007257C4" w:rsidP="007257C4">
      <w:pPr>
        <w:pStyle w:val="BodyTextSMPC"/>
      </w:pPr>
      <w:r>
        <w:t xml:space="preserve">There is also considerable evidence that the </w:t>
      </w:r>
      <w:proofErr w:type="spellStart"/>
      <w:r>
        <w:t>fenamates</w:t>
      </w:r>
      <w:proofErr w:type="spellEnd"/>
      <w:r>
        <w:t xml:space="preserve"> inhibit the action of prostaglandins after they have been formed. They therefore both inhibit the synthesis and response to prostaglandins. This double blockade may well be important in their mode of action.</w:t>
      </w:r>
    </w:p>
    <w:p w14:paraId="1B2570FC" w14:textId="3CB53918" w:rsidR="00934487" w:rsidRPr="00424399" w:rsidRDefault="00000000" w:rsidP="00424399">
      <w:pPr>
        <w:pStyle w:val="SubHeafingSMPC"/>
      </w:pPr>
      <w:r w:rsidRPr="008F5678">
        <w:t xml:space="preserve">Pharmacokinetic properties </w:t>
      </w:r>
    </w:p>
    <w:p w14:paraId="15AF0D2E" w14:textId="77777777" w:rsidR="00D03A8E" w:rsidRPr="00D03A8E" w:rsidRDefault="00D03A8E" w:rsidP="00D03A8E">
      <w:pPr>
        <w:pStyle w:val="BodyTextSMPC"/>
        <w:rPr>
          <w:b/>
          <w:bCs/>
        </w:rPr>
      </w:pPr>
      <w:r w:rsidRPr="00D03A8E">
        <w:rPr>
          <w:b/>
          <w:bCs/>
        </w:rPr>
        <w:t xml:space="preserve">Absorption and Distribution </w:t>
      </w:r>
    </w:p>
    <w:p w14:paraId="521115FC" w14:textId="2E81D3E9" w:rsidR="00D03A8E" w:rsidRDefault="00D03A8E" w:rsidP="00D03A8E">
      <w:pPr>
        <w:pStyle w:val="BodyTextSMPC"/>
      </w:pPr>
      <w:r>
        <w:t xml:space="preserve">Mefenamic acid is absorbed from the gastro intestinal tract. Peak levels of 10 mg/l occur two hours after the administration of a 1g oral dose to adults. </w:t>
      </w:r>
    </w:p>
    <w:p w14:paraId="74854979" w14:textId="77777777" w:rsidR="00D03A8E" w:rsidRPr="00D03A8E" w:rsidRDefault="00D03A8E" w:rsidP="00D03A8E">
      <w:pPr>
        <w:pStyle w:val="BodyTextSMPC"/>
        <w:rPr>
          <w:b/>
          <w:bCs/>
        </w:rPr>
      </w:pPr>
      <w:r w:rsidRPr="00D03A8E">
        <w:rPr>
          <w:b/>
          <w:bCs/>
        </w:rPr>
        <w:t>Biotransformation</w:t>
      </w:r>
    </w:p>
    <w:p w14:paraId="6905A8D0" w14:textId="22B32D8F" w:rsidR="00D03A8E" w:rsidRDefault="00D03A8E" w:rsidP="00D03A8E">
      <w:pPr>
        <w:pStyle w:val="BodyTextSMPC"/>
      </w:pPr>
      <w:r>
        <w:t xml:space="preserve">Mefenamic acid is predominantly </w:t>
      </w:r>
      <w:proofErr w:type="spellStart"/>
      <w:r>
        <w:t>metabolised</w:t>
      </w:r>
      <w:proofErr w:type="spellEnd"/>
      <w:r>
        <w:t xml:space="preserve"> by cytochrome P450 enzyme CYP2C9 in the liver, first to a 3-hydroxymethyl derivative (metabolite I) and then a 3-carboxyl derivative (metabolite II). Both metabolites undergo secondary conjugation to form glucuronides. Therefore, in patients who are known or suspected to be poor CYP2C9 </w:t>
      </w:r>
      <w:proofErr w:type="spellStart"/>
      <w:r>
        <w:t>metabolisers</w:t>
      </w:r>
      <w:proofErr w:type="spellEnd"/>
      <w:r>
        <w:t xml:space="preserve"> based on previous history/experience with other CYP2C9 substrates, mefenamic acid should be administered with caution as they may have abnormally high plasma levels due to reduced metabolic clearance. </w:t>
      </w:r>
    </w:p>
    <w:p w14:paraId="192A2156" w14:textId="77777777" w:rsidR="00D03A8E" w:rsidRPr="00D03A8E" w:rsidRDefault="00D03A8E" w:rsidP="00D03A8E">
      <w:pPr>
        <w:pStyle w:val="BodyTextSMPC"/>
        <w:rPr>
          <w:b/>
          <w:bCs/>
        </w:rPr>
      </w:pPr>
      <w:r w:rsidRPr="00D03A8E">
        <w:rPr>
          <w:b/>
          <w:bCs/>
        </w:rPr>
        <w:t>Elimination</w:t>
      </w:r>
    </w:p>
    <w:p w14:paraId="2B31E401" w14:textId="6D3A30FA" w:rsidR="00934487" w:rsidRDefault="00D03A8E" w:rsidP="00D03A8E">
      <w:pPr>
        <w:pStyle w:val="BodyTextSMPC"/>
      </w:pPr>
      <w:r>
        <w:lastRenderedPageBreak/>
        <w:t>Fifty two percent of a dose is recovered from the urine, 6% as mefenamic acid, 25% as metabolite I and 21% as metabolite II. Assay of stools over a 3-day period accounted for 10-20 % of the dose chiefly as unconjugated metabolite II. The plasma levels of unconjugated mefenamic acid decline with a half</w:t>
      </w:r>
      <w:r>
        <w:t>-</w:t>
      </w:r>
      <w:r>
        <w:t>life of approximately two hours</w:t>
      </w:r>
      <w:r w:rsidR="00DD521B">
        <w:t>.</w:t>
      </w:r>
    </w:p>
    <w:p w14:paraId="0BBA0F2C" w14:textId="58A139F5" w:rsidR="00227FD4" w:rsidRPr="008F5678" w:rsidRDefault="00000000" w:rsidP="00671E86">
      <w:pPr>
        <w:pStyle w:val="SubHeafingSMPC"/>
      </w:pPr>
      <w:r w:rsidRPr="008F5678">
        <w:t xml:space="preserve">Preclinical safety data </w:t>
      </w:r>
    </w:p>
    <w:p w14:paraId="7BE4B9BC" w14:textId="6679EC36" w:rsidR="00227FD4" w:rsidRPr="005574FA" w:rsidRDefault="00D03A8E" w:rsidP="00D03A8E">
      <w:pPr>
        <w:pStyle w:val="BodyTextSMPC"/>
      </w:pPr>
      <w:r>
        <w:t>Pre-clinical safety data does not add anything of further significance to the prescriber</w:t>
      </w:r>
      <w:r w:rsidR="00155D95">
        <w:t>.</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1EF971C7" w14:textId="43B68938" w:rsidR="00E139AC" w:rsidRPr="006E7537" w:rsidRDefault="00C85E0E" w:rsidP="00913543">
      <w:pPr>
        <w:pStyle w:val="BodyTextSMPC"/>
      </w:pPr>
      <w:r w:rsidRPr="00C85E0E">
        <w:t>Not applicable.</w:t>
      </w:r>
      <w:r w:rsidR="00155D95" w:rsidRPr="00155D95">
        <w:t xml:space="preserve"> </w:t>
      </w:r>
      <w:r w:rsidR="00913543">
        <w:t xml:space="preserve">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39A2BB24" w14:textId="7EB7E170" w:rsidR="00353092" w:rsidRPr="00F62FFF" w:rsidRDefault="00000000" w:rsidP="00F62FFF">
      <w:pPr>
        <w:pStyle w:val="SubHeafingSMPC"/>
      </w:pPr>
      <w:r w:rsidRPr="008F5678">
        <w:t xml:space="preserve">Special precautions for disposal </w:t>
      </w:r>
      <w:r w:rsidR="00353092" w:rsidRPr="00F62FFF">
        <w:t xml:space="preserve"> </w:t>
      </w:r>
    </w:p>
    <w:p w14:paraId="41ABB03E" w14:textId="06C7DEAB" w:rsidR="00151237" w:rsidRPr="00151237" w:rsidRDefault="00353092" w:rsidP="00F62FFF">
      <w:pPr>
        <w:pStyle w:val="BodyTextSMPC"/>
      </w:pPr>
      <w:r w:rsidRPr="008F5678">
        <w:rPr>
          <w:color w:val="FF0000"/>
        </w:rPr>
        <w:t>&lt;REGARDING THE APPROVAL&gt;</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lastRenderedPageBreak/>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E139AC" w:rsidRDefault="00000000" w:rsidP="008F5678">
      <w:pPr>
        <w:pStyle w:val="BodyTextSMPC"/>
        <w:rPr>
          <w:rFonts w:cstheme="minorBidi" w:hint="cs"/>
          <w:color w:val="FF0000"/>
          <w:cs/>
        </w:rPr>
      </w:pPr>
      <w:r w:rsidRPr="008F5678">
        <w:rPr>
          <w:color w:val="FF0000"/>
        </w:rPr>
        <w:t xml:space="preserve">&lt;REGARDING THE APPROVAL&gt; </w:t>
      </w:r>
    </w:p>
    <w:sectPr w:rsidR="00227FD4" w:rsidRPr="00E139AC" w:rsidSect="00C21A1C">
      <w:footerReference w:type="even" r:id="rId8"/>
      <w:footerReference w:type="default" r:id="rId9"/>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FD851" w14:textId="77777777" w:rsidR="00D43480" w:rsidRDefault="00D43480" w:rsidP="008F5678">
      <w:pPr>
        <w:spacing w:line="240" w:lineRule="auto"/>
      </w:pPr>
      <w:r>
        <w:separator/>
      </w:r>
    </w:p>
  </w:endnote>
  <w:endnote w:type="continuationSeparator" w:id="0">
    <w:p w14:paraId="64B955BD" w14:textId="77777777" w:rsidR="00D43480" w:rsidRDefault="00D43480"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cs/>
      </w:rPr>
      <w:id w:val="-645354915"/>
      <w:docPartObj>
        <w:docPartGallery w:val="Page Numbers (Bottom of Page)"/>
        <w:docPartUnique/>
      </w:docPartObj>
    </w:sdtPr>
    <w:sdtContent>
      <w:p w14:paraId="3BF6A5A5" w14:textId="5097DB4C" w:rsidR="008F5678" w:rsidRDefault="008F5678" w:rsidP="00050BE3">
        <w:pPr>
          <w:pStyle w:val="ab"/>
          <w:framePr w:wrap="none" w:vAnchor="text" w:hAnchor="margin" w:xAlign="center" w:y="1"/>
          <w:rPr>
            <w:rStyle w:val="ad"/>
          </w:rPr>
        </w:pPr>
        <w:r>
          <w:rPr>
            <w:rStyle w:val="ad"/>
            <w:cs/>
          </w:rPr>
          <w:fldChar w:fldCharType="begin"/>
        </w:r>
        <w:r>
          <w:rPr>
            <w:rStyle w:val="ad"/>
          </w:rPr>
          <w:instrText xml:space="preserve"> PAGE </w:instrText>
        </w:r>
        <w:r>
          <w:rPr>
            <w:rStyle w:val="ad"/>
            <w:cs/>
          </w:rPr>
          <w:fldChar w:fldCharType="end"/>
        </w:r>
      </w:p>
    </w:sdtContent>
  </w:sdt>
  <w:p w14:paraId="72E7A6CB" w14:textId="77777777" w:rsidR="008F5678" w:rsidRDefault="008F567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d"/>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ab"/>
          <w:framePr w:wrap="none" w:vAnchor="text" w:hAnchor="margin" w:xAlign="center" w:y="1"/>
          <w:rPr>
            <w:rStyle w:val="ad"/>
            <w:rFonts w:ascii="Times New Roman" w:hAnsi="Times New Roman" w:cs="Times New Roman"/>
            <w:sz w:val="24"/>
            <w:szCs w:val="32"/>
          </w:rPr>
        </w:pPr>
        <w:r w:rsidRPr="008F5678">
          <w:rPr>
            <w:rStyle w:val="ad"/>
            <w:rFonts w:ascii="Times New Roman" w:hAnsi="Times New Roman" w:cs="Times New Roman"/>
            <w:sz w:val="24"/>
            <w:szCs w:val="32"/>
            <w:cs/>
          </w:rPr>
          <w:fldChar w:fldCharType="begin"/>
        </w:r>
        <w:r w:rsidRPr="008F5678">
          <w:rPr>
            <w:rStyle w:val="ad"/>
            <w:rFonts w:ascii="Times New Roman" w:hAnsi="Times New Roman" w:cs="Times New Roman"/>
            <w:sz w:val="24"/>
            <w:szCs w:val="32"/>
          </w:rPr>
          <w:instrText xml:space="preserve"> PAGE </w:instrText>
        </w:r>
        <w:r w:rsidRPr="008F5678">
          <w:rPr>
            <w:rStyle w:val="ad"/>
            <w:rFonts w:ascii="Times New Roman" w:hAnsi="Times New Roman" w:cs="Times New Roman"/>
            <w:sz w:val="24"/>
            <w:szCs w:val="32"/>
            <w:cs/>
          </w:rPr>
          <w:fldChar w:fldCharType="separate"/>
        </w:r>
        <w:r w:rsidRPr="008F5678">
          <w:rPr>
            <w:rStyle w:val="ad"/>
            <w:rFonts w:ascii="Times New Roman" w:hAnsi="Times New Roman" w:cs="Times New Roman"/>
            <w:noProof/>
            <w:sz w:val="24"/>
            <w:szCs w:val="32"/>
          </w:rPr>
          <w:t>6</w:t>
        </w:r>
        <w:r w:rsidRPr="008F5678">
          <w:rPr>
            <w:rStyle w:val="ad"/>
            <w:rFonts w:ascii="Times New Roman" w:hAnsi="Times New Roman" w:cs="Times New Roman"/>
            <w:sz w:val="24"/>
            <w:szCs w:val="32"/>
            <w:cs/>
          </w:rPr>
          <w:fldChar w:fldCharType="end"/>
        </w:r>
      </w:p>
    </w:sdtContent>
  </w:sdt>
  <w:p w14:paraId="04555908" w14:textId="376386CC" w:rsidR="008F5678" w:rsidRPr="00EE66E7" w:rsidRDefault="008F5678" w:rsidP="008F5678">
    <w:pPr>
      <w:rPr>
        <w:rFonts w:ascii="Times New Roman" w:hAnsi="Times New Roman" w:cstheme="minorBidi"/>
        <w:color w:val="FF0000"/>
        <w:sz w:val="32"/>
        <w:szCs w:val="24"/>
      </w:rPr>
    </w:pPr>
    <w:r w:rsidRPr="008F5678">
      <w:rPr>
        <w:rFonts w:ascii="Times New Roman" w:eastAsia="Times New Roman" w:hAnsi="Times New Roman" w:cs="Times New Roman"/>
        <w:sz w:val="24"/>
        <w:szCs w:val="24"/>
        <w:vertAlign w:val="superscript"/>
      </w:rPr>
      <w:t xml:space="preserve">1 </w:t>
    </w:r>
    <w:r w:rsidRPr="008F5678">
      <w:rPr>
        <w:rFonts w:ascii="Times New Roman" w:hAnsi="Times New Roman" w:cs="Times New Roman"/>
        <w:sz w:val="24"/>
        <w:szCs w:val="24"/>
      </w:rPr>
      <w:t>Ref:</w:t>
    </w:r>
    <w:r w:rsidR="000C7ED9" w:rsidRPr="000C7ED9">
      <w:t xml:space="preserve"> </w:t>
    </w:r>
    <w:proofErr w:type="spellStart"/>
    <w:r w:rsidR="00D03A8E">
      <w:rPr>
        <w:rFonts w:ascii="Times New Roman" w:hAnsi="Times New Roman" w:cs="Times New Roman"/>
        <w:sz w:val="24"/>
        <w:szCs w:val="24"/>
      </w:rPr>
      <w:t>Ponstan</w:t>
    </w:r>
    <w:proofErr w:type="spellEnd"/>
    <w:r w:rsidRPr="008F5678">
      <w:rPr>
        <w:rFonts w:ascii="Times New Roman" w:hAnsi="Times New Roman" w:cs="Times New Roman"/>
        <w:sz w:val="24"/>
        <w:szCs w:val="24"/>
      </w:rPr>
      <w:t xml:space="preserve">, </w:t>
    </w:r>
    <w:r w:rsidR="00C85E0E">
      <w:rPr>
        <w:rFonts w:ascii="Times New Roman" w:hAnsi="Times New Roman" w:cs="Times New Roman"/>
        <w:sz w:val="24"/>
        <w:szCs w:val="24"/>
      </w:rPr>
      <w:t>MHRA</w:t>
    </w:r>
    <w:r w:rsidRPr="008F5678">
      <w:rPr>
        <w:rFonts w:ascii="Times New Roman" w:hAnsi="Times New Roman" w:cs="Times New Roman"/>
        <w:sz w:val="24"/>
        <w:szCs w:val="24"/>
      </w:rPr>
      <w:t xml:space="preserve">, </w:t>
    </w:r>
    <w:r w:rsidR="00D03A8E">
      <w:rPr>
        <w:rFonts w:ascii="Times New Roman" w:hAnsi="Times New Roman" w:cs="Times New Roman"/>
        <w:sz w:val="24"/>
        <w:szCs w:val="24"/>
      </w:rPr>
      <w:t>26/05/2023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F9AE7" w14:textId="77777777" w:rsidR="00D43480" w:rsidRDefault="00D43480" w:rsidP="008F5678">
      <w:pPr>
        <w:spacing w:line="240" w:lineRule="auto"/>
      </w:pPr>
      <w:r>
        <w:separator/>
      </w:r>
    </w:p>
  </w:footnote>
  <w:footnote w:type="continuationSeparator" w:id="0">
    <w:p w14:paraId="0C6775F5" w14:textId="77777777" w:rsidR="00D43480" w:rsidRDefault="00D43480"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C21B25"/>
    <w:multiLevelType w:val="hybridMultilevel"/>
    <w:tmpl w:val="79E0FFB2"/>
    <w:lvl w:ilvl="0" w:tplc="083076BC">
      <w:start w:val="10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17332583"/>
    <w:multiLevelType w:val="hybridMultilevel"/>
    <w:tmpl w:val="F3E2E77E"/>
    <w:lvl w:ilvl="0" w:tplc="15C8F42C">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1B565626"/>
    <w:multiLevelType w:val="hybridMultilevel"/>
    <w:tmpl w:val="1CC2ACE4"/>
    <w:lvl w:ilvl="0" w:tplc="18A6F6FE">
      <w:start w:val="1"/>
      <w:numFmt w:val="bullet"/>
      <w:lvlText w:val="-"/>
      <w:lvlJc w:val="left"/>
      <w:pPr>
        <w:ind w:left="1154" w:hanging="360"/>
      </w:pPr>
      <w:rPr>
        <w:rFonts w:ascii="Cordia New" w:eastAsia="Arial" w:hAnsi="Cordia New" w:cs="Cordia New"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15:restartNumberingAfterBreak="0">
    <w:nsid w:val="30BE3845"/>
    <w:multiLevelType w:val="hybridMultilevel"/>
    <w:tmpl w:val="E92CE526"/>
    <w:lvl w:ilvl="0" w:tplc="CCA6B5F4">
      <w:start w:val="2"/>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5" w15:restartNumberingAfterBreak="0">
    <w:nsid w:val="51131B9F"/>
    <w:multiLevelType w:val="hybridMultilevel"/>
    <w:tmpl w:val="7092064C"/>
    <w:lvl w:ilvl="0" w:tplc="0CD821A0">
      <w:start w:val="250"/>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6" w15:restartNumberingAfterBreak="0">
    <w:nsid w:val="56FD649C"/>
    <w:multiLevelType w:val="hybridMultilevel"/>
    <w:tmpl w:val="F2707A5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4BD510E"/>
    <w:multiLevelType w:val="hybridMultilevel"/>
    <w:tmpl w:val="6F2448A8"/>
    <w:lvl w:ilvl="0" w:tplc="B7FCCEBA">
      <w:start w:val="1"/>
      <w:numFmt w:val="bullet"/>
      <w:lvlText w:val="-"/>
      <w:lvlJc w:val="left"/>
      <w:pPr>
        <w:ind w:left="1154" w:hanging="360"/>
      </w:pPr>
      <w:rPr>
        <w:rFonts w:ascii="Times New Roman" w:eastAsia="Arial"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num w:numId="1" w16cid:durableId="1821532202">
    <w:abstractNumId w:val="7"/>
  </w:num>
  <w:num w:numId="2" w16cid:durableId="658729891">
    <w:abstractNumId w:val="0"/>
  </w:num>
  <w:num w:numId="3" w16cid:durableId="1826510259">
    <w:abstractNumId w:val="3"/>
  </w:num>
  <w:num w:numId="4" w16cid:durableId="1678921655">
    <w:abstractNumId w:val="4"/>
  </w:num>
  <w:num w:numId="5" w16cid:durableId="82191982">
    <w:abstractNumId w:val="2"/>
  </w:num>
  <w:num w:numId="6" w16cid:durableId="1331174110">
    <w:abstractNumId w:val="8"/>
  </w:num>
  <w:num w:numId="7" w16cid:durableId="1095899839">
    <w:abstractNumId w:val="6"/>
  </w:num>
  <w:num w:numId="8" w16cid:durableId="1196189252">
    <w:abstractNumId w:val="5"/>
  </w:num>
  <w:num w:numId="9" w16cid:durableId="410589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10EFF"/>
    <w:rsid w:val="00016076"/>
    <w:rsid w:val="000173AF"/>
    <w:rsid w:val="00022C94"/>
    <w:rsid w:val="0003354B"/>
    <w:rsid w:val="000453B9"/>
    <w:rsid w:val="000523FE"/>
    <w:rsid w:val="000630DB"/>
    <w:rsid w:val="00070173"/>
    <w:rsid w:val="00072659"/>
    <w:rsid w:val="000970AF"/>
    <w:rsid w:val="000A7A98"/>
    <w:rsid w:val="000B04CC"/>
    <w:rsid w:val="000B5450"/>
    <w:rsid w:val="000B5EDF"/>
    <w:rsid w:val="000C7ED9"/>
    <w:rsid w:val="000D4C4D"/>
    <w:rsid w:val="000F022A"/>
    <w:rsid w:val="000F3E08"/>
    <w:rsid w:val="000F68A5"/>
    <w:rsid w:val="000F6998"/>
    <w:rsid w:val="00111833"/>
    <w:rsid w:val="001162E6"/>
    <w:rsid w:val="001249D8"/>
    <w:rsid w:val="00151237"/>
    <w:rsid w:val="00155D95"/>
    <w:rsid w:val="001624D3"/>
    <w:rsid w:val="00164F55"/>
    <w:rsid w:val="001678C4"/>
    <w:rsid w:val="00177864"/>
    <w:rsid w:val="00182860"/>
    <w:rsid w:val="001839CC"/>
    <w:rsid w:val="001A39AF"/>
    <w:rsid w:val="001A4654"/>
    <w:rsid w:val="001B1CB6"/>
    <w:rsid w:val="001B34A8"/>
    <w:rsid w:val="001D74D3"/>
    <w:rsid w:val="001D7E5E"/>
    <w:rsid w:val="001E1455"/>
    <w:rsid w:val="001E4A8C"/>
    <w:rsid w:val="00200B73"/>
    <w:rsid w:val="00203871"/>
    <w:rsid w:val="00217343"/>
    <w:rsid w:val="00227FD4"/>
    <w:rsid w:val="00232126"/>
    <w:rsid w:val="00233A79"/>
    <w:rsid w:val="00233EB4"/>
    <w:rsid w:val="002357B1"/>
    <w:rsid w:val="00237AA7"/>
    <w:rsid w:val="00254057"/>
    <w:rsid w:val="00291687"/>
    <w:rsid w:val="002933FE"/>
    <w:rsid w:val="002C0470"/>
    <w:rsid w:val="002D1718"/>
    <w:rsid w:val="002F400B"/>
    <w:rsid w:val="00302302"/>
    <w:rsid w:val="00303231"/>
    <w:rsid w:val="00307506"/>
    <w:rsid w:val="00316A60"/>
    <w:rsid w:val="00323A34"/>
    <w:rsid w:val="00327E72"/>
    <w:rsid w:val="00342687"/>
    <w:rsid w:val="003467EF"/>
    <w:rsid w:val="00351B91"/>
    <w:rsid w:val="00353092"/>
    <w:rsid w:val="00362134"/>
    <w:rsid w:val="00364ADF"/>
    <w:rsid w:val="00381125"/>
    <w:rsid w:val="00385779"/>
    <w:rsid w:val="00391F2E"/>
    <w:rsid w:val="00395395"/>
    <w:rsid w:val="00397295"/>
    <w:rsid w:val="003A3F82"/>
    <w:rsid w:val="003B16FC"/>
    <w:rsid w:val="003B2242"/>
    <w:rsid w:val="003B51C2"/>
    <w:rsid w:val="003E756F"/>
    <w:rsid w:val="00400BAB"/>
    <w:rsid w:val="00415AF9"/>
    <w:rsid w:val="00417A75"/>
    <w:rsid w:val="00421378"/>
    <w:rsid w:val="00424399"/>
    <w:rsid w:val="00424C7B"/>
    <w:rsid w:val="00424F84"/>
    <w:rsid w:val="004547B5"/>
    <w:rsid w:val="00462D7E"/>
    <w:rsid w:val="004707A7"/>
    <w:rsid w:val="00473071"/>
    <w:rsid w:val="00475F22"/>
    <w:rsid w:val="00480965"/>
    <w:rsid w:val="0048242B"/>
    <w:rsid w:val="004951BD"/>
    <w:rsid w:val="004A007B"/>
    <w:rsid w:val="004A5AB4"/>
    <w:rsid w:val="004B3BC3"/>
    <w:rsid w:val="004B56C3"/>
    <w:rsid w:val="004B5CBB"/>
    <w:rsid w:val="004D6737"/>
    <w:rsid w:val="004F658C"/>
    <w:rsid w:val="0050369A"/>
    <w:rsid w:val="005122F4"/>
    <w:rsid w:val="00513077"/>
    <w:rsid w:val="005200B2"/>
    <w:rsid w:val="00523E4C"/>
    <w:rsid w:val="005248D2"/>
    <w:rsid w:val="00526948"/>
    <w:rsid w:val="005574FA"/>
    <w:rsid w:val="00567F62"/>
    <w:rsid w:val="00573351"/>
    <w:rsid w:val="00577713"/>
    <w:rsid w:val="005B5962"/>
    <w:rsid w:val="005B78A4"/>
    <w:rsid w:val="00606B16"/>
    <w:rsid w:val="006101D5"/>
    <w:rsid w:val="006147EE"/>
    <w:rsid w:val="006224A3"/>
    <w:rsid w:val="0062302F"/>
    <w:rsid w:val="00641955"/>
    <w:rsid w:val="006448B7"/>
    <w:rsid w:val="00646ECA"/>
    <w:rsid w:val="00652313"/>
    <w:rsid w:val="0066276B"/>
    <w:rsid w:val="00671E86"/>
    <w:rsid w:val="006745E3"/>
    <w:rsid w:val="006752B9"/>
    <w:rsid w:val="0069711D"/>
    <w:rsid w:val="006A7BA7"/>
    <w:rsid w:val="006B0EF4"/>
    <w:rsid w:val="006B41AF"/>
    <w:rsid w:val="006B462B"/>
    <w:rsid w:val="006B7B99"/>
    <w:rsid w:val="006C22F9"/>
    <w:rsid w:val="006D4823"/>
    <w:rsid w:val="006E3D76"/>
    <w:rsid w:val="006E7537"/>
    <w:rsid w:val="00702D8E"/>
    <w:rsid w:val="007257A9"/>
    <w:rsid w:val="007257C4"/>
    <w:rsid w:val="007258BA"/>
    <w:rsid w:val="00732389"/>
    <w:rsid w:val="0073256D"/>
    <w:rsid w:val="00742D9B"/>
    <w:rsid w:val="0075380E"/>
    <w:rsid w:val="00755C3B"/>
    <w:rsid w:val="00757ABD"/>
    <w:rsid w:val="007652F2"/>
    <w:rsid w:val="0076728F"/>
    <w:rsid w:val="00774F68"/>
    <w:rsid w:val="00783899"/>
    <w:rsid w:val="00795F52"/>
    <w:rsid w:val="007A4C62"/>
    <w:rsid w:val="007A70CC"/>
    <w:rsid w:val="007B01F4"/>
    <w:rsid w:val="007B18D7"/>
    <w:rsid w:val="007C754A"/>
    <w:rsid w:val="007F2B3F"/>
    <w:rsid w:val="00816633"/>
    <w:rsid w:val="00817FAD"/>
    <w:rsid w:val="00820D5F"/>
    <w:rsid w:val="00826464"/>
    <w:rsid w:val="00834A79"/>
    <w:rsid w:val="008401B5"/>
    <w:rsid w:val="00842E18"/>
    <w:rsid w:val="008561A2"/>
    <w:rsid w:val="00857B56"/>
    <w:rsid w:val="00857F59"/>
    <w:rsid w:val="00860615"/>
    <w:rsid w:val="008639E1"/>
    <w:rsid w:val="00894F3B"/>
    <w:rsid w:val="008A2A73"/>
    <w:rsid w:val="008B34B9"/>
    <w:rsid w:val="008B5BE5"/>
    <w:rsid w:val="008C17A5"/>
    <w:rsid w:val="008C66E8"/>
    <w:rsid w:val="008D7A61"/>
    <w:rsid w:val="008F3900"/>
    <w:rsid w:val="008F5678"/>
    <w:rsid w:val="00907B35"/>
    <w:rsid w:val="00913543"/>
    <w:rsid w:val="009220E1"/>
    <w:rsid w:val="009242EA"/>
    <w:rsid w:val="00934487"/>
    <w:rsid w:val="0094110D"/>
    <w:rsid w:val="00955F90"/>
    <w:rsid w:val="00962771"/>
    <w:rsid w:val="00962985"/>
    <w:rsid w:val="009719D6"/>
    <w:rsid w:val="00972AD6"/>
    <w:rsid w:val="00977EEA"/>
    <w:rsid w:val="00977FD4"/>
    <w:rsid w:val="00982CEB"/>
    <w:rsid w:val="00982EC5"/>
    <w:rsid w:val="00997D0B"/>
    <w:rsid w:val="009A3143"/>
    <w:rsid w:val="009C4E09"/>
    <w:rsid w:val="009D6FFD"/>
    <w:rsid w:val="00A04703"/>
    <w:rsid w:val="00A068D5"/>
    <w:rsid w:val="00A10233"/>
    <w:rsid w:val="00A144D2"/>
    <w:rsid w:val="00A16F7E"/>
    <w:rsid w:val="00A22C1C"/>
    <w:rsid w:val="00A41E63"/>
    <w:rsid w:val="00A50140"/>
    <w:rsid w:val="00A560E6"/>
    <w:rsid w:val="00A56A7C"/>
    <w:rsid w:val="00A67F28"/>
    <w:rsid w:val="00A856F1"/>
    <w:rsid w:val="00A85894"/>
    <w:rsid w:val="00AB0D31"/>
    <w:rsid w:val="00AB6AD4"/>
    <w:rsid w:val="00AB6FF1"/>
    <w:rsid w:val="00AC277A"/>
    <w:rsid w:val="00AC49D5"/>
    <w:rsid w:val="00AC5267"/>
    <w:rsid w:val="00AD5242"/>
    <w:rsid w:val="00AD6FB8"/>
    <w:rsid w:val="00AF00DD"/>
    <w:rsid w:val="00AF212D"/>
    <w:rsid w:val="00AF364C"/>
    <w:rsid w:val="00AF5516"/>
    <w:rsid w:val="00AF5BF6"/>
    <w:rsid w:val="00B14DD9"/>
    <w:rsid w:val="00B24321"/>
    <w:rsid w:val="00B2537D"/>
    <w:rsid w:val="00B36B0E"/>
    <w:rsid w:val="00B52056"/>
    <w:rsid w:val="00B542CE"/>
    <w:rsid w:val="00B61320"/>
    <w:rsid w:val="00B63770"/>
    <w:rsid w:val="00B643DA"/>
    <w:rsid w:val="00B65CC5"/>
    <w:rsid w:val="00B755AE"/>
    <w:rsid w:val="00B771AD"/>
    <w:rsid w:val="00B86B7C"/>
    <w:rsid w:val="00B927D6"/>
    <w:rsid w:val="00BA0700"/>
    <w:rsid w:val="00BB0627"/>
    <w:rsid w:val="00BB2B03"/>
    <w:rsid w:val="00BB33DA"/>
    <w:rsid w:val="00BD1BD1"/>
    <w:rsid w:val="00BD279B"/>
    <w:rsid w:val="00BE0013"/>
    <w:rsid w:val="00BE0983"/>
    <w:rsid w:val="00BE10A8"/>
    <w:rsid w:val="00BF4D9F"/>
    <w:rsid w:val="00C03E69"/>
    <w:rsid w:val="00C04DF2"/>
    <w:rsid w:val="00C069FE"/>
    <w:rsid w:val="00C07D84"/>
    <w:rsid w:val="00C15438"/>
    <w:rsid w:val="00C21A1C"/>
    <w:rsid w:val="00C34CD3"/>
    <w:rsid w:val="00C36E7B"/>
    <w:rsid w:val="00C5591F"/>
    <w:rsid w:val="00C56514"/>
    <w:rsid w:val="00C578E3"/>
    <w:rsid w:val="00C64664"/>
    <w:rsid w:val="00C77195"/>
    <w:rsid w:val="00C85E0E"/>
    <w:rsid w:val="00C864CB"/>
    <w:rsid w:val="00CA053A"/>
    <w:rsid w:val="00CA4A4A"/>
    <w:rsid w:val="00CB12DC"/>
    <w:rsid w:val="00CB19BE"/>
    <w:rsid w:val="00CC4741"/>
    <w:rsid w:val="00CD5ED5"/>
    <w:rsid w:val="00CE0742"/>
    <w:rsid w:val="00CE7887"/>
    <w:rsid w:val="00D03A8E"/>
    <w:rsid w:val="00D1697D"/>
    <w:rsid w:val="00D32C40"/>
    <w:rsid w:val="00D3643A"/>
    <w:rsid w:val="00D43480"/>
    <w:rsid w:val="00D47475"/>
    <w:rsid w:val="00D511A4"/>
    <w:rsid w:val="00D5236F"/>
    <w:rsid w:val="00D80544"/>
    <w:rsid w:val="00D90A3C"/>
    <w:rsid w:val="00DA5CBB"/>
    <w:rsid w:val="00DB6202"/>
    <w:rsid w:val="00DC23BB"/>
    <w:rsid w:val="00DD521B"/>
    <w:rsid w:val="00DF0DD2"/>
    <w:rsid w:val="00DF79C1"/>
    <w:rsid w:val="00E01FDA"/>
    <w:rsid w:val="00E139AC"/>
    <w:rsid w:val="00E21167"/>
    <w:rsid w:val="00E222B8"/>
    <w:rsid w:val="00E26333"/>
    <w:rsid w:val="00E32C2B"/>
    <w:rsid w:val="00E47326"/>
    <w:rsid w:val="00E641A1"/>
    <w:rsid w:val="00E647E4"/>
    <w:rsid w:val="00E712A3"/>
    <w:rsid w:val="00E72F63"/>
    <w:rsid w:val="00E867D8"/>
    <w:rsid w:val="00E86F32"/>
    <w:rsid w:val="00E94451"/>
    <w:rsid w:val="00E9584A"/>
    <w:rsid w:val="00EB2C71"/>
    <w:rsid w:val="00EB692F"/>
    <w:rsid w:val="00EC77CC"/>
    <w:rsid w:val="00EE5855"/>
    <w:rsid w:val="00EE66E7"/>
    <w:rsid w:val="00EF48E4"/>
    <w:rsid w:val="00EF4E9E"/>
    <w:rsid w:val="00F04BB0"/>
    <w:rsid w:val="00F17745"/>
    <w:rsid w:val="00F373F9"/>
    <w:rsid w:val="00F42790"/>
    <w:rsid w:val="00F45471"/>
    <w:rsid w:val="00F512AD"/>
    <w:rsid w:val="00F62E5E"/>
    <w:rsid w:val="00F62FFF"/>
    <w:rsid w:val="00F70F86"/>
    <w:rsid w:val="00F728A2"/>
    <w:rsid w:val="00F7564F"/>
    <w:rsid w:val="00F83417"/>
    <w:rsid w:val="00FA7867"/>
    <w:rsid w:val="00FC40E9"/>
    <w:rsid w:val="00FD2603"/>
    <w:rsid w:val="00FE184B"/>
    <w:rsid w:val="00FE7B35"/>
    <w:rsid w:val="00FF2105"/>
    <w:rsid w:val="00FF69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7258BA"/>
    <w:pPr>
      <w:ind w:left="720"/>
      <w:contextualSpacing/>
    </w:pPr>
    <w:rPr>
      <w:rFonts w:cs="Cordia New"/>
      <w:szCs w:val="28"/>
    </w:rPr>
  </w:style>
  <w:style w:type="paragraph" w:customStyle="1" w:styleId="HEADING1SMPC">
    <w:name w:val="HEADING1_SMPC"/>
    <w:basedOn w:val="1"/>
    <w:next w:val="a7"/>
    <w:qFormat/>
    <w:rsid w:val="00AF212D"/>
    <w:pPr>
      <w:numPr>
        <w:numId w:val="2"/>
      </w:numPr>
      <w:spacing w:before="240" w:line="360" w:lineRule="auto"/>
      <w:ind w:left="357" w:hanging="357"/>
    </w:pPr>
    <w:rPr>
      <w:rFonts w:ascii="Times New Roman" w:hAnsi="Times New Roman" w:cs="Times New Roman"/>
      <w:bCs/>
      <w:sz w:val="28"/>
    </w:rPr>
  </w:style>
  <w:style w:type="paragraph" w:styleId="a7">
    <w:name w:val="Body Text"/>
    <w:basedOn w:val="a"/>
    <w:link w:val="a8"/>
    <w:uiPriority w:val="99"/>
    <w:semiHidden/>
    <w:unhideWhenUsed/>
    <w:rsid w:val="00834A79"/>
    <w:pPr>
      <w:spacing w:after="120"/>
    </w:pPr>
    <w:rPr>
      <w:rFonts w:cs="Cordia New"/>
      <w:szCs w:val="28"/>
    </w:rPr>
  </w:style>
  <w:style w:type="character" w:customStyle="1" w:styleId="a8">
    <w:name w:val="เนื้อความ อักขระ"/>
    <w:basedOn w:val="a0"/>
    <w:link w:val="a7"/>
    <w:uiPriority w:val="99"/>
    <w:semiHidden/>
    <w:rsid w:val="00834A79"/>
    <w:rPr>
      <w:rFonts w:cs="Cordia New"/>
      <w:szCs w:val="28"/>
    </w:rPr>
  </w:style>
  <w:style w:type="paragraph" w:customStyle="1" w:styleId="SubHeafingSMPC">
    <w:name w:val="SubHeafing_SMPC"/>
    <w:basedOn w:val="a6"/>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a7"/>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a"/>
    <w:qFormat/>
    <w:rsid w:val="00AF212D"/>
    <w:pPr>
      <w:spacing w:line="480" w:lineRule="auto"/>
      <w:jc w:val="center"/>
    </w:pPr>
    <w:rPr>
      <w:rFonts w:ascii="Times New Roman" w:hAnsi="Times New Roman" w:cs="Times New Roman"/>
      <w:b/>
      <w:bCs/>
      <w:sz w:val="32"/>
      <w:szCs w:val="28"/>
    </w:rPr>
  </w:style>
  <w:style w:type="paragraph" w:styleId="a9">
    <w:name w:val="header"/>
    <w:basedOn w:val="a"/>
    <w:link w:val="aa"/>
    <w:uiPriority w:val="99"/>
    <w:unhideWhenUsed/>
    <w:rsid w:val="008F5678"/>
    <w:pPr>
      <w:tabs>
        <w:tab w:val="center" w:pos="4680"/>
        <w:tab w:val="right" w:pos="9360"/>
      </w:tabs>
      <w:spacing w:line="240" w:lineRule="auto"/>
    </w:pPr>
    <w:rPr>
      <w:rFonts w:cs="Cordia New"/>
      <w:szCs w:val="28"/>
    </w:rPr>
  </w:style>
  <w:style w:type="character" w:customStyle="1" w:styleId="aa">
    <w:name w:val="หัวกระดาษ อักขระ"/>
    <w:basedOn w:val="a0"/>
    <w:link w:val="a9"/>
    <w:uiPriority w:val="99"/>
    <w:rsid w:val="008F5678"/>
    <w:rPr>
      <w:rFonts w:cs="Cordia New"/>
      <w:szCs w:val="28"/>
    </w:rPr>
  </w:style>
  <w:style w:type="paragraph" w:styleId="ab">
    <w:name w:val="footer"/>
    <w:basedOn w:val="a"/>
    <w:link w:val="ac"/>
    <w:uiPriority w:val="99"/>
    <w:unhideWhenUsed/>
    <w:rsid w:val="008F5678"/>
    <w:pPr>
      <w:tabs>
        <w:tab w:val="center" w:pos="4680"/>
        <w:tab w:val="right" w:pos="9360"/>
      </w:tabs>
      <w:spacing w:line="240" w:lineRule="auto"/>
    </w:pPr>
    <w:rPr>
      <w:rFonts w:cs="Cordia New"/>
      <w:szCs w:val="28"/>
    </w:rPr>
  </w:style>
  <w:style w:type="character" w:customStyle="1" w:styleId="ac">
    <w:name w:val="ท้ายกระดาษ อักขระ"/>
    <w:basedOn w:val="a0"/>
    <w:link w:val="ab"/>
    <w:uiPriority w:val="99"/>
    <w:rsid w:val="008F5678"/>
    <w:rPr>
      <w:rFonts w:cs="Cordia New"/>
      <w:szCs w:val="28"/>
    </w:rPr>
  </w:style>
  <w:style w:type="character" w:styleId="ad">
    <w:name w:val="page number"/>
    <w:basedOn w:val="a0"/>
    <w:uiPriority w:val="99"/>
    <w:semiHidden/>
    <w:unhideWhenUsed/>
    <w:rsid w:val="008F5678"/>
  </w:style>
  <w:style w:type="paragraph" w:styleId="ae">
    <w:name w:val="footnote text"/>
    <w:basedOn w:val="a"/>
    <w:link w:val="af"/>
    <w:uiPriority w:val="99"/>
    <w:semiHidden/>
    <w:unhideWhenUsed/>
    <w:rsid w:val="00641955"/>
    <w:pPr>
      <w:spacing w:line="240" w:lineRule="auto"/>
    </w:pPr>
    <w:rPr>
      <w:rFonts w:cs="Cordia New"/>
      <w:sz w:val="20"/>
      <w:szCs w:val="25"/>
    </w:rPr>
  </w:style>
  <w:style w:type="character" w:customStyle="1" w:styleId="af">
    <w:name w:val="ข้อความเชิงอรรถ อักขระ"/>
    <w:basedOn w:val="a0"/>
    <w:link w:val="ae"/>
    <w:uiPriority w:val="99"/>
    <w:semiHidden/>
    <w:rsid w:val="00641955"/>
    <w:rPr>
      <w:rFonts w:cs="Cordia New"/>
      <w:sz w:val="20"/>
      <w:szCs w:val="25"/>
    </w:rPr>
  </w:style>
  <w:style w:type="character" w:styleId="af0">
    <w:name w:val="footnote reference"/>
    <w:basedOn w:val="a0"/>
    <w:uiPriority w:val="99"/>
    <w:semiHidden/>
    <w:unhideWhenUsed/>
    <w:rsid w:val="00641955"/>
    <w:rPr>
      <w:sz w:val="32"/>
      <w:szCs w:val="32"/>
      <w:vertAlign w:val="superscript"/>
    </w:rPr>
  </w:style>
  <w:style w:type="paragraph" w:styleId="af1">
    <w:name w:val="endnote text"/>
    <w:basedOn w:val="a"/>
    <w:link w:val="af2"/>
    <w:uiPriority w:val="99"/>
    <w:semiHidden/>
    <w:unhideWhenUsed/>
    <w:rsid w:val="00641955"/>
    <w:pPr>
      <w:spacing w:line="240" w:lineRule="auto"/>
    </w:pPr>
    <w:rPr>
      <w:rFonts w:cs="Cordia New"/>
      <w:sz w:val="20"/>
      <w:szCs w:val="25"/>
    </w:rPr>
  </w:style>
  <w:style w:type="character" w:customStyle="1" w:styleId="af2">
    <w:name w:val="ข้อความอ้างอิงท้ายเรื่อง อักขระ"/>
    <w:basedOn w:val="a0"/>
    <w:link w:val="af1"/>
    <w:uiPriority w:val="99"/>
    <w:semiHidden/>
    <w:rsid w:val="00641955"/>
    <w:rPr>
      <w:rFonts w:cs="Cordia New"/>
      <w:sz w:val="20"/>
      <w:szCs w:val="25"/>
    </w:rPr>
  </w:style>
  <w:style w:type="character" w:styleId="af3">
    <w:name w:val="endnote reference"/>
    <w:basedOn w:val="a0"/>
    <w:uiPriority w:val="99"/>
    <w:semiHidden/>
    <w:unhideWhenUsed/>
    <w:rsid w:val="00641955"/>
    <w:rPr>
      <w:sz w:val="32"/>
      <w:szCs w:val="32"/>
      <w:vertAlign w:val="superscript"/>
    </w:rPr>
  </w:style>
  <w:style w:type="paragraph" w:styleId="af4">
    <w:name w:val="Normal (Web)"/>
    <w:basedOn w:val="a"/>
    <w:uiPriority w:val="99"/>
    <w:unhideWhenUsed/>
    <w:rsid w:val="00415AF9"/>
    <w:pPr>
      <w:spacing w:before="100" w:beforeAutospacing="1" w:after="100" w:afterAutospacing="1" w:line="240" w:lineRule="auto"/>
    </w:pPr>
    <w:rPr>
      <w:rFonts w:ascii="Angsana New" w:eastAsia="Times New Roman" w:hAnsi="Angsana New" w:cs="Angsana New"/>
      <w:sz w:val="28"/>
      <w:szCs w:val="28"/>
    </w:rPr>
  </w:style>
  <w:style w:type="table" w:styleId="af5">
    <w:name w:val="Table Grid"/>
    <w:basedOn w:val="a1"/>
    <w:uiPriority w:val="39"/>
    <w:rsid w:val="00894F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46">
      <w:bodyDiv w:val="1"/>
      <w:marLeft w:val="0"/>
      <w:marRight w:val="0"/>
      <w:marTop w:val="0"/>
      <w:marBottom w:val="0"/>
      <w:divBdr>
        <w:top w:val="none" w:sz="0" w:space="0" w:color="auto"/>
        <w:left w:val="none" w:sz="0" w:space="0" w:color="auto"/>
        <w:bottom w:val="none" w:sz="0" w:space="0" w:color="auto"/>
        <w:right w:val="none" w:sz="0" w:space="0" w:color="auto"/>
      </w:divBdr>
    </w:div>
    <w:div w:id="14892699">
      <w:bodyDiv w:val="1"/>
      <w:marLeft w:val="0"/>
      <w:marRight w:val="0"/>
      <w:marTop w:val="0"/>
      <w:marBottom w:val="0"/>
      <w:divBdr>
        <w:top w:val="none" w:sz="0" w:space="0" w:color="auto"/>
        <w:left w:val="none" w:sz="0" w:space="0" w:color="auto"/>
        <w:bottom w:val="none" w:sz="0" w:space="0" w:color="auto"/>
        <w:right w:val="none" w:sz="0" w:space="0" w:color="auto"/>
      </w:divBdr>
    </w:div>
    <w:div w:id="15889689">
      <w:bodyDiv w:val="1"/>
      <w:marLeft w:val="0"/>
      <w:marRight w:val="0"/>
      <w:marTop w:val="0"/>
      <w:marBottom w:val="0"/>
      <w:divBdr>
        <w:top w:val="none" w:sz="0" w:space="0" w:color="auto"/>
        <w:left w:val="none" w:sz="0" w:space="0" w:color="auto"/>
        <w:bottom w:val="none" w:sz="0" w:space="0" w:color="auto"/>
        <w:right w:val="none" w:sz="0" w:space="0" w:color="auto"/>
      </w:divBdr>
    </w:div>
    <w:div w:id="17438513">
      <w:bodyDiv w:val="1"/>
      <w:marLeft w:val="0"/>
      <w:marRight w:val="0"/>
      <w:marTop w:val="0"/>
      <w:marBottom w:val="0"/>
      <w:divBdr>
        <w:top w:val="none" w:sz="0" w:space="0" w:color="auto"/>
        <w:left w:val="none" w:sz="0" w:space="0" w:color="auto"/>
        <w:bottom w:val="none" w:sz="0" w:space="0" w:color="auto"/>
        <w:right w:val="none" w:sz="0" w:space="0" w:color="auto"/>
      </w:divBdr>
    </w:div>
    <w:div w:id="27534424">
      <w:bodyDiv w:val="1"/>
      <w:marLeft w:val="0"/>
      <w:marRight w:val="0"/>
      <w:marTop w:val="0"/>
      <w:marBottom w:val="0"/>
      <w:divBdr>
        <w:top w:val="none" w:sz="0" w:space="0" w:color="auto"/>
        <w:left w:val="none" w:sz="0" w:space="0" w:color="auto"/>
        <w:bottom w:val="none" w:sz="0" w:space="0" w:color="auto"/>
        <w:right w:val="none" w:sz="0" w:space="0" w:color="auto"/>
      </w:divBdr>
    </w:div>
    <w:div w:id="35007035">
      <w:bodyDiv w:val="1"/>
      <w:marLeft w:val="0"/>
      <w:marRight w:val="0"/>
      <w:marTop w:val="0"/>
      <w:marBottom w:val="0"/>
      <w:divBdr>
        <w:top w:val="none" w:sz="0" w:space="0" w:color="auto"/>
        <w:left w:val="none" w:sz="0" w:space="0" w:color="auto"/>
        <w:bottom w:val="none" w:sz="0" w:space="0" w:color="auto"/>
        <w:right w:val="none" w:sz="0" w:space="0" w:color="auto"/>
      </w:divBdr>
    </w:div>
    <w:div w:id="36853861">
      <w:bodyDiv w:val="1"/>
      <w:marLeft w:val="0"/>
      <w:marRight w:val="0"/>
      <w:marTop w:val="0"/>
      <w:marBottom w:val="0"/>
      <w:divBdr>
        <w:top w:val="none" w:sz="0" w:space="0" w:color="auto"/>
        <w:left w:val="none" w:sz="0" w:space="0" w:color="auto"/>
        <w:bottom w:val="none" w:sz="0" w:space="0" w:color="auto"/>
        <w:right w:val="none" w:sz="0" w:space="0" w:color="auto"/>
      </w:divBdr>
    </w:div>
    <w:div w:id="44109003">
      <w:bodyDiv w:val="1"/>
      <w:marLeft w:val="0"/>
      <w:marRight w:val="0"/>
      <w:marTop w:val="0"/>
      <w:marBottom w:val="0"/>
      <w:divBdr>
        <w:top w:val="none" w:sz="0" w:space="0" w:color="auto"/>
        <w:left w:val="none" w:sz="0" w:space="0" w:color="auto"/>
        <w:bottom w:val="none" w:sz="0" w:space="0" w:color="auto"/>
        <w:right w:val="none" w:sz="0" w:space="0" w:color="auto"/>
      </w:divBdr>
    </w:div>
    <w:div w:id="44330754">
      <w:bodyDiv w:val="1"/>
      <w:marLeft w:val="0"/>
      <w:marRight w:val="0"/>
      <w:marTop w:val="0"/>
      <w:marBottom w:val="0"/>
      <w:divBdr>
        <w:top w:val="none" w:sz="0" w:space="0" w:color="auto"/>
        <w:left w:val="none" w:sz="0" w:space="0" w:color="auto"/>
        <w:bottom w:val="none" w:sz="0" w:space="0" w:color="auto"/>
        <w:right w:val="none" w:sz="0" w:space="0" w:color="auto"/>
      </w:divBdr>
    </w:div>
    <w:div w:id="45303636">
      <w:bodyDiv w:val="1"/>
      <w:marLeft w:val="0"/>
      <w:marRight w:val="0"/>
      <w:marTop w:val="0"/>
      <w:marBottom w:val="0"/>
      <w:divBdr>
        <w:top w:val="none" w:sz="0" w:space="0" w:color="auto"/>
        <w:left w:val="none" w:sz="0" w:space="0" w:color="auto"/>
        <w:bottom w:val="none" w:sz="0" w:space="0" w:color="auto"/>
        <w:right w:val="none" w:sz="0" w:space="0" w:color="auto"/>
      </w:divBdr>
    </w:div>
    <w:div w:id="46683027">
      <w:bodyDiv w:val="1"/>
      <w:marLeft w:val="0"/>
      <w:marRight w:val="0"/>
      <w:marTop w:val="0"/>
      <w:marBottom w:val="0"/>
      <w:divBdr>
        <w:top w:val="none" w:sz="0" w:space="0" w:color="auto"/>
        <w:left w:val="none" w:sz="0" w:space="0" w:color="auto"/>
        <w:bottom w:val="none" w:sz="0" w:space="0" w:color="auto"/>
        <w:right w:val="none" w:sz="0" w:space="0" w:color="auto"/>
      </w:divBdr>
    </w:div>
    <w:div w:id="46803360">
      <w:bodyDiv w:val="1"/>
      <w:marLeft w:val="0"/>
      <w:marRight w:val="0"/>
      <w:marTop w:val="0"/>
      <w:marBottom w:val="0"/>
      <w:divBdr>
        <w:top w:val="none" w:sz="0" w:space="0" w:color="auto"/>
        <w:left w:val="none" w:sz="0" w:space="0" w:color="auto"/>
        <w:bottom w:val="none" w:sz="0" w:space="0" w:color="auto"/>
        <w:right w:val="none" w:sz="0" w:space="0" w:color="auto"/>
      </w:divBdr>
    </w:div>
    <w:div w:id="50736403">
      <w:bodyDiv w:val="1"/>
      <w:marLeft w:val="0"/>
      <w:marRight w:val="0"/>
      <w:marTop w:val="0"/>
      <w:marBottom w:val="0"/>
      <w:divBdr>
        <w:top w:val="none" w:sz="0" w:space="0" w:color="auto"/>
        <w:left w:val="none" w:sz="0" w:space="0" w:color="auto"/>
        <w:bottom w:val="none" w:sz="0" w:space="0" w:color="auto"/>
        <w:right w:val="none" w:sz="0" w:space="0" w:color="auto"/>
      </w:divBdr>
    </w:div>
    <w:div w:id="54790578">
      <w:bodyDiv w:val="1"/>
      <w:marLeft w:val="0"/>
      <w:marRight w:val="0"/>
      <w:marTop w:val="0"/>
      <w:marBottom w:val="0"/>
      <w:divBdr>
        <w:top w:val="none" w:sz="0" w:space="0" w:color="auto"/>
        <w:left w:val="none" w:sz="0" w:space="0" w:color="auto"/>
        <w:bottom w:val="none" w:sz="0" w:space="0" w:color="auto"/>
        <w:right w:val="none" w:sz="0" w:space="0" w:color="auto"/>
      </w:divBdr>
    </w:div>
    <w:div w:id="55007956">
      <w:bodyDiv w:val="1"/>
      <w:marLeft w:val="0"/>
      <w:marRight w:val="0"/>
      <w:marTop w:val="0"/>
      <w:marBottom w:val="0"/>
      <w:divBdr>
        <w:top w:val="none" w:sz="0" w:space="0" w:color="auto"/>
        <w:left w:val="none" w:sz="0" w:space="0" w:color="auto"/>
        <w:bottom w:val="none" w:sz="0" w:space="0" w:color="auto"/>
        <w:right w:val="none" w:sz="0" w:space="0" w:color="auto"/>
      </w:divBdr>
    </w:div>
    <w:div w:id="59327118">
      <w:bodyDiv w:val="1"/>
      <w:marLeft w:val="0"/>
      <w:marRight w:val="0"/>
      <w:marTop w:val="0"/>
      <w:marBottom w:val="0"/>
      <w:divBdr>
        <w:top w:val="none" w:sz="0" w:space="0" w:color="auto"/>
        <w:left w:val="none" w:sz="0" w:space="0" w:color="auto"/>
        <w:bottom w:val="none" w:sz="0" w:space="0" w:color="auto"/>
        <w:right w:val="none" w:sz="0" w:space="0" w:color="auto"/>
      </w:divBdr>
    </w:div>
    <w:div w:id="65612308">
      <w:bodyDiv w:val="1"/>
      <w:marLeft w:val="0"/>
      <w:marRight w:val="0"/>
      <w:marTop w:val="0"/>
      <w:marBottom w:val="0"/>
      <w:divBdr>
        <w:top w:val="none" w:sz="0" w:space="0" w:color="auto"/>
        <w:left w:val="none" w:sz="0" w:space="0" w:color="auto"/>
        <w:bottom w:val="none" w:sz="0" w:space="0" w:color="auto"/>
        <w:right w:val="none" w:sz="0" w:space="0" w:color="auto"/>
      </w:divBdr>
    </w:div>
    <w:div w:id="97992455">
      <w:bodyDiv w:val="1"/>
      <w:marLeft w:val="0"/>
      <w:marRight w:val="0"/>
      <w:marTop w:val="0"/>
      <w:marBottom w:val="0"/>
      <w:divBdr>
        <w:top w:val="none" w:sz="0" w:space="0" w:color="auto"/>
        <w:left w:val="none" w:sz="0" w:space="0" w:color="auto"/>
        <w:bottom w:val="none" w:sz="0" w:space="0" w:color="auto"/>
        <w:right w:val="none" w:sz="0" w:space="0" w:color="auto"/>
      </w:divBdr>
    </w:div>
    <w:div w:id="104927170">
      <w:bodyDiv w:val="1"/>
      <w:marLeft w:val="0"/>
      <w:marRight w:val="0"/>
      <w:marTop w:val="0"/>
      <w:marBottom w:val="0"/>
      <w:divBdr>
        <w:top w:val="none" w:sz="0" w:space="0" w:color="auto"/>
        <w:left w:val="none" w:sz="0" w:space="0" w:color="auto"/>
        <w:bottom w:val="none" w:sz="0" w:space="0" w:color="auto"/>
        <w:right w:val="none" w:sz="0" w:space="0" w:color="auto"/>
      </w:divBdr>
    </w:div>
    <w:div w:id="121266287">
      <w:bodyDiv w:val="1"/>
      <w:marLeft w:val="0"/>
      <w:marRight w:val="0"/>
      <w:marTop w:val="0"/>
      <w:marBottom w:val="0"/>
      <w:divBdr>
        <w:top w:val="none" w:sz="0" w:space="0" w:color="auto"/>
        <w:left w:val="none" w:sz="0" w:space="0" w:color="auto"/>
        <w:bottom w:val="none" w:sz="0" w:space="0" w:color="auto"/>
        <w:right w:val="none" w:sz="0" w:space="0" w:color="auto"/>
      </w:divBdr>
    </w:div>
    <w:div w:id="128018207">
      <w:bodyDiv w:val="1"/>
      <w:marLeft w:val="0"/>
      <w:marRight w:val="0"/>
      <w:marTop w:val="0"/>
      <w:marBottom w:val="0"/>
      <w:divBdr>
        <w:top w:val="none" w:sz="0" w:space="0" w:color="auto"/>
        <w:left w:val="none" w:sz="0" w:space="0" w:color="auto"/>
        <w:bottom w:val="none" w:sz="0" w:space="0" w:color="auto"/>
        <w:right w:val="none" w:sz="0" w:space="0" w:color="auto"/>
      </w:divBdr>
    </w:div>
    <w:div w:id="131212787">
      <w:bodyDiv w:val="1"/>
      <w:marLeft w:val="0"/>
      <w:marRight w:val="0"/>
      <w:marTop w:val="0"/>
      <w:marBottom w:val="0"/>
      <w:divBdr>
        <w:top w:val="none" w:sz="0" w:space="0" w:color="auto"/>
        <w:left w:val="none" w:sz="0" w:space="0" w:color="auto"/>
        <w:bottom w:val="none" w:sz="0" w:space="0" w:color="auto"/>
        <w:right w:val="none" w:sz="0" w:space="0" w:color="auto"/>
      </w:divBdr>
    </w:div>
    <w:div w:id="132720883">
      <w:bodyDiv w:val="1"/>
      <w:marLeft w:val="0"/>
      <w:marRight w:val="0"/>
      <w:marTop w:val="0"/>
      <w:marBottom w:val="0"/>
      <w:divBdr>
        <w:top w:val="none" w:sz="0" w:space="0" w:color="auto"/>
        <w:left w:val="none" w:sz="0" w:space="0" w:color="auto"/>
        <w:bottom w:val="none" w:sz="0" w:space="0" w:color="auto"/>
        <w:right w:val="none" w:sz="0" w:space="0" w:color="auto"/>
      </w:divBdr>
    </w:div>
    <w:div w:id="133648775">
      <w:bodyDiv w:val="1"/>
      <w:marLeft w:val="0"/>
      <w:marRight w:val="0"/>
      <w:marTop w:val="0"/>
      <w:marBottom w:val="0"/>
      <w:divBdr>
        <w:top w:val="none" w:sz="0" w:space="0" w:color="auto"/>
        <w:left w:val="none" w:sz="0" w:space="0" w:color="auto"/>
        <w:bottom w:val="none" w:sz="0" w:space="0" w:color="auto"/>
        <w:right w:val="none" w:sz="0" w:space="0" w:color="auto"/>
      </w:divBdr>
    </w:div>
    <w:div w:id="136192200">
      <w:bodyDiv w:val="1"/>
      <w:marLeft w:val="0"/>
      <w:marRight w:val="0"/>
      <w:marTop w:val="0"/>
      <w:marBottom w:val="0"/>
      <w:divBdr>
        <w:top w:val="none" w:sz="0" w:space="0" w:color="auto"/>
        <w:left w:val="none" w:sz="0" w:space="0" w:color="auto"/>
        <w:bottom w:val="none" w:sz="0" w:space="0" w:color="auto"/>
        <w:right w:val="none" w:sz="0" w:space="0" w:color="auto"/>
      </w:divBdr>
    </w:div>
    <w:div w:id="137962496">
      <w:bodyDiv w:val="1"/>
      <w:marLeft w:val="0"/>
      <w:marRight w:val="0"/>
      <w:marTop w:val="0"/>
      <w:marBottom w:val="0"/>
      <w:divBdr>
        <w:top w:val="none" w:sz="0" w:space="0" w:color="auto"/>
        <w:left w:val="none" w:sz="0" w:space="0" w:color="auto"/>
        <w:bottom w:val="none" w:sz="0" w:space="0" w:color="auto"/>
        <w:right w:val="none" w:sz="0" w:space="0" w:color="auto"/>
      </w:divBdr>
    </w:div>
    <w:div w:id="138502945">
      <w:bodyDiv w:val="1"/>
      <w:marLeft w:val="0"/>
      <w:marRight w:val="0"/>
      <w:marTop w:val="0"/>
      <w:marBottom w:val="0"/>
      <w:divBdr>
        <w:top w:val="none" w:sz="0" w:space="0" w:color="auto"/>
        <w:left w:val="none" w:sz="0" w:space="0" w:color="auto"/>
        <w:bottom w:val="none" w:sz="0" w:space="0" w:color="auto"/>
        <w:right w:val="none" w:sz="0" w:space="0" w:color="auto"/>
      </w:divBdr>
    </w:div>
    <w:div w:id="142086464">
      <w:bodyDiv w:val="1"/>
      <w:marLeft w:val="0"/>
      <w:marRight w:val="0"/>
      <w:marTop w:val="0"/>
      <w:marBottom w:val="0"/>
      <w:divBdr>
        <w:top w:val="none" w:sz="0" w:space="0" w:color="auto"/>
        <w:left w:val="none" w:sz="0" w:space="0" w:color="auto"/>
        <w:bottom w:val="none" w:sz="0" w:space="0" w:color="auto"/>
        <w:right w:val="none" w:sz="0" w:space="0" w:color="auto"/>
      </w:divBdr>
    </w:div>
    <w:div w:id="174811958">
      <w:bodyDiv w:val="1"/>
      <w:marLeft w:val="0"/>
      <w:marRight w:val="0"/>
      <w:marTop w:val="0"/>
      <w:marBottom w:val="0"/>
      <w:divBdr>
        <w:top w:val="none" w:sz="0" w:space="0" w:color="auto"/>
        <w:left w:val="none" w:sz="0" w:space="0" w:color="auto"/>
        <w:bottom w:val="none" w:sz="0" w:space="0" w:color="auto"/>
        <w:right w:val="none" w:sz="0" w:space="0" w:color="auto"/>
      </w:divBdr>
    </w:div>
    <w:div w:id="193160361">
      <w:bodyDiv w:val="1"/>
      <w:marLeft w:val="0"/>
      <w:marRight w:val="0"/>
      <w:marTop w:val="0"/>
      <w:marBottom w:val="0"/>
      <w:divBdr>
        <w:top w:val="none" w:sz="0" w:space="0" w:color="auto"/>
        <w:left w:val="none" w:sz="0" w:space="0" w:color="auto"/>
        <w:bottom w:val="none" w:sz="0" w:space="0" w:color="auto"/>
        <w:right w:val="none" w:sz="0" w:space="0" w:color="auto"/>
      </w:divBdr>
    </w:div>
    <w:div w:id="196630118">
      <w:bodyDiv w:val="1"/>
      <w:marLeft w:val="0"/>
      <w:marRight w:val="0"/>
      <w:marTop w:val="0"/>
      <w:marBottom w:val="0"/>
      <w:divBdr>
        <w:top w:val="none" w:sz="0" w:space="0" w:color="auto"/>
        <w:left w:val="none" w:sz="0" w:space="0" w:color="auto"/>
        <w:bottom w:val="none" w:sz="0" w:space="0" w:color="auto"/>
        <w:right w:val="none" w:sz="0" w:space="0" w:color="auto"/>
      </w:divBdr>
    </w:div>
    <w:div w:id="208734651">
      <w:bodyDiv w:val="1"/>
      <w:marLeft w:val="0"/>
      <w:marRight w:val="0"/>
      <w:marTop w:val="0"/>
      <w:marBottom w:val="0"/>
      <w:divBdr>
        <w:top w:val="none" w:sz="0" w:space="0" w:color="auto"/>
        <w:left w:val="none" w:sz="0" w:space="0" w:color="auto"/>
        <w:bottom w:val="none" w:sz="0" w:space="0" w:color="auto"/>
        <w:right w:val="none" w:sz="0" w:space="0" w:color="auto"/>
      </w:divBdr>
    </w:div>
    <w:div w:id="212431035">
      <w:bodyDiv w:val="1"/>
      <w:marLeft w:val="0"/>
      <w:marRight w:val="0"/>
      <w:marTop w:val="0"/>
      <w:marBottom w:val="0"/>
      <w:divBdr>
        <w:top w:val="none" w:sz="0" w:space="0" w:color="auto"/>
        <w:left w:val="none" w:sz="0" w:space="0" w:color="auto"/>
        <w:bottom w:val="none" w:sz="0" w:space="0" w:color="auto"/>
        <w:right w:val="none" w:sz="0" w:space="0" w:color="auto"/>
      </w:divBdr>
    </w:div>
    <w:div w:id="215749910">
      <w:bodyDiv w:val="1"/>
      <w:marLeft w:val="0"/>
      <w:marRight w:val="0"/>
      <w:marTop w:val="0"/>
      <w:marBottom w:val="0"/>
      <w:divBdr>
        <w:top w:val="none" w:sz="0" w:space="0" w:color="auto"/>
        <w:left w:val="none" w:sz="0" w:space="0" w:color="auto"/>
        <w:bottom w:val="none" w:sz="0" w:space="0" w:color="auto"/>
        <w:right w:val="none" w:sz="0" w:space="0" w:color="auto"/>
      </w:divBdr>
    </w:div>
    <w:div w:id="221673514">
      <w:bodyDiv w:val="1"/>
      <w:marLeft w:val="0"/>
      <w:marRight w:val="0"/>
      <w:marTop w:val="0"/>
      <w:marBottom w:val="0"/>
      <w:divBdr>
        <w:top w:val="none" w:sz="0" w:space="0" w:color="auto"/>
        <w:left w:val="none" w:sz="0" w:space="0" w:color="auto"/>
        <w:bottom w:val="none" w:sz="0" w:space="0" w:color="auto"/>
        <w:right w:val="none" w:sz="0" w:space="0" w:color="auto"/>
      </w:divBdr>
    </w:div>
    <w:div w:id="231240264">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268901138">
      <w:bodyDiv w:val="1"/>
      <w:marLeft w:val="0"/>
      <w:marRight w:val="0"/>
      <w:marTop w:val="0"/>
      <w:marBottom w:val="0"/>
      <w:divBdr>
        <w:top w:val="none" w:sz="0" w:space="0" w:color="auto"/>
        <w:left w:val="none" w:sz="0" w:space="0" w:color="auto"/>
        <w:bottom w:val="none" w:sz="0" w:space="0" w:color="auto"/>
        <w:right w:val="none" w:sz="0" w:space="0" w:color="auto"/>
      </w:divBdr>
    </w:div>
    <w:div w:id="286394468">
      <w:bodyDiv w:val="1"/>
      <w:marLeft w:val="0"/>
      <w:marRight w:val="0"/>
      <w:marTop w:val="0"/>
      <w:marBottom w:val="0"/>
      <w:divBdr>
        <w:top w:val="none" w:sz="0" w:space="0" w:color="auto"/>
        <w:left w:val="none" w:sz="0" w:space="0" w:color="auto"/>
        <w:bottom w:val="none" w:sz="0" w:space="0" w:color="auto"/>
        <w:right w:val="none" w:sz="0" w:space="0" w:color="auto"/>
      </w:divBdr>
    </w:div>
    <w:div w:id="286811764">
      <w:bodyDiv w:val="1"/>
      <w:marLeft w:val="0"/>
      <w:marRight w:val="0"/>
      <w:marTop w:val="0"/>
      <w:marBottom w:val="0"/>
      <w:divBdr>
        <w:top w:val="none" w:sz="0" w:space="0" w:color="auto"/>
        <w:left w:val="none" w:sz="0" w:space="0" w:color="auto"/>
        <w:bottom w:val="none" w:sz="0" w:space="0" w:color="auto"/>
        <w:right w:val="none" w:sz="0" w:space="0" w:color="auto"/>
      </w:divBdr>
    </w:div>
    <w:div w:id="287275384">
      <w:bodyDiv w:val="1"/>
      <w:marLeft w:val="0"/>
      <w:marRight w:val="0"/>
      <w:marTop w:val="0"/>
      <w:marBottom w:val="0"/>
      <w:divBdr>
        <w:top w:val="none" w:sz="0" w:space="0" w:color="auto"/>
        <w:left w:val="none" w:sz="0" w:space="0" w:color="auto"/>
        <w:bottom w:val="none" w:sz="0" w:space="0" w:color="auto"/>
        <w:right w:val="none" w:sz="0" w:space="0" w:color="auto"/>
      </w:divBdr>
    </w:div>
    <w:div w:id="290549981">
      <w:bodyDiv w:val="1"/>
      <w:marLeft w:val="0"/>
      <w:marRight w:val="0"/>
      <w:marTop w:val="0"/>
      <w:marBottom w:val="0"/>
      <w:divBdr>
        <w:top w:val="none" w:sz="0" w:space="0" w:color="auto"/>
        <w:left w:val="none" w:sz="0" w:space="0" w:color="auto"/>
        <w:bottom w:val="none" w:sz="0" w:space="0" w:color="auto"/>
        <w:right w:val="none" w:sz="0" w:space="0" w:color="auto"/>
      </w:divBdr>
    </w:div>
    <w:div w:id="306130428">
      <w:bodyDiv w:val="1"/>
      <w:marLeft w:val="0"/>
      <w:marRight w:val="0"/>
      <w:marTop w:val="0"/>
      <w:marBottom w:val="0"/>
      <w:divBdr>
        <w:top w:val="none" w:sz="0" w:space="0" w:color="auto"/>
        <w:left w:val="none" w:sz="0" w:space="0" w:color="auto"/>
        <w:bottom w:val="none" w:sz="0" w:space="0" w:color="auto"/>
        <w:right w:val="none" w:sz="0" w:space="0" w:color="auto"/>
      </w:divBdr>
    </w:div>
    <w:div w:id="326640566">
      <w:bodyDiv w:val="1"/>
      <w:marLeft w:val="0"/>
      <w:marRight w:val="0"/>
      <w:marTop w:val="0"/>
      <w:marBottom w:val="0"/>
      <w:divBdr>
        <w:top w:val="none" w:sz="0" w:space="0" w:color="auto"/>
        <w:left w:val="none" w:sz="0" w:space="0" w:color="auto"/>
        <w:bottom w:val="none" w:sz="0" w:space="0" w:color="auto"/>
        <w:right w:val="none" w:sz="0" w:space="0" w:color="auto"/>
      </w:divBdr>
    </w:div>
    <w:div w:id="337773112">
      <w:bodyDiv w:val="1"/>
      <w:marLeft w:val="0"/>
      <w:marRight w:val="0"/>
      <w:marTop w:val="0"/>
      <w:marBottom w:val="0"/>
      <w:divBdr>
        <w:top w:val="none" w:sz="0" w:space="0" w:color="auto"/>
        <w:left w:val="none" w:sz="0" w:space="0" w:color="auto"/>
        <w:bottom w:val="none" w:sz="0" w:space="0" w:color="auto"/>
        <w:right w:val="none" w:sz="0" w:space="0" w:color="auto"/>
      </w:divBdr>
    </w:div>
    <w:div w:id="342980142">
      <w:bodyDiv w:val="1"/>
      <w:marLeft w:val="0"/>
      <w:marRight w:val="0"/>
      <w:marTop w:val="0"/>
      <w:marBottom w:val="0"/>
      <w:divBdr>
        <w:top w:val="none" w:sz="0" w:space="0" w:color="auto"/>
        <w:left w:val="none" w:sz="0" w:space="0" w:color="auto"/>
        <w:bottom w:val="none" w:sz="0" w:space="0" w:color="auto"/>
        <w:right w:val="none" w:sz="0" w:space="0" w:color="auto"/>
      </w:divBdr>
    </w:div>
    <w:div w:id="353002256">
      <w:bodyDiv w:val="1"/>
      <w:marLeft w:val="0"/>
      <w:marRight w:val="0"/>
      <w:marTop w:val="0"/>
      <w:marBottom w:val="0"/>
      <w:divBdr>
        <w:top w:val="none" w:sz="0" w:space="0" w:color="auto"/>
        <w:left w:val="none" w:sz="0" w:space="0" w:color="auto"/>
        <w:bottom w:val="none" w:sz="0" w:space="0" w:color="auto"/>
        <w:right w:val="none" w:sz="0" w:space="0" w:color="auto"/>
      </w:divBdr>
    </w:div>
    <w:div w:id="361714483">
      <w:bodyDiv w:val="1"/>
      <w:marLeft w:val="0"/>
      <w:marRight w:val="0"/>
      <w:marTop w:val="0"/>
      <w:marBottom w:val="0"/>
      <w:divBdr>
        <w:top w:val="none" w:sz="0" w:space="0" w:color="auto"/>
        <w:left w:val="none" w:sz="0" w:space="0" w:color="auto"/>
        <w:bottom w:val="none" w:sz="0" w:space="0" w:color="auto"/>
        <w:right w:val="none" w:sz="0" w:space="0" w:color="auto"/>
      </w:divBdr>
      <w:divsChild>
        <w:div w:id="636302277">
          <w:marLeft w:val="0"/>
          <w:marRight w:val="0"/>
          <w:marTop w:val="0"/>
          <w:marBottom w:val="0"/>
          <w:divBdr>
            <w:top w:val="none" w:sz="0" w:space="0" w:color="auto"/>
            <w:left w:val="none" w:sz="0" w:space="0" w:color="auto"/>
            <w:bottom w:val="none" w:sz="0" w:space="0" w:color="auto"/>
            <w:right w:val="none" w:sz="0" w:space="0" w:color="auto"/>
          </w:divBdr>
        </w:div>
      </w:divsChild>
    </w:div>
    <w:div w:id="384375193">
      <w:bodyDiv w:val="1"/>
      <w:marLeft w:val="0"/>
      <w:marRight w:val="0"/>
      <w:marTop w:val="0"/>
      <w:marBottom w:val="0"/>
      <w:divBdr>
        <w:top w:val="none" w:sz="0" w:space="0" w:color="auto"/>
        <w:left w:val="none" w:sz="0" w:space="0" w:color="auto"/>
        <w:bottom w:val="none" w:sz="0" w:space="0" w:color="auto"/>
        <w:right w:val="none" w:sz="0" w:space="0" w:color="auto"/>
      </w:divBdr>
    </w:div>
    <w:div w:id="392118770">
      <w:bodyDiv w:val="1"/>
      <w:marLeft w:val="0"/>
      <w:marRight w:val="0"/>
      <w:marTop w:val="0"/>
      <w:marBottom w:val="0"/>
      <w:divBdr>
        <w:top w:val="none" w:sz="0" w:space="0" w:color="auto"/>
        <w:left w:val="none" w:sz="0" w:space="0" w:color="auto"/>
        <w:bottom w:val="none" w:sz="0" w:space="0" w:color="auto"/>
        <w:right w:val="none" w:sz="0" w:space="0" w:color="auto"/>
      </w:divBdr>
    </w:div>
    <w:div w:id="439299001">
      <w:bodyDiv w:val="1"/>
      <w:marLeft w:val="0"/>
      <w:marRight w:val="0"/>
      <w:marTop w:val="0"/>
      <w:marBottom w:val="0"/>
      <w:divBdr>
        <w:top w:val="none" w:sz="0" w:space="0" w:color="auto"/>
        <w:left w:val="none" w:sz="0" w:space="0" w:color="auto"/>
        <w:bottom w:val="none" w:sz="0" w:space="0" w:color="auto"/>
        <w:right w:val="none" w:sz="0" w:space="0" w:color="auto"/>
      </w:divBdr>
    </w:div>
    <w:div w:id="442312599">
      <w:bodyDiv w:val="1"/>
      <w:marLeft w:val="0"/>
      <w:marRight w:val="0"/>
      <w:marTop w:val="0"/>
      <w:marBottom w:val="0"/>
      <w:divBdr>
        <w:top w:val="none" w:sz="0" w:space="0" w:color="auto"/>
        <w:left w:val="none" w:sz="0" w:space="0" w:color="auto"/>
        <w:bottom w:val="none" w:sz="0" w:space="0" w:color="auto"/>
        <w:right w:val="none" w:sz="0" w:space="0" w:color="auto"/>
      </w:divBdr>
    </w:div>
    <w:div w:id="470099768">
      <w:bodyDiv w:val="1"/>
      <w:marLeft w:val="0"/>
      <w:marRight w:val="0"/>
      <w:marTop w:val="0"/>
      <w:marBottom w:val="0"/>
      <w:divBdr>
        <w:top w:val="none" w:sz="0" w:space="0" w:color="auto"/>
        <w:left w:val="none" w:sz="0" w:space="0" w:color="auto"/>
        <w:bottom w:val="none" w:sz="0" w:space="0" w:color="auto"/>
        <w:right w:val="none" w:sz="0" w:space="0" w:color="auto"/>
      </w:divBdr>
    </w:div>
    <w:div w:id="477496288">
      <w:bodyDiv w:val="1"/>
      <w:marLeft w:val="0"/>
      <w:marRight w:val="0"/>
      <w:marTop w:val="0"/>
      <w:marBottom w:val="0"/>
      <w:divBdr>
        <w:top w:val="none" w:sz="0" w:space="0" w:color="auto"/>
        <w:left w:val="none" w:sz="0" w:space="0" w:color="auto"/>
        <w:bottom w:val="none" w:sz="0" w:space="0" w:color="auto"/>
        <w:right w:val="none" w:sz="0" w:space="0" w:color="auto"/>
      </w:divBdr>
    </w:div>
    <w:div w:id="482743515">
      <w:bodyDiv w:val="1"/>
      <w:marLeft w:val="0"/>
      <w:marRight w:val="0"/>
      <w:marTop w:val="0"/>
      <w:marBottom w:val="0"/>
      <w:divBdr>
        <w:top w:val="none" w:sz="0" w:space="0" w:color="auto"/>
        <w:left w:val="none" w:sz="0" w:space="0" w:color="auto"/>
        <w:bottom w:val="none" w:sz="0" w:space="0" w:color="auto"/>
        <w:right w:val="none" w:sz="0" w:space="0" w:color="auto"/>
      </w:divBdr>
    </w:div>
    <w:div w:id="491989304">
      <w:bodyDiv w:val="1"/>
      <w:marLeft w:val="0"/>
      <w:marRight w:val="0"/>
      <w:marTop w:val="0"/>
      <w:marBottom w:val="0"/>
      <w:divBdr>
        <w:top w:val="none" w:sz="0" w:space="0" w:color="auto"/>
        <w:left w:val="none" w:sz="0" w:space="0" w:color="auto"/>
        <w:bottom w:val="none" w:sz="0" w:space="0" w:color="auto"/>
        <w:right w:val="none" w:sz="0" w:space="0" w:color="auto"/>
      </w:divBdr>
    </w:div>
    <w:div w:id="493763061">
      <w:bodyDiv w:val="1"/>
      <w:marLeft w:val="0"/>
      <w:marRight w:val="0"/>
      <w:marTop w:val="0"/>
      <w:marBottom w:val="0"/>
      <w:divBdr>
        <w:top w:val="none" w:sz="0" w:space="0" w:color="auto"/>
        <w:left w:val="none" w:sz="0" w:space="0" w:color="auto"/>
        <w:bottom w:val="none" w:sz="0" w:space="0" w:color="auto"/>
        <w:right w:val="none" w:sz="0" w:space="0" w:color="auto"/>
      </w:divBdr>
    </w:div>
    <w:div w:id="499197605">
      <w:bodyDiv w:val="1"/>
      <w:marLeft w:val="0"/>
      <w:marRight w:val="0"/>
      <w:marTop w:val="0"/>
      <w:marBottom w:val="0"/>
      <w:divBdr>
        <w:top w:val="none" w:sz="0" w:space="0" w:color="auto"/>
        <w:left w:val="none" w:sz="0" w:space="0" w:color="auto"/>
        <w:bottom w:val="none" w:sz="0" w:space="0" w:color="auto"/>
        <w:right w:val="none" w:sz="0" w:space="0" w:color="auto"/>
      </w:divBdr>
    </w:div>
    <w:div w:id="509150423">
      <w:bodyDiv w:val="1"/>
      <w:marLeft w:val="0"/>
      <w:marRight w:val="0"/>
      <w:marTop w:val="0"/>
      <w:marBottom w:val="0"/>
      <w:divBdr>
        <w:top w:val="none" w:sz="0" w:space="0" w:color="auto"/>
        <w:left w:val="none" w:sz="0" w:space="0" w:color="auto"/>
        <w:bottom w:val="none" w:sz="0" w:space="0" w:color="auto"/>
        <w:right w:val="none" w:sz="0" w:space="0" w:color="auto"/>
      </w:divBdr>
    </w:div>
    <w:div w:id="512569178">
      <w:bodyDiv w:val="1"/>
      <w:marLeft w:val="0"/>
      <w:marRight w:val="0"/>
      <w:marTop w:val="0"/>
      <w:marBottom w:val="0"/>
      <w:divBdr>
        <w:top w:val="none" w:sz="0" w:space="0" w:color="auto"/>
        <w:left w:val="none" w:sz="0" w:space="0" w:color="auto"/>
        <w:bottom w:val="none" w:sz="0" w:space="0" w:color="auto"/>
        <w:right w:val="none" w:sz="0" w:space="0" w:color="auto"/>
      </w:divBdr>
    </w:div>
    <w:div w:id="513769353">
      <w:bodyDiv w:val="1"/>
      <w:marLeft w:val="0"/>
      <w:marRight w:val="0"/>
      <w:marTop w:val="0"/>
      <w:marBottom w:val="0"/>
      <w:divBdr>
        <w:top w:val="none" w:sz="0" w:space="0" w:color="auto"/>
        <w:left w:val="none" w:sz="0" w:space="0" w:color="auto"/>
        <w:bottom w:val="none" w:sz="0" w:space="0" w:color="auto"/>
        <w:right w:val="none" w:sz="0" w:space="0" w:color="auto"/>
      </w:divBdr>
    </w:div>
    <w:div w:id="515854073">
      <w:bodyDiv w:val="1"/>
      <w:marLeft w:val="0"/>
      <w:marRight w:val="0"/>
      <w:marTop w:val="0"/>
      <w:marBottom w:val="0"/>
      <w:divBdr>
        <w:top w:val="none" w:sz="0" w:space="0" w:color="auto"/>
        <w:left w:val="none" w:sz="0" w:space="0" w:color="auto"/>
        <w:bottom w:val="none" w:sz="0" w:space="0" w:color="auto"/>
        <w:right w:val="none" w:sz="0" w:space="0" w:color="auto"/>
      </w:divBdr>
    </w:div>
    <w:div w:id="531529329">
      <w:bodyDiv w:val="1"/>
      <w:marLeft w:val="0"/>
      <w:marRight w:val="0"/>
      <w:marTop w:val="0"/>
      <w:marBottom w:val="0"/>
      <w:divBdr>
        <w:top w:val="none" w:sz="0" w:space="0" w:color="auto"/>
        <w:left w:val="none" w:sz="0" w:space="0" w:color="auto"/>
        <w:bottom w:val="none" w:sz="0" w:space="0" w:color="auto"/>
        <w:right w:val="none" w:sz="0" w:space="0" w:color="auto"/>
      </w:divBdr>
    </w:div>
    <w:div w:id="548953196">
      <w:bodyDiv w:val="1"/>
      <w:marLeft w:val="0"/>
      <w:marRight w:val="0"/>
      <w:marTop w:val="0"/>
      <w:marBottom w:val="0"/>
      <w:divBdr>
        <w:top w:val="none" w:sz="0" w:space="0" w:color="auto"/>
        <w:left w:val="none" w:sz="0" w:space="0" w:color="auto"/>
        <w:bottom w:val="none" w:sz="0" w:space="0" w:color="auto"/>
        <w:right w:val="none" w:sz="0" w:space="0" w:color="auto"/>
      </w:divBdr>
    </w:div>
    <w:div w:id="554393006">
      <w:bodyDiv w:val="1"/>
      <w:marLeft w:val="0"/>
      <w:marRight w:val="0"/>
      <w:marTop w:val="0"/>
      <w:marBottom w:val="0"/>
      <w:divBdr>
        <w:top w:val="none" w:sz="0" w:space="0" w:color="auto"/>
        <w:left w:val="none" w:sz="0" w:space="0" w:color="auto"/>
        <w:bottom w:val="none" w:sz="0" w:space="0" w:color="auto"/>
        <w:right w:val="none" w:sz="0" w:space="0" w:color="auto"/>
      </w:divBdr>
    </w:div>
    <w:div w:id="558177650">
      <w:bodyDiv w:val="1"/>
      <w:marLeft w:val="0"/>
      <w:marRight w:val="0"/>
      <w:marTop w:val="0"/>
      <w:marBottom w:val="0"/>
      <w:divBdr>
        <w:top w:val="none" w:sz="0" w:space="0" w:color="auto"/>
        <w:left w:val="none" w:sz="0" w:space="0" w:color="auto"/>
        <w:bottom w:val="none" w:sz="0" w:space="0" w:color="auto"/>
        <w:right w:val="none" w:sz="0" w:space="0" w:color="auto"/>
      </w:divBdr>
    </w:div>
    <w:div w:id="583684854">
      <w:bodyDiv w:val="1"/>
      <w:marLeft w:val="0"/>
      <w:marRight w:val="0"/>
      <w:marTop w:val="0"/>
      <w:marBottom w:val="0"/>
      <w:divBdr>
        <w:top w:val="none" w:sz="0" w:space="0" w:color="auto"/>
        <w:left w:val="none" w:sz="0" w:space="0" w:color="auto"/>
        <w:bottom w:val="none" w:sz="0" w:space="0" w:color="auto"/>
        <w:right w:val="none" w:sz="0" w:space="0" w:color="auto"/>
      </w:divBdr>
    </w:div>
    <w:div w:id="595482661">
      <w:bodyDiv w:val="1"/>
      <w:marLeft w:val="0"/>
      <w:marRight w:val="0"/>
      <w:marTop w:val="0"/>
      <w:marBottom w:val="0"/>
      <w:divBdr>
        <w:top w:val="none" w:sz="0" w:space="0" w:color="auto"/>
        <w:left w:val="none" w:sz="0" w:space="0" w:color="auto"/>
        <w:bottom w:val="none" w:sz="0" w:space="0" w:color="auto"/>
        <w:right w:val="none" w:sz="0" w:space="0" w:color="auto"/>
      </w:divBdr>
    </w:div>
    <w:div w:id="607395803">
      <w:bodyDiv w:val="1"/>
      <w:marLeft w:val="0"/>
      <w:marRight w:val="0"/>
      <w:marTop w:val="0"/>
      <w:marBottom w:val="0"/>
      <w:divBdr>
        <w:top w:val="none" w:sz="0" w:space="0" w:color="auto"/>
        <w:left w:val="none" w:sz="0" w:space="0" w:color="auto"/>
        <w:bottom w:val="none" w:sz="0" w:space="0" w:color="auto"/>
        <w:right w:val="none" w:sz="0" w:space="0" w:color="auto"/>
      </w:divBdr>
    </w:div>
    <w:div w:id="626818585">
      <w:bodyDiv w:val="1"/>
      <w:marLeft w:val="0"/>
      <w:marRight w:val="0"/>
      <w:marTop w:val="0"/>
      <w:marBottom w:val="0"/>
      <w:divBdr>
        <w:top w:val="none" w:sz="0" w:space="0" w:color="auto"/>
        <w:left w:val="none" w:sz="0" w:space="0" w:color="auto"/>
        <w:bottom w:val="none" w:sz="0" w:space="0" w:color="auto"/>
        <w:right w:val="none" w:sz="0" w:space="0" w:color="auto"/>
      </w:divBdr>
    </w:div>
    <w:div w:id="637149888">
      <w:bodyDiv w:val="1"/>
      <w:marLeft w:val="0"/>
      <w:marRight w:val="0"/>
      <w:marTop w:val="0"/>
      <w:marBottom w:val="0"/>
      <w:divBdr>
        <w:top w:val="none" w:sz="0" w:space="0" w:color="auto"/>
        <w:left w:val="none" w:sz="0" w:space="0" w:color="auto"/>
        <w:bottom w:val="none" w:sz="0" w:space="0" w:color="auto"/>
        <w:right w:val="none" w:sz="0" w:space="0" w:color="auto"/>
      </w:divBdr>
    </w:div>
    <w:div w:id="643780875">
      <w:bodyDiv w:val="1"/>
      <w:marLeft w:val="0"/>
      <w:marRight w:val="0"/>
      <w:marTop w:val="0"/>
      <w:marBottom w:val="0"/>
      <w:divBdr>
        <w:top w:val="none" w:sz="0" w:space="0" w:color="auto"/>
        <w:left w:val="none" w:sz="0" w:space="0" w:color="auto"/>
        <w:bottom w:val="none" w:sz="0" w:space="0" w:color="auto"/>
        <w:right w:val="none" w:sz="0" w:space="0" w:color="auto"/>
      </w:divBdr>
    </w:div>
    <w:div w:id="664821926">
      <w:bodyDiv w:val="1"/>
      <w:marLeft w:val="0"/>
      <w:marRight w:val="0"/>
      <w:marTop w:val="0"/>
      <w:marBottom w:val="0"/>
      <w:divBdr>
        <w:top w:val="none" w:sz="0" w:space="0" w:color="auto"/>
        <w:left w:val="none" w:sz="0" w:space="0" w:color="auto"/>
        <w:bottom w:val="none" w:sz="0" w:space="0" w:color="auto"/>
        <w:right w:val="none" w:sz="0" w:space="0" w:color="auto"/>
      </w:divBdr>
    </w:div>
    <w:div w:id="669715312">
      <w:bodyDiv w:val="1"/>
      <w:marLeft w:val="0"/>
      <w:marRight w:val="0"/>
      <w:marTop w:val="0"/>
      <w:marBottom w:val="0"/>
      <w:divBdr>
        <w:top w:val="none" w:sz="0" w:space="0" w:color="auto"/>
        <w:left w:val="none" w:sz="0" w:space="0" w:color="auto"/>
        <w:bottom w:val="none" w:sz="0" w:space="0" w:color="auto"/>
        <w:right w:val="none" w:sz="0" w:space="0" w:color="auto"/>
      </w:divBdr>
    </w:div>
    <w:div w:id="673339864">
      <w:bodyDiv w:val="1"/>
      <w:marLeft w:val="0"/>
      <w:marRight w:val="0"/>
      <w:marTop w:val="0"/>
      <w:marBottom w:val="0"/>
      <w:divBdr>
        <w:top w:val="none" w:sz="0" w:space="0" w:color="auto"/>
        <w:left w:val="none" w:sz="0" w:space="0" w:color="auto"/>
        <w:bottom w:val="none" w:sz="0" w:space="0" w:color="auto"/>
        <w:right w:val="none" w:sz="0" w:space="0" w:color="auto"/>
      </w:divBdr>
    </w:div>
    <w:div w:id="704137754">
      <w:bodyDiv w:val="1"/>
      <w:marLeft w:val="0"/>
      <w:marRight w:val="0"/>
      <w:marTop w:val="0"/>
      <w:marBottom w:val="0"/>
      <w:divBdr>
        <w:top w:val="none" w:sz="0" w:space="0" w:color="auto"/>
        <w:left w:val="none" w:sz="0" w:space="0" w:color="auto"/>
        <w:bottom w:val="none" w:sz="0" w:space="0" w:color="auto"/>
        <w:right w:val="none" w:sz="0" w:space="0" w:color="auto"/>
      </w:divBdr>
    </w:div>
    <w:div w:id="705566783">
      <w:bodyDiv w:val="1"/>
      <w:marLeft w:val="0"/>
      <w:marRight w:val="0"/>
      <w:marTop w:val="0"/>
      <w:marBottom w:val="0"/>
      <w:divBdr>
        <w:top w:val="none" w:sz="0" w:space="0" w:color="auto"/>
        <w:left w:val="none" w:sz="0" w:space="0" w:color="auto"/>
        <w:bottom w:val="none" w:sz="0" w:space="0" w:color="auto"/>
        <w:right w:val="none" w:sz="0" w:space="0" w:color="auto"/>
      </w:divBdr>
    </w:div>
    <w:div w:id="719670939">
      <w:bodyDiv w:val="1"/>
      <w:marLeft w:val="0"/>
      <w:marRight w:val="0"/>
      <w:marTop w:val="0"/>
      <w:marBottom w:val="0"/>
      <w:divBdr>
        <w:top w:val="none" w:sz="0" w:space="0" w:color="auto"/>
        <w:left w:val="none" w:sz="0" w:space="0" w:color="auto"/>
        <w:bottom w:val="none" w:sz="0" w:space="0" w:color="auto"/>
        <w:right w:val="none" w:sz="0" w:space="0" w:color="auto"/>
      </w:divBdr>
    </w:div>
    <w:div w:id="724182082">
      <w:bodyDiv w:val="1"/>
      <w:marLeft w:val="0"/>
      <w:marRight w:val="0"/>
      <w:marTop w:val="0"/>
      <w:marBottom w:val="0"/>
      <w:divBdr>
        <w:top w:val="none" w:sz="0" w:space="0" w:color="auto"/>
        <w:left w:val="none" w:sz="0" w:space="0" w:color="auto"/>
        <w:bottom w:val="none" w:sz="0" w:space="0" w:color="auto"/>
        <w:right w:val="none" w:sz="0" w:space="0" w:color="auto"/>
      </w:divBdr>
    </w:div>
    <w:div w:id="733233375">
      <w:bodyDiv w:val="1"/>
      <w:marLeft w:val="0"/>
      <w:marRight w:val="0"/>
      <w:marTop w:val="0"/>
      <w:marBottom w:val="0"/>
      <w:divBdr>
        <w:top w:val="none" w:sz="0" w:space="0" w:color="auto"/>
        <w:left w:val="none" w:sz="0" w:space="0" w:color="auto"/>
        <w:bottom w:val="none" w:sz="0" w:space="0" w:color="auto"/>
        <w:right w:val="none" w:sz="0" w:space="0" w:color="auto"/>
      </w:divBdr>
    </w:div>
    <w:div w:id="757019572">
      <w:bodyDiv w:val="1"/>
      <w:marLeft w:val="0"/>
      <w:marRight w:val="0"/>
      <w:marTop w:val="0"/>
      <w:marBottom w:val="0"/>
      <w:divBdr>
        <w:top w:val="none" w:sz="0" w:space="0" w:color="auto"/>
        <w:left w:val="none" w:sz="0" w:space="0" w:color="auto"/>
        <w:bottom w:val="none" w:sz="0" w:space="0" w:color="auto"/>
        <w:right w:val="none" w:sz="0" w:space="0" w:color="auto"/>
      </w:divBdr>
    </w:div>
    <w:div w:id="766509837">
      <w:bodyDiv w:val="1"/>
      <w:marLeft w:val="0"/>
      <w:marRight w:val="0"/>
      <w:marTop w:val="0"/>
      <w:marBottom w:val="0"/>
      <w:divBdr>
        <w:top w:val="none" w:sz="0" w:space="0" w:color="auto"/>
        <w:left w:val="none" w:sz="0" w:space="0" w:color="auto"/>
        <w:bottom w:val="none" w:sz="0" w:space="0" w:color="auto"/>
        <w:right w:val="none" w:sz="0" w:space="0" w:color="auto"/>
      </w:divBdr>
    </w:div>
    <w:div w:id="773281010">
      <w:bodyDiv w:val="1"/>
      <w:marLeft w:val="0"/>
      <w:marRight w:val="0"/>
      <w:marTop w:val="0"/>
      <w:marBottom w:val="0"/>
      <w:divBdr>
        <w:top w:val="none" w:sz="0" w:space="0" w:color="auto"/>
        <w:left w:val="none" w:sz="0" w:space="0" w:color="auto"/>
        <w:bottom w:val="none" w:sz="0" w:space="0" w:color="auto"/>
        <w:right w:val="none" w:sz="0" w:space="0" w:color="auto"/>
      </w:divBdr>
    </w:div>
    <w:div w:id="781341172">
      <w:bodyDiv w:val="1"/>
      <w:marLeft w:val="0"/>
      <w:marRight w:val="0"/>
      <w:marTop w:val="0"/>
      <w:marBottom w:val="0"/>
      <w:divBdr>
        <w:top w:val="none" w:sz="0" w:space="0" w:color="auto"/>
        <w:left w:val="none" w:sz="0" w:space="0" w:color="auto"/>
        <w:bottom w:val="none" w:sz="0" w:space="0" w:color="auto"/>
        <w:right w:val="none" w:sz="0" w:space="0" w:color="auto"/>
      </w:divBdr>
    </w:div>
    <w:div w:id="781610810">
      <w:bodyDiv w:val="1"/>
      <w:marLeft w:val="0"/>
      <w:marRight w:val="0"/>
      <w:marTop w:val="0"/>
      <w:marBottom w:val="0"/>
      <w:divBdr>
        <w:top w:val="none" w:sz="0" w:space="0" w:color="auto"/>
        <w:left w:val="none" w:sz="0" w:space="0" w:color="auto"/>
        <w:bottom w:val="none" w:sz="0" w:space="0" w:color="auto"/>
        <w:right w:val="none" w:sz="0" w:space="0" w:color="auto"/>
      </w:divBdr>
    </w:div>
    <w:div w:id="788087484">
      <w:bodyDiv w:val="1"/>
      <w:marLeft w:val="0"/>
      <w:marRight w:val="0"/>
      <w:marTop w:val="0"/>
      <w:marBottom w:val="0"/>
      <w:divBdr>
        <w:top w:val="none" w:sz="0" w:space="0" w:color="auto"/>
        <w:left w:val="none" w:sz="0" w:space="0" w:color="auto"/>
        <w:bottom w:val="none" w:sz="0" w:space="0" w:color="auto"/>
        <w:right w:val="none" w:sz="0" w:space="0" w:color="auto"/>
      </w:divBdr>
    </w:div>
    <w:div w:id="791020352">
      <w:bodyDiv w:val="1"/>
      <w:marLeft w:val="0"/>
      <w:marRight w:val="0"/>
      <w:marTop w:val="0"/>
      <w:marBottom w:val="0"/>
      <w:divBdr>
        <w:top w:val="none" w:sz="0" w:space="0" w:color="auto"/>
        <w:left w:val="none" w:sz="0" w:space="0" w:color="auto"/>
        <w:bottom w:val="none" w:sz="0" w:space="0" w:color="auto"/>
        <w:right w:val="none" w:sz="0" w:space="0" w:color="auto"/>
      </w:divBdr>
    </w:div>
    <w:div w:id="797719768">
      <w:bodyDiv w:val="1"/>
      <w:marLeft w:val="0"/>
      <w:marRight w:val="0"/>
      <w:marTop w:val="0"/>
      <w:marBottom w:val="0"/>
      <w:divBdr>
        <w:top w:val="none" w:sz="0" w:space="0" w:color="auto"/>
        <w:left w:val="none" w:sz="0" w:space="0" w:color="auto"/>
        <w:bottom w:val="none" w:sz="0" w:space="0" w:color="auto"/>
        <w:right w:val="none" w:sz="0" w:space="0" w:color="auto"/>
      </w:divBdr>
    </w:div>
    <w:div w:id="804616168">
      <w:bodyDiv w:val="1"/>
      <w:marLeft w:val="0"/>
      <w:marRight w:val="0"/>
      <w:marTop w:val="0"/>
      <w:marBottom w:val="0"/>
      <w:divBdr>
        <w:top w:val="none" w:sz="0" w:space="0" w:color="auto"/>
        <w:left w:val="none" w:sz="0" w:space="0" w:color="auto"/>
        <w:bottom w:val="none" w:sz="0" w:space="0" w:color="auto"/>
        <w:right w:val="none" w:sz="0" w:space="0" w:color="auto"/>
      </w:divBdr>
    </w:div>
    <w:div w:id="805121356">
      <w:bodyDiv w:val="1"/>
      <w:marLeft w:val="0"/>
      <w:marRight w:val="0"/>
      <w:marTop w:val="0"/>
      <w:marBottom w:val="0"/>
      <w:divBdr>
        <w:top w:val="none" w:sz="0" w:space="0" w:color="auto"/>
        <w:left w:val="none" w:sz="0" w:space="0" w:color="auto"/>
        <w:bottom w:val="none" w:sz="0" w:space="0" w:color="auto"/>
        <w:right w:val="none" w:sz="0" w:space="0" w:color="auto"/>
      </w:divBdr>
    </w:div>
    <w:div w:id="821501422">
      <w:bodyDiv w:val="1"/>
      <w:marLeft w:val="0"/>
      <w:marRight w:val="0"/>
      <w:marTop w:val="0"/>
      <w:marBottom w:val="0"/>
      <w:divBdr>
        <w:top w:val="none" w:sz="0" w:space="0" w:color="auto"/>
        <w:left w:val="none" w:sz="0" w:space="0" w:color="auto"/>
        <w:bottom w:val="none" w:sz="0" w:space="0" w:color="auto"/>
        <w:right w:val="none" w:sz="0" w:space="0" w:color="auto"/>
      </w:divBdr>
    </w:div>
    <w:div w:id="824205713">
      <w:bodyDiv w:val="1"/>
      <w:marLeft w:val="0"/>
      <w:marRight w:val="0"/>
      <w:marTop w:val="0"/>
      <w:marBottom w:val="0"/>
      <w:divBdr>
        <w:top w:val="none" w:sz="0" w:space="0" w:color="auto"/>
        <w:left w:val="none" w:sz="0" w:space="0" w:color="auto"/>
        <w:bottom w:val="none" w:sz="0" w:space="0" w:color="auto"/>
        <w:right w:val="none" w:sz="0" w:space="0" w:color="auto"/>
      </w:divBdr>
    </w:div>
    <w:div w:id="840779036">
      <w:bodyDiv w:val="1"/>
      <w:marLeft w:val="0"/>
      <w:marRight w:val="0"/>
      <w:marTop w:val="0"/>
      <w:marBottom w:val="0"/>
      <w:divBdr>
        <w:top w:val="none" w:sz="0" w:space="0" w:color="auto"/>
        <w:left w:val="none" w:sz="0" w:space="0" w:color="auto"/>
        <w:bottom w:val="none" w:sz="0" w:space="0" w:color="auto"/>
        <w:right w:val="none" w:sz="0" w:space="0" w:color="auto"/>
      </w:divBdr>
    </w:div>
    <w:div w:id="867832367">
      <w:bodyDiv w:val="1"/>
      <w:marLeft w:val="0"/>
      <w:marRight w:val="0"/>
      <w:marTop w:val="0"/>
      <w:marBottom w:val="0"/>
      <w:divBdr>
        <w:top w:val="none" w:sz="0" w:space="0" w:color="auto"/>
        <w:left w:val="none" w:sz="0" w:space="0" w:color="auto"/>
        <w:bottom w:val="none" w:sz="0" w:space="0" w:color="auto"/>
        <w:right w:val="none" w:sz="0" w:space="0" w:color="auto"/>
      </w:divBdr>
    </w:div>
    <w:div w:id="872302708">
      <w:bodyDiv w:val="1"/>
      <w:marLeft w:val="0"/>
      <w:marRight w:val="0"/>
      <w:marTop w:val="0"/>
      <w:marBottom w:val="0"/>
      <w:divBdr>
        <w:top w:val="none" w:sz="0" w:space="0" w:color="auto"/>
        <w:left w:val="none" w:sz="0" w:space="0" w:color="auto"/>
        <w:bottom w:val="none" w:sz="0" w:space="0" w:color="auto"/>
        <w:right w:val="none" w:sz="0" w:space="0" w:color="auto"/>
      </w:divBdr>
    </w:div>
    <w:div w:id="879317248">
      <w:bodyDiv w:val="1"/>
      <w:marLeft w:val="0"/>
      <w:marRight w:val="0"/>
      <w:marTop w:val="0"/>
      <w:marBottom w:val="0"/>
      <w:divBdr>
        <w:top w:val="none" w:sz="0" w:space="0" w:color="auto"/>
        <w:left w:val="none" w:sz="0" w:space="0" w:color="auto"/>
        <w:bottom w:val="none" w:sz="0" w:space="0" w:color="auto"/>
        <w:right w:val="none" w:sz="0" w:space="0" w:color="auto"/>
      </w:divBdr>
    </w:div>
    <w:div w:id="880165215">
      <w:bodyDiv w:val="1"/>
      <w:marLeft w:val="0"/>
      <w:marRight w:val="0"/>
      <w:marTop w:val="0"/>
      <w:marBottom w:val="0"/>
      <w:divBdr>
        <w:top w:val="none" w:sz="0" w:space="0" w:color="auto"/>
        <w:left w:val="none" w:sz="0" w:space="0" w:color="auto"/>
        <w:bottom w:val="none" w:sz="0" w:space="0" w:color="auto"/>
        <w:right w:val="none" w:sz="0" w:space="0" w:color="auto"/>
      </w:divBdr>
    </w:div>
    <w:div w:id="881360115">
      <w:bodyDiv w:val="1"/>
      <w:marLeft w:val="0"/>
      <w:marRight w:val="0"/>
      <w:marTop w:val="0"/>
      <w:marBottom w:val="0"/>
      <w:divBdr>
        <w:top w:val="none" w:sz="0" w:space="0" w:color="auto"/>
        <w:left w:val="none" w:sz="0" w:space="0" w:color="auto"/>
        <w:bottom w:val="none" w:sz="0" w:space="0" w:color="auto"/>
        <w:right w:val="none" w:sz="0" w:space="0" w:color="auto"/>
      </w:divBdr>
    </w:div>
    <w:div w:id="885602207">
      <w:bodyDiv w:val="1"/>
      <w:marLeft w:val="0"/>
      <w:marRight w:val="0"/>
      <w:marTop w:val="0"/>
      <w:marBottom w:val="0"/>
      <w:divBdr>
        <w:top w:val="none" w:sz="0" w:space="0" w:color="auto"/>
        <w:left w:val="none" w:sz="0" w:space="0" w:color="auto"/>
        <w:bottom w:val="none" w:sz="0" w:space="0" w:color="auto"/>
        <w:right w:val="none" w:sz="0" w:space="0" w:color="auto"/>
      </w:divBdr>
    </w:div>
    <w:div w:id="886451885">
      <w:bodyDiv w:val="1"/>
      <w:marLeft w:val="0"/>
      <w:marRight w:val="0"/>
      <w:marTop w:val="0"/>
      <w:marBottom w:val="0"/>
      <w:divBdr>
        <w:top w:val="none" w:sz="0" w:space="0" w:color="auto"/>
        <w:left w:val="none" w:sz="0" w:space="0" w:color="auto"/>
        <w:bottom w:val="none" w:sz="0" w:space="0" w:color="auto"/>
        <w:right w:val="none" w:sz="0" w:space="0" w:color="auto"/>
      </w:divBdr>
    </w:div>
    <w:div w:id="908736733">
      <w:bodyDiv w:val="1"/>
      <w:marLeft w:val="0"/>
      <w:marRight w:val="0"/>
      <w:marTop w:val="0"/>
      <w:marBottom w:val="0"/>
      <w:divBdr>
        <w:top w:val="none" w:sz="0" w:space="0" w:color="auto"/>
        <w:left w:val="none" w:sz="0" w:space="0" w:color="auto"/>
        <w:bottom w:val="none" w:sz="0" w:space="0" w:color="auto"/>
        <w:right w:val="none" w:sz="0" w:space="0" w:color="auto"/>
      </w:divBdr>
    </w:div>
    <w:div w:id="914432211">
      <w:bodyDiv w:val="1"/>
      <w:marLeft w:val="0"/>
      <w:marRight w:val="0"/>
      <w:marTop w:val="0"/>
      <w:marBottom w:val="0"/>
      <w:divBdr>
        <w:top w:val="none" w:sz="0" w:space="0" w:color="auto"/>
        <w:left w:val="none" w:sz="0" w:space="0" w:color="auto"/>
        <w:bottom w:val="none" w:sz="0" w:space="0" w:color="auto"/>
        <w:right w:val="none" w:sz="0" w:space="0" w:color="auto"/>
      </w:divBdr>
    </w:div>
    <w:div w:id="918292260">
      <w:bodyDiv w:val="1"/>
      <w:marLeft w:val="0"/>
      <w:marRight w:val="0"/>
      <w:marTop w:val="0"/>
      <w:marBottom w:val="0"/>
      <w:divBdr>
        <w:top w:val="none" w:sz="0" w:space="0" w:color="auto"/>
        <w:left w:val="none" w:sz="0" w:space="0" w:color="auto"/>
        <w:bottom w:val="none" w:sz="0" w:space="0" w:color="auto"/>
        <w:right w:val="none" w:sz="0" w:space="0" w:color="auto"/>
      </w:divBdr>
    </w:div>
    <w:div w:id="918445168">
      <w:bodyDiv w:val="1"/>
      <w:marLeft w:val="0"/>
      <w:marRight w:val="0"/>
      <w:marTop w:val="0"/>
      <w:marBottom w:val="0"/>
      <w:divBdr>
        <w:top w:val="none" w:sz="0" w:space="0" w:color="auto"/>
        <w:left w:val="none" w:sz="0" w:space="0" w:color="auto"/>
        <w:bottom w:val="none" w:sz="0" w:space="0" w:color="auto"/>
        <w:right w:val="none" w:sz="0" w:space="0" w:color="auto"/>
      </w:divBdr>
    </w:div>
    <w:div w:id="927692312">
      <w:bodyDiv w:val="1"/>
      <w:marLeft w:val="0"/>
      <w:marRight w:val="0"/>
      <w:marTop w:val="0"/>
      <w:marBottom w:val="0"/>
      <w:divBdr>
        <w:top w:val="none" w:sz="0" w:space="0" w:color="auto"/>
        <w:left w:val="none" w:sz="0" w:space="0" w:color="auto"/>
        <w:bottom w:val="none" w:sz="0" w:space="0" w:color="auto"/>
        <w:right w:val="none" w:sz="0" w:space="0" w:color="auto"/>
      </w:divBdr>
    </w:div>
    <w:div w:id="939029473">
      <w:bodyDiv w:val="1"/>
      <w:marLeft w:val="0"/>
      <w:marRight w:val="0"/>
      <w:marTop w:val="0"/>
      <w:marBottom w:val="0"/>
      <w:divBdr>
        <w:top w:val="none" w:sz="0" w:space="0" w:color="auto"/>
        <w:left w:val="none" w:sz="0" w:space="0" w:color="auto"/>
        <w:bottom w:val="none" w:sz="0" w:space="0" w:color="auto"/>
        <w:right w:val="none" w:sz="0" w:space="0" w:color="auto"/>
      </w:divBdr>
    </w:div>
    <w:div w:id="942304689">
      <w:bodyDiv w:val="1"/>
      <w:marLeft w:val="0"/>
      <w:marRight w:val="0"/>
      <w:marTop w:val="0"/>
      <w:marBottom w:val="0"/>
      <w:divBdr>
        <w:top w:val="none" w:sz="0" w:space="0" w:color="auto"/>
        <w:left w:val="none" w:sz="0" w:space="0" w:color="auto"/>
        <w:bottom w:val="none" w:sz="0" w:space="0" w:color="auto"/>
        <w:right w:val="none" w:sz="0" w:space="0" w:color="auto"/>
      </w:divBdr>
    </w:div>
    <w:div w:id="954794942">
      <w:bodyDiv w:val="1"/>
      <w:marLeft w:val="0"/>
      <w:marRight w:val="0"/>
      <w:marTop w:val="0"/>
      <w:marBottom w:val="0"/>
      <w:divBdr>
        <w:top w:val="none" w:sz="0" w:space="0" w:color="auto"/>
        <w:left w:val="none" w:sz="0" w:space="0" w:color="auto"/>
        <w:bottom w:val="none" w:sz="0" w:space="0" w:color="auto"/>
        <w:right w:val="none" w:sz="0" w:space="0" w:color="auto"/>
      </w:divBdr>
    </w:div>
    <w:div w:id="987511843">
      <w:bodyDiv w:val="1"/>
      <w:marLeft w:val="0"/>
      <w:marRight w:val="0"/>
      <w:marTop w:val="0"/>
      <w:marBottom w:val="0"/>
      <w:divBdr>
        <w:top w:val="none" w:sz="0" w:space="0" w:color="auto"/>
        <w:left w:val="none" w:sz="0" w:space="0" w:color="auto"/>
        <w:bottom w:val="none" w:sz="0" w:space="0" w:color="auto"/>
        <w:right w:val="none" w:sz="0" w:space="0" w:color="auto"/>
      </w:divBdr>
    </w:div>
    <w:div w:id="1017073433">
      <w:bodyDiv w:val="1"/>
      <w:marLeft w:val="0"/>
      <w:marRight w:val="0"/>
      <w:marTop w:val="0"/>
      <w:marBottom w:val="0"/>
      <w:divBdr>
        <w:top w:val="none" w:sz="0" w:space="0" w:color="auto"/>
        <w:left w:val="none" w:sz="0" w:space="0" w:color="auto"/>
        <w:bottom w:val="none" w:sz="0" w:space="0" w:color="auto"/>
        <w:right w:val="none" w:sz="0" w:space="0" w:color="auto"/>
      </w:divBdr>
    </w:div>
    <w:div w:id="1022974770">
      <w:bodyDiv w:val="1"/>
      <w:marLeft w:val="0"/>
      <w:marRight w:val="0"/>
      <w:marTop w:val="0"/>
      <w:marBottom w:val="0"/>
      <w:divBdr>
        <w:top w:val="none" w:sz="0" w:space="0" w:color="auto"/>
        <w:left w:val="none" w:sz="0" w:space="0" w:color="auto"/>
        <w:bottom w:val="none" w:sz="0" w:space="0" w:color="auto"/>
        <w:right w:val="none" w:sz="0" w:space="0" w:color="auto"/>
      </w:divBdr>
    </w:div>
    <w:div w:id="1044447477">
      <w:bodyDiv w:val="1"/>
      <w:marLeft w:val="0"/>
      <w:marRight w:val="0"/>
      <w:marTop w:val="0"/>
      <w:marBottom w:val="0"/>
      <w:divBdr>
        <w:top w:val="none" w:sz="0" w:space="0" w:color="auto"/>
        <w:left w:val="none" w:sz="0" w:space="0" w:color="auto"/>
        <w:bottom w:val="none" w:sz="0" w:space="0" w:color="auto"/>
        <w:right w:val="none" w:sz="0" w:space="0" w:color="auto"/>
      </w:divBdr>
    </w:div>
    <w:div w:id="1051920785">
      <w:bodyDiv w:val="1"/>
      <w:marLeft w:val="0"/>
      <w:marRight w:val="0"/>
      <w:marTop w:val="0"/>
      <w:marBottom w:val="0"/>
      <w:divBdr>
        <w:top w:val="none" w:sz="0" w:space="0" w:color="auto"/>
        <w:left w:val="none" w:sz="0" w:space="0" w:color="auto"/>
        <w:bottom w:val="none" w:sz="0" w:space="0" w:color="auto"/>
        <w:right w:val="none" w:sz="0" w:space="0" w:color="auto"/>
      </w:divBdr>
    </w:div>
    <w:div w:id="1060010862">
      <w:bodyDiv w:val="1"/>
      <w:marLeft w:val="0"/>
      <w:marRight w:val="0"/>
      <w:marTop w:val="0"/>
      <w:marBottom w:val="0"/>
      <w:divBdr>
        <w:top w:val="none" w:sz="0" w:space="0" w:color="auto"/>
        <w:left w:val="none" w:sz="0" w:space="0" w:color="auto"/>
        <w:bottom w:val="none" w:sz="0" w:space="0" w:color="auto"/>
        <w:right w:val="none" w:sz="0" w:space="0" w:color="auto"/>
      </w:divBdr>
    </w:div>
    <w:div w:id="1069645402">
      <w:bodyDiv w:val="1"/>
      <w:marLeft w:val="0"/>
      <w:marRight w:val="0"/>
      <w:marTop w:val="0"/>
      <w:marBottom w:val="0"/>
      <w:divBdr>
        <w:top w:val="none" w:sz="0" w:space="0" w:color="auto"/>
        <w:left w:val="none" w:sz="0" w:space="0" w:color="auto"/>
        <w:bottom w:val="none" w:sz="0" w:space="0" w:color="auto"/>
        <w:right w:val="none" w:sz="0" w:space="0" w:color="auto"/>
      </w:divBdr>
    </w:div>
    <w:div w:id="1078550993">
      <w:bodyDiv w:val="1"/>
      <w:marLeft w:val="0"/>
      <w:marRight w:val="0"/>
      <w:marTop w:val="0"/>
      <w:marBottom w:val="0"/>
      <w:divBdr>
        <w:top w:val="none" w:sz="0" w:space="0" w:color="auto"/>
        <w:left w:val="none" w:sz="0" w:space="0" w:color="auto"/>
        <w:bottom w:val="none" w:sz="0" w:space="0" w:color="auto"/>
        <w:right w:val="none" w:sz="0" w:space="0" w:color="auto"/>
      </w:divBdr>
    </w:div>
    <w:div w:id="1089958993">
      <w:bodyDiv w:val="1"/>
      <w:marLeft w:val="0"/>
      <w:marRight w:val="0"/>
      <w:marTop w:val="0"/>
      <w:marBottom w:val="0"/>
      <w:divBdr>
        <w:top w:val="none" w:sz="0" w:space="0" w:color="auto"/>
        <w:left w:val="none" w:sz="0" w:space="0" w:color="auto"/>
        <w:bottom w:val="none" w:sz="0" w:space="0" w:color="auto"/>
        <w:right w:val="none" w:sz="0" w:space="0" w:color="auto"/>
      </w:divBdr>
    </w:div>
    <w:div w:id="1091897284">
      <w:bodyDiv w:val="1"/>
      <w:marLeft w:val="0"/>
      <w:marRight w:val="0"/>
      <w:marTop w:val="0"/>
      <w:marBottom w:val="0"/>
      <w:divBdr>
        <w:top w:val="none" w:sz="0" w:space="0" w:color="auto"/>
        <w:left w:val="none" w:sz="0" w:space="0" w:color="auto"/>
        <w:bottom w:val="none" w:sz="0" w:space="0" w:color="auto"/>
        <w:right w:val="none" w:sz="0" w:space="0" w:color="auto"/>
      </w:divBdr>
    </w:div>
    <w:div w:id="1093548877">
      <w:bodyDiv w:val="1"/>
      <w:marLeft w:val="0"/>
      <w:marRight w:val="0"/>
      <w:marTop w:val="0"/>
      <w:marBottom w:val="0"/>
      <w:divBdr>
        <w:top w:val="none" w:sz="0" w:space="0" w:color="auto"/>
        <w:left w:val="none" w:sz="0" w:space="0" w:color="auto"/>
        <w:bottom w:val="none" w:sz="0" w:space="0" w:color="auto"/>
        <w:right w:val="none" w:sz="0" w:space="0" w:color="auto"/>
      </w:divBdr>
    </w:div>
    <w:div w:id="1113093740">
      <w:bodyDiv w:val="1"/>
      <w:marLeft w:val="0"/>
      <w:marRight w:val="0"/>
      <w:marTop w:val="0"/>
      <w:marBottom w:val="0"/>
      <w:divBdr>
        <w:top w:val="none" w:sz="0" w:space="0" w:color="auto"/>
        <w:left w:val="none" w:sz="0" w:space="0" w:color="auto"/>
        <w:bottom w:val="none" w:sz="0" w:space="0" w:color="auto"/>
        <w:right w:val="none" w:sz="0" w:space="0" w:color="auto"/>
      </w:divBdr>
    </w:div>
    <w:div w:id="1122261174">
      <w:bodyDiv w:val="1"/>
      <w:marLeft w:val="0"/>
      <w:marRight w:val="0"/>
      <w:marTop w:val="0"/>
      <w:marBottom w:val="0"/>
      <w:divBdr>
        <w:top w:val="none" w:sz="0" w:space="0" w:color="auto"/>
        <w:left w:val="none" w:sz="0" w:space="0" w:color="auto"/>
        <w:bottom w:val="none" w:sz="0" w:space="0" w:color="auto"/>
        <w:right w:val="none" w:sz="0" w:space="0" w:color="auto"/>
      </w:divBdr>
    </w:div>
    <w:div w:id="1122579953">
      <w:bodyDiv w:val="1"/>
      <w:marLeft w:val="0"/>
      <w:marRight w:val="0"/>
      <w:marTop w:val="0"/>
      <w:marBottom w:val="0"/>
      <w:divBdr>
        <w:top w:val="none" w:sz="0" w:space="0" w:color="auto"/>
        <w:left w:val="none" w:sz="0" w:space="0" w:color="auto"/>
        <w:bottom w:val="none" w:sz="0" w:space="0" w:color="auto"/>
        <w:right w:val="none" w:sz="0" w:space="0" w:color="auto"/>
      </w:divBdr>
    </w:div>
    <w:div w:id="1130636419">
      <w:bodyDiv w:val="1"/>
      <w:marLeft w:val="0"/>
      <w:marRight w:val="0"/>
      <w:marTop w:val="0"/>
      <w:marBottom w:val="0"/>
      <w:divBdr>
        <w:top w:val="none" w:sz="0" w:space="0" w:color="auto"/>
        <w:left w:val="none" w:sz="0" w:space="0" w:color="auto"/>
        <w:bottom w:val="none" w:sz="0" w:space="0" w:color="auto"/>
        <w:right w:val="none" w:sz="0" w:space="0" w:color="auto"/>
      </w:divBdr>
    </w:div>
    <w:div w:id="1150370619">
      <w:bodyDiv w:val="1"/>
      <w:marLeft w:val="0"/>
      <w:marRight w:val="0"/>
      <w:marTop w:val="0"/>
      <w:marBottom w:val="0"/>
      <w:divBdr>
        <w:top w:val="none" w:sz="0" w:space="0" w:color="auto"/>
        <w:left w:val="none" w:sz="0" w:space="0" w:color="auto"/>
        <w:bottom w:val="none" w:sz="0" w:space="0" w:color="auto"/>
        <w:right w:val="none" w:sz="0" w:space="0" w:color="auto"/>
      </w:divBdr>
    </w:div>
    <w:div w:id="1151754020">
      <w:bodyDiv w:val="1"/>
      <w:marLeft w:val="0"/>
      <w:marRight w:val="0"/>
      <w:marTop w:val="0"/>
      <w:marBottom w:val="0"/>
      <w:divBdr>
        <w:top w:val="none" w:sz="0" w:space="0" w:color="auto"/>
        <w:left w:val="none" w:sz="0" w:space="0" w:color="auto"/>
        <w:bottom w:val="none" w:sz="0" w:space="0" w:color="auto"/>
        <w:right w:val="none" w:sz="0" w:space="0" w:color="auto"/>
      </w:divBdr>
    </w:div>
    <w:div w:id="1158112001">
      <w:bodyDiv w:val="1"/>
      <w:marLeft w:val="0"/>
      <w:marRight w:val="0"/>
      <w:marTop w:val="0"/>
      <w:marBottom w:val="0"/>
      <w:divBdr>
        <w:top w:val="none" w:sz="0" w:space="0" w:color="auto"/>
        <w:left w:val="none" w:sz="0" w:space="0" w:color="auto"/>
        <w:bottom w:val="none" w:sz="0" w:space="0" w:color="auto"/>
        <w:right w:val="none" w:sz="0" w:space="0" w:color="auto"/>
      </w:divBdr>
    </w:div>
    <w:div w:id="1179737490">
      <w:bodyDiv w:val="1"/>
      <w:marLeft w:val="0"/>
      <w:marRight w:val="0"/>
      <w:marTop w:val="0"/>
      <w:marBottom w:val="0"/>
      <w:divBdr>
        <w:top w:val="none" w:sz="0" w:space="0" w:color="auto"/>
        <w:left w:val="none" w:sz="0" w:space="0" w:color="auto"/>
        <w:bottom w:val="none" w:sz="0" w:space="0" w:color="auto"/>
        <w:right w:val="none" w:sz="0" w:space="0" w:color="auto"/>
      </w:divBdr>
    </w:div>
    <w:div w:id="1190992335">
      <w:bodyDiv w:val="1"/>
      <w:marLeft w:val="0"/>
      <w:marRight w:val="0"/>
      <w:marTop w:val="0"/>
      <w:marBottom w:val="0"/>
      <w:divBdr>
        <w:top w:val="none" w:sz="0" w:space="0" w:color="auto"/>
        <w:left w:val="none" w:sz="0" w:space="0" w:color="auto"/>
        <w:bottom w:val="none" w:sz="0" w:space="0" w:color="auto"/>
        <w:right w:val="none" w:sz="0" w:space="0" w:color="auto"/>
      </w:divBdr>
    </w:div>
    <w:div w:id="1197426276">
      <w:bodyDiv w:val="1"/>
      <w:marLeft w:val="0"/>
      <w:marRight w:val="0"/>
      <w:marTop w:val="0"/>
      <w:marBottom w:val="0"/>
      <w:divBdr>
        <w:top w:val="none" w:sz="0" w:space="0" w:color="auto"/>
        <w:left w:val="none" w:sz="0" w:space="0" w:color="auto"/>
        <w:bottom w:val="none" w:sz="0" w:space="0" w:color="auto"/>
        <w:right w:val="none" w:sz="0" w:space="0" w:color="auto"/>
      </w:divBdr>
    </w:div>
    <w:div w:id="1212880889">
      <w:bodyDiv w:val="1"/>
      <w:marLeft w:val="0"/>
      <w:marRight w:val="0"/>
      <w:marTop w:val="0"/>
      <w:marBottom w:val="0"/>
      <w:divBdr>
        <w:top w:val="none" w:sz="0" w:space="0" w:color="auto"/>
        <w:left w:val="none" w:sz="0" w:space="0" w:color="auto"/>
        <w:bottom w:val="none" w:sz="0" w:space="0" w:color="auto"/>
        <w:right w:val="none" w:sz="0" w:space="0" w:color="auto"/>
      </w:divBdr>
    </w:div>
    <w:div w:id="1216040799">
      <w:bodyDiv w:val="1"/>
      <w:marLeft w:val="0"/>
      <w:marRight w:val="0"/>
      <w:marTop w:val="0"/>
      <w:marBottom w:val="0"/>
      <w:divBdr>
        <w:top w:val="none" w:sz="0" w:space="0" w:color="auto"/>
        <w:left w:val="none" w:sz="0" w:space="0" w:color="auto"/>
        <w:bottom w:val="none" w:sz="0" w:space="0" w:color="auto"/>
        <w:right w:val="none" w:sz="0" w:space="0" w:color="auto"/>
      </w:divBdr>
    </w:div>
    <w:div w:id="1218976994">
      <w:bodyDiv w:val="1"/>
      <w:marLeft w:val="0"/>
      <w:marRight w:val="0"/>
      <w:marTop w:val="0"/>
      <w:marBottom w:val="0"/>
      <w:divBdr>
        <w:top w:val="none" w:sz="0" w:space="0" w:color="auto"/>
        <w:left w:val="none" w:sz="0" w:space="0" w:color="auto"/>
        <w:bottom w:val="none" w:sz="0" w:space="0" w:color="auto"/>
        <w:right w:val="none" w:sz="0" w:space="0" w:color="auto"/>
      </w:divBdr>
    </w:div>
    <w:div w:id="1220895773">
      <w:bodyDiv w:val="1"/>
      <w:marLeft w:val="0"/>
      <w:marRight w:val="0"/>
      <w:marTop w:val="0"/>
      <w:marBottom w:val="0"/>
      <w:divBdr>
        <w:top w:val="none" w:sz="0" w:space="0" w:color="auto"/>
        <w:left w:val="none" w:sz="0" w:space="0" w:color="auto"/>
        <w:bottom w:val="none" w:sz="0" w:space="0" w:color="auto"/>
        <w:right w:val="none" w:sz="0" w:space="0" w:color="auto"/>
      </w:divBdr>
    </w:div>
    <w:div w:id="1238394335">
      <w:bodyDiv w:val="1"/>
      <w:marLeft w:val="0"/>
      <w:marRight w:val="0"/>
      <w:marTop w:val="0"/>
      <w:marBottom w:val="0"/>
      <w:divBdr>
        <w:top w:val="none" w:sz="0" w:space="0" w:color="auto"/>
        <w:left w:val="none" w:sz="0" w:space="0" w:color="auto"/>
        <w:bottom w:val="none" w:sz="0" w:space="0" w:color="auto"/>
        <w:right w:val="none" w:sz="0" w:space="0" w:color="auto"/>
      </w:divBdr>
    </w:div>
    <w:div w:id="1267343100">
      <w:bodyDiv w:val="1"/>
      <w:marLeft w:val="0"/>
      <w:marRight w:val="0"/>
      <w:marTop w:val="0"/>
      <w:marBottom w:val="0"/>
      <w:divBdr>
        <w:top w:val="none" w:sz="0" w:space="0" w:color="auto"/>
        <w:left w:val="none" w:sz="0" w:space="0" w:color="auto"/>
        <w:bottom w:val="none" w:sz="0" w:space="0" w:color="auto"/>
        <w:right w:val="none" w:sz="0" w:space="0" w:color="auto"/>
      </w:divBdr>
    </w:div>
    <w:div w:id="1268192009">
      <w:bodyDiv w:val="1"/>
      <w:marLeft w:val="0"/>
      <w:marRight w:val="0"/>
      <w:marTop w:val="0"/>
      <w:marBottom w:val="0"/>
      <w:divBdr>
        <w:top w:val="none" w:sz="0" w:space="0" w:color="auto"/>
        <w:left w:val="none" w:sz="0" w:space="0" w:color="auto"/>
        <w:bottom w:val="none" w:sz="0" w:space="0" w:color="auto"/>
        <w:right w:val="none" w:sz="0" w:space="0" w:color="auto"/>
      </w:divBdr>
    </w:div>
    <w:div w:id="1272394176">
      <w:bodyDiv w:val="1"/>
      <w:marLeft w:val="0"/>
      <w:marRight w:val="0"/>
      <w:marTop w:val="0"/>
      <w:marBottom w:val="0"/>
      <w:divBdr>
        <w:top w:val="none" w:sz="0" w:space="0" w:color="auto"/>
        <w:left w:val="none" w:sz="0" w:space="0" w:color="auto"/>
        <w:bottom w:val="none" w:sz="0" w:space="0" w:color="auto"/>
        <w:right w:val="none" w:sz="0" w:space="0" w:color="auto"/>
      </w:divBdr>
    </w:div>
    <w:div w:id="1282348408">
      <w:bodyDiv w:val="1"/>
      <w:marLeft w:val="0"/>
      <w:marRight w:val="0"/>
      <w:marTop w:val="0"/>
      <w:marBottom w:val="0"/>
      <w:divBdr>
        <w:top w:val="none" w:sz="0" w:space="0" w:color="auto"/>
        <w:left w:val="none" w:sz="0" w:space="0" w:color="auto"/>
        <w:bottom w:val="none" w:sz="0" w:space="0" w:color="auto"/>
        <w:right w:val="none" w:sz="0" w:space="0" w:color="auto"/>
      </w:divBdr>
    </w:div>
    <w:div w:id="1287200523">
      <w:bodyDiv w:val="1"/>
      <w:marLeft w:val="0"/>
      <w:marRight w:val="0"/>
      <w:marTop w:val="0"/>
      <w:marBottom w:val="0"/>
      <w:divBdr>
        <w:top w:val="none" w:sz="0" w:space="0" w:color="auto"/>
        <w:left w:val="none" w:sz="0" w:space="0" w:color="auto"/>
        <w:bottom w:val="none" w:sz="0" w:space="0" w:color="auto"/>
        <w:right w:val="none" w:sz="0" w:space="0" w:color="auto"/>
      </w:divBdr>
    </w:div>
    <w:div w:id="1302617858">
      <w:bodyDiv w:val="1"/>
      <w:marLeft w:val="0"/>
      <w:marRight w:val="0"/>
      <w:marTop w:val="0"/>
      <w:marBottom w:val="0"/>
      <w:divBdr>
        <w:top w:val="none" w:sz="0" w:space="0" w:color="auto"/>
        <w:left w:val="none" w:sz="0" w:space="0" w:color="auto"/>
        <w:bottom w:val="none" w:sz="0" w:space="0" w:color="auto"/>
        <w:right w:val="none" w:sz="0" w:space="0" w:color="auto"/>
      </w:divBdr>
    </w:div>
    <w:div w:id="1314530281">
      <w:bodyDiv w:val="1"/>
      <w:marLeft w:val="0"/>
      <w:marRight w:val="0"/>
      <w:marTop w:val="0"/>
      <w:marBottom w:val="0"/>
      <w:divBdr>
        <w:top w:val="none" w:sz="0" w:space="0" w:color="auto"/>
        <w:left w:val="none" w:sz="0" w:space="0" w:color="auto"/>
        <w:bottom w:val="none" w:sz="0" w:space="0" w:color="auto"/>
        <w:right w:val="none" w:sz="0" w:space="0" w:color="auto"/>
      </w:divBdr>
    </w:div>
    <w:div w:id="1323312932">
      <w:bodyDiv w:val="1"/>
      <w:marLeft w:val="0"/>
      <w:marRight w:val="0"/>
      <w:marTop w:val="0"/>
      <w:marBottom w:val="0"/>
      <w:divBdr>
        <w:top w:val="none" w:sz="0" w:space="0" w:color="auto"/>
        <w:left w:val="none" w:sz="0" w:space="0" w:color="auto"/>
        <w:bottom w:val="none" w:sz="0" w:space="0" w:color="auto"/>
        <w:right w:val="none" w:sz="0" w:space="0" w:color="auto"/>
      </w:divBdr>
    </w:div>
    <w:div w:id="1359619943">
      <w:bodyDiv w:val="1"/>
      <w:marLeft w:val="0"/>
      <w:marRight w:val="0"/>
      <w:marTop w:val="0"/>
      <w:marBottom w:val="0"/>
      <w:divBdr>
        <w:top w:val="none" w:sz="0" w:space="0" w:color="auto"/>
        <w:left w:val="none" w:sz="0" w:space="0" w:color="auto"/>
        <w:bottom w:val="none" w:sz="0" w:space="0" w:color="auto"/>
        <w:right w:val="none" w:sz="0" w:space="0" w:color="auto"/>
      </w:divBdr>
    </w:div>
    <w:div w:id="1364212739">
      <w:bodyDiv w:val="1"/>
      <w:marLeft w:val="0"/>
      <w:marRight w:val="0"/>
      <w:marTop w:val="0"/>
      <w:marBottom w:val="0"/>
      <w:divBdr>
        <w:top w:val="none" w:sz="0" w:space="0" w:color="auto"/>
        <w:left w:val="none" w:sz="0" w:space="0" w:color="auto"/>
        <w:bottom w:val="none" w:sz="0" w:space="0" w:color="auto"/>
        <w:right w:val="none" w:sz="0" w:space="0" w:color="auto"/>
      </w:divBdr>
    </w:div>
    <w:div w:id="1371346413">
      <w:bodyDiv w:val="1"/>
      <w:marLeft w:val="0"/>
      <w:marRight w:val="0"/>
      <w:marTop w:val="0"/>
      <w:marBottom w:val="0"/>
      <w:divBdr>
        <w:top w:val="none" w:sz="0" w:space="0" w:color="auto"/>
        <w:left w:val="none" w:sz="0" w:space="0" w:color="auto"/>
        <w:bottom w:val="none" w:sz="0" w:space="0" w:color="auto"/>
        <w:right w:val="none" w:sz="0" w:space="0" w:color="auto"/>
      </w:divBdr>
    </w:div>
    <w:div w:id="1378047983">
      <w:bodyDiv w:val="1"/>
      <w:marLeft w:val="0"/>
      <w:marRight w:val="0"/>
      <w:marTop w:val="0"/>
      <w:marBottom w:val="0"/>
      <w:divBdr>
        <w:top w:val="none" w:sz="0" w:space="0" w:color="auto"/>
        <w:left w:val="none" w:sz="0" w:space="0" w:color="auto"/>
        <w:bottom w:val="none" w:sz="0" w:space="0" w:color="auto"/>
        <w:right w:val="none" w:sz="0" w:space="0" w:color="auto"/>
      </w:divBdr>
    </w:div>
    <w:div w:id="1382173434">
      <w:bodyDiv w:val="1"/>
      <w:marLeft w:val="0"/>
      <w:marRight w:val="0"/>
      <w:marTop w:val="0"/>
      <w:marBottom w:val="0"/>
      <w:divBdr>
        <w:top w:val="none" w:sz="0" w:space="0" w:color="auto"/>
        <w:left w:val="none" w:sz="0" w:space="0" w:color="auto"/>
        <w:bottom w:val="none" w:sz="0" w:space="0" w:color="auto"/>
        <w:right w:val="none" w:sz="0" w:space="0" w:color="auto"/>
      </w:divBdr>
    </w:div>
    <w:div w:id="1389838137">
      <w:bodyDiv w:val="1"/>
      <w:marLeft w:val="0"/>
      <w:marRight w:val="0"/>
      <w:marTop w:val="0"/>
      <w:marBottom w:val="0"/>
      <w:divBdr>
        <w:top w:val="none" w:sz="0" w:space="0" w:color="auto"/>
        <w:left w:val="none" w:sz="0" w:space="0" w:color="auto"/>
        <w:bottom w:val="none" w:sz="0" w:space="0" w:color="auto"/>
        <w:right w:val="none" w:sz="0" w:space="0" w:color="auto"/>
      </w:divBdr>
    </w:div>
    <w:div w:id="1391229884">
      <w:bodyDiv w:val="1"/>
      <w:marLeft w:val="0"/>
      <w:marRight w:val="0"/>
      <w:marTop w:val="0"/>
      <w:marBottom w:val="0"/>
      <w:divBdr>
        <w:top w:val="none" w:sz="0" w:space="0" w:color="auto"/>
        <w:left w:val="none" w:sz="0" w:space="0" w:color="auto"/>
        <w:bottom w:val="none" w:sz="0" w:space="0" w:color="auto"/>
        <w:right w:val="none" w:sz="0" w:space="0" w:color="auto"/>
      </w:divBdr>
    </w:div>
    <w:div w:id="1393773461">
      <w:bodyDiv w:val="1"/>
      <w:marLeft w:val="0"/>
      <w:marRight w:val="0"/>
      <w:marTop w:val="0"/>
      <w:marBottom w:val="0"/>
      <w:divBdr>
        <w:top w:val="none" w:sz="0" w:space="0" w:color="auto"/>
        <w:left w:val="none" w:sz="0" w:space="0" w:color="auto"/>
        <w:bottom w:val="none" w:sz="0" w:space="0" w:color="auto"/>
        <w:right w:val="none" w:sz="0" w:space="0" w:color="auto"/>
      </w:divBdr>
    </w:div>
    <w:div w:id="1408108537">
      <w:bodyDiv w:val="1"/>
      <w:marLeft w:val="0"/>
      <w:marRight w:val="0"/>
      <w:marTop w:val="0"/>
      <w:marBottom w:val="0"/>
      <w:divBdr>
        <w:top w:val="none" w:sz="0" w:space="0" w:color="auto"/>
        <w:left w:val="none" w:sz="0" w:space="0" w:color="auto"/>
        <w:bottom w:val="none" w:sz="0" w:space="0" w:color="auto"/>
        <w:right w:val="none" w:sz="0" w:space="0" w:color="auto"/>
      </w:divBdr>
    </w:div>
    <w:div w:id="1412770341">
      <w:bodyDiv w:val="1"/>
      <w:marLeft w:val="0"/>
      <w:marRight w:val="0"/>
      <w:marTop w:val="0"/>
      <w:marBottom w:val="0"/>
      <w:divBdr>
        <w:top w:val="none" w:sz="0" w:space="0" w:color="auto"/>
        <w:left w:val="none" w:sz="0" w:space="0" w:color="auto"/>
        <w:bottom w:val="none" w:sz="0" w:space="0" w:color="auto"/>
        <w:right w:val="none" w:sz="0" w:space="0" w:color="auto"/>
      </w:divBdr>
    </w:div>
    <w:div w:id="1414742585">
      <w:bodyDiv w:val="1"/>
      <w:marLeft w:val="0"/>
      <w:marRight w:val="0"/>
      <w:marTop w:val="0"/>
      <w:marBottom w:val="0"/>
      <w:divBdr>
        <w:top w:val="none" w:sz="0" w:space="0" w:color="auto"/>
        <w:left w:val="none" w:sz="0" w:space="0" w:color="auto"/>
        <w:bottom w:val="none" w:sz="0" w:space="0" w:color="auto"/>
        <w:right w:val="none" w:sz="0" w:space="0" w:color="auto"/>
      </w:divBdr>
    </w:div>
    <w:div w:id="1424105128">
      <w:bodyDiv w:val="1"/>
      <w:marLeft w:val="0"/>
      <w:marRight w:val="0"/>
      <w:marTop w:val="0"/>
      <w:marBottom w:val="0"/>
      <w:divBdr>
        <w:top w:val="none" w:sz="0" w:space="0" w:color="auto"/>
        <w:left w:val="none" w:sz="0" w:space="0" w:color="auto"/>
        <w:bottom w:val="none" w:sz="0" w:space="0" w:color="auto"/>
        <w:right w:val="none" w:sz="0" w:space="0" w:color="auto"/>
      </w:divBdr>
    </w:div>
    <w:div w:id="1443569591">
      <w:bodyDiv w:val="1"/>
      <w:marLeft w:val="0"/>
      <w:marRight w:val="0"/>
      <w:marTop w:val="0"/>
      <w:marBottom w:val="0"/>
      <w:divBdr>
        <w:top w:val="none" w:sz="0" w:space="0" w:color="auto"/>
        <w:left w:val="none" w:sz="0" w:space="0" w:color="auto"/>
        <w:bottom w:val="none" w:sz="0" w:space="0" w:color="auto"/>
        <w:right w:val="none" w:sz="0" w:space="0" w:color="auto"/>
      </w:divBdr>
    </w:div>
    <w:div w:id="1456679802">
      <w:bodyDiv w:val="1"/>
      <w:marLeft w:val="0"/>
      <w:marRight w:val="0"/>
      <w:marTop w:val="0"/>
      <w:marBottom w:val="0"/>
      <w:divBdr>
        <w:top w:val="none" w:sz="0" w:space="0" w:color="auto"/>
        <w:left w:val="none" w:sz="0" w:space="0" w:color="auto"/>
        <w:bottom w:val="none" w:sz="0" w:space="0" w:color="auto"/>
        <w:right w:val="none" w:sz="0" w:space="0" w:color="auto"/>
      </w:divBdr>
    </w:div>
    <w:div w:id="1460300486">
      <w:bodyDiv w:val="1"/>
      <w:marLeft w:val="0"/>
      <w:marRight w:val="0"/>
      <w:marTop w:val="0"/>
      <w:marBottom w:val="0"/>
      <w:divBdr>
        <w:top w:val="none" w:sz="0" w:space="0" w:color="auto"/>
        <w:left w:val="none" w:sz="0" w:space="0" w:color="auto"/>
        <w:bottom w:val="none" w:sz="0" w:space="0" w:color="auto"/>
        <w:right w:val="none" w:sz="0" w:space="0" w:color="auto"/>
      </w:divBdr>
    </w:div>
    <w:div w:id="1467701375">
      <w:bodyDiv w:val="1"/>
      <w:marLeft w:val="0"/>
      <w:marRight w:val="0"/>
      <w:marTop w:val="0"/>
      <w:marBottom w:val="0"/>
      <w:divBdr>
        <w:top w:val="none" w:sz="0" w:space="0" w:color="auto"/>
        <w:left w:val="none" w:sz="0" w:space="0" w:color="auto"/>
        <w:bottom w:val="none" w:sz="0" w:space="0" w:color="auto"/>
        <w:right w:val="none" w:sz="0" w:space="0" w:color="auto"/>
      </w:divBdr>
    </w:div>
    <w:div w:id="1475176133">
      <w:bodyDiv w:val="1"/>
      <w:marLeft w:val="0"/>
      <w:marRight w:val="0"/>
      <w:marTop w:val="0"/>
      <w:marBottom w:val="0"/>
      <w:divBdr>
        <w:top w:val="none" w:sz="0" w:space="0" w:color="auto"/>
        <w:left w:val="none" w:sz="0" w:space="0" w:color="auto"/>
        <w:bottom w:val="none" w:sz="0" w:space="0" w:color="auto"/>
        <w:right w:val="none" w:sz="0" w:space="0" w:color="auto"/>
      </w:divBdr>
    </w:div>
    <w:div w:id="1516116396">
      <w:bodyDiv w:val="1"/>
      <w:marLeft w:val="0"/>
      <w:marRight w:val="0"/>
      <w:marTop w:val="0"/>
      <w:marBottom w:val="0"/>
      <w:divBdr>
        <w:top w:val="none" w:sz="0" w:space="0" w:color="auto"/>
        <w:left w:val="none" w:sz="0" w:space="0" w:color="auto"/>
        <w:bottom w:val="none" w:sz="0" w:space="0" w:color="auto"/>
        <w:right w:val="none" w:sz="0" w:space="0" w:color="auto"/>
      </w:divBdr>
    </w:div>
    <w:div w:id="1517427505">
      <w:bodyDiv w:val="1"/>
      <w:marLeft w:val="0"/>
      <w:marRight w:val="0"/>
      <w:marTop w:val="0"/>
      <w:marBottom w:val="0"/>
      <w:divBdr>
        <w:top w:val="none" w:sz="0" w:space="0" w:color="auto"/>
        <w:left w:val="none" w:sz="0" w:space="0" w:color="auto"/>
        <w:bottom w:val="none" w:sz="0" w:space="0" w:color="auto"/>
        <w:right w:val="none" w:sz="0" w:space="0" w:color="auto"/>
      </w:divBdr>
    </w:div>
    <w:div w:id="1522813993">
      <w:bodyDiv w:val="1"/>
      <w:marLeft w:val="0"/>
      <w:marRight w:val="0"/>
      <w:marTop w:val="0"/>
      <w:marBottom w:val="0"/>
      <w:divBdr>
        <w:top w:val="none" w:sz="0" w:space="0" w:color="auto"/>
        <w:left w:val="none" w:sz="0" w:space="0" w:color="auto"/>
        <w:bottom w:val="none" w:sz="0" w:space="0" w:color="auto"/>
        <w:right w:val="none" w:sz="0" w:space="0" w:color="auto"/>
      </w:divBdr>
    </w:div>
    <w:div w:id="1531340445">
      <w:bodyDiv w:val="1"/>
      <w:marLeft w:val="0"/>
      <w:marRight w:val="0"/>
      <w:marTop w:val="0"/>
      <w:marBottom w:val="0"/>
      <w:divBdr>
        <w:top w:val="none" w:sz="0" w:space="0" w:color="auto"/>
        <w:left w:val="none" w:sz="0" w:space="0" w:color="auto"/>
        <w:bottom w:val="none" w:sz="0" w:space="0" w:color="auto"/>
        <w:right w:val="none" w:sz="0" w:space="0" w:color="auto"/>
      </w:divBdr>
    </w:div>
    <w:div w:id="1532110357">
      <w:bodyDiv w:val="1"/>
      <w:marLeft w:val="0"/>
      <w:marRight w:val="0"/>
      <w:marTop w:val="0"/>
      <w:marBottom w:val="0"/>
      <w:divBdr>
        <w:top w:val="none" w:sz="0" w:space="0" w:color="auto"/>
        <w:left w:val="none" w:sz="0" w:space="0" w:color="auto"/>
        <w:bottom w:val="none" w:sz="0" w:space="0" w:color="auto"/>
        <w:right w:val="none" w:sz="0" w:space="0" w:color="auto"/>
      </w:divBdr>
    </w:div>
    <w:div w:id="1538851422">
      <w:bodyDiv w:val="1"/>
      <w:marLeft w:val="0"/>
      <w:marRight w:val="0"/>
      <w:marTop w:val="0"/>
      <w:marBottom w:val="0"/>
      <w:divBdr>
        <w:top w:val="none" w:sz="0" w:space="0" w:color="auto"/>
        <w:left w:val="none" w:sz="0" w:space="0" w:color="auto"/>
        <w:bottom w:val="none" w:sz="0" w:space="0" w:color="auto"/>
        <w:right w:val="none" w:sz="0" w:space="0" w:color="auto"/>
      </w:divBdr>
    </w:div>
    <w:div w:id="1546525738">
      <w:bodyDiv w:val="1"/>
      <w:marLeft w:val="0"/>
      <w:marRight w:val="0"/>
      <w:marTop w:val="0"/>
      <w:marBottom w:val="0"/>
      <w:divBdr>
        <w:top w:val="none" w:sz="0" w:space="0" w:color="auto"/>
        <w:left w:val="none" w:sz="0" w:space="0" w:color="auto"/>
        <w:bottom w:val="none" w:sz="0" w:space="0" w:color="auto"/>
        <w:right w:val="none" w:sz="0" w:space="0" w:color="auto"/>
      </w:divBdr>
    </w:div>
    <w:div w:id="1555503050">
      <w:bodyDiv w:val="1"/>
      <w:marLeft w:val="0"/>
      <w:marRight w:val="0"/>
      <w:marTop w:val="0"/>
      <w:marBottom w:val="0"/>
      <w:divBdr>
        <w:top w:val="none" w:sz="0" w:space="0" w:color="auto"/>
        <w:left w:val="none" w:sz="0" w:space="0" w:color="auto"/>
        <w:bottom w:val="none" w:sz="0" w:space="0" w:color="auto"/>
        <w:right w:val="none" w:sz="0" w:space="0" w:color="auto"/>
      </w:divBdr>
    </w:div>
    <w:div w:id="1585072847">
      <w:bodyDiv w:val="1"/>
      <w:marLeft w:val="0"/>
      <w:marRight w:val="0"/>
      <w:marTop w:val="0"/>
      <w:marBottom w:val="0"/>
      <w:divBdr>
        <w:top w:val="none" w:sz="0" w:space="0" w:color="auto"/>
        <w:left w:val="none" w:sz="0" w:space="0" w:color="auto"/>
        <w:bottom w:val="none" w:sz="0" w:space="0" w:color="auto"/>
        <w:right w:val="none" w:sz="0" w:space="0" w:color="auto"/>
      </w:divBdr>
    </w:div>
    <w:div w:id="1590773854">
      <w:bodyDiv w:val="1"/>
      <w:marLeft w:val="0"/>
      <w:marRight w:val="0"/>
      <w:marTop w:val="0"/>
      <w:marBottom w:val="0"/>
      <w:divBdr>
        <w:top w:val="none" w:sz="0" w:space="0" w:color="auto"/>
        <w:left w:val="none" w:sz="0" w:space="0" w:color="auto"/>
        <w:bottom w:val="none" w:sz="0" w:space="0" w:color="auto"/>
        <w:right w:val="none" w:sz="0" w:space="0" w:color="auto"/>
      </w:divBdr>
    </w:div>
    <w:div w:id="1593856902">
      <w:bodyDiv w:val="1"/>
      <w:marLeft w:val="0"/>
      <w:marRight w:val="0"/>
      <w:marTop w:val="0"/>
      <w:marBottom w:val="0"/>
      <w:divBdr>
        <w:top w:val="none" w:sz="0" w:space="0" w:color="auto"/>
        <w:left w:val="none" w:sz="0" w:space="0" w:color="auto"/>
        <w:bottom w:val="none" w:sz="0" w:space="0" w:color="auto"/>
        <w:right w:val="none" w:sz="0" w:space="0" w:color="auto"/>
      </w:divBdr>
    </w:div>
    <w:div w:id="1602759091">
      <w:bodyDiv w:val="1"/>
      <w:marLeft w:val="0"/>
      <w:marRight w:val="0"/>
      <w:marTop w:val="0"/>
      <w:marBottom w:val="0"/>
      <w:divBdr>
        <w:top w:val="none" w:sz="0" w:space="0" w:color="auto"/>
        <w:left w:val="none" w:sz="0" w:space="0" w:color="auto"/>
        <w:bottom w:val="none" w:sz="0" w:space="0" w:color="auto"/>
        <w:right w:val="none" w:sz="0" w:space="0" w:color="auto"/>
      </w:divBdr>
    </w:div>
    <w:div w:id="1610042835">
      <w:bodyDiv w:val="1"/>
      <w:marLeft w:val="0"/>
      <w:marRight w:val="0"/>
      <w:marTop w:val="0"/>
      <w:marBottom w:val="0"/>
      <w:divBdr>
        <w:top w:val="none" w:sz="0" w:space="0" w:color="auto"/>
        <w:left w:val="none" w:sz="0" w:space="0" w:color="auto"/>
        <w:bottom w:val="none" w:sz="0" w:space="0" w:color="auto"/>
        <w:right w:val="none" w:sz="0" w:space="0" w:color="auto"/>
      </w:divBdr>
    </w:div>
    <w:div w:id="1612859007">
      <w:bodyDiv w:val="1"/>
      <w:marLeft w:val="0"/>
      <w:marRight w:val="0"/>
      <w:marTop w:val="0"/>
      <w:marBottom w:val="0"/>
      <w:divBdr>
        <w:top w:val="none" w:sz="0" w:space="0" w:color="auto"/>
        <w:left w:val="none" w:sz="0" w:space="0" w:color="auto"/>
        <w:bottom w:val="none" w:sz="0" w:space="0" w:color="auto"/>
        <w:right w:val="none" w:sz="0" w:space="0" w:color="auto"/>
      </w:divBdr>
    </w:div>
    <w:div w:id="1615600098">
      <w:bodyDiv w:val="1"/>
      <w:marLeft w:val="0"/>
      <w:marRight w:val="0"/>
      <w:marTop w:val="0"/>
      <w:marBottom w:val="0"/>
      <w:divBdr>
        <w:top w:val="none" w:sz="0" w:space="0" w:color="auto"/>
        <w:left w:val="none" w:sz="0" w:space="0" w:color="auto"/>
        <w:bottom w:val="none" w:sz="0" w:space="0" w:color="auto"/>
        <w:right w:val="none" w:sz="0" w:space="0" w:color="auto"/>
      </w:divBdr>
    </w:div>
    <w:div w:id="1626276893">
      <w:bodyDiv w:val="1"/>
      <w:marLeft w:val="0"/>
      <w:marRight w:val="0"/>
      <w:marTop w:val="0"/>
      <w:marBottom w:val="0"/>
      <w:divBdr>
        <w:top w:val="none" w:sz="0" w:space="0" w:color="auto"/>
        <w:left w:val="none" w:sz="0" w:space="0" w:color="auto"/>
        <w:bottom w:val="none" w:sz="0" w:space="0" w:color="auto"/>
        <w:right w:val="none" w:sz="0" w:space="0" w:color="auto"/>
      </w:divBdr>
    </w:div>
    <w:div w:id="1646935968">
      <w:bodyDiv w:val="1"/>
      <w:marLeft w:val="0"/>
      <w:marRight w:val="0"/>
      <w:marTop w:val="0"/>
      <w:marBottom w:val="0"/>
      <w:divBdr>
        <w:top w:val="none" w:sz="0" w:space="0" w:color="auto"/>
        <w:left w:val="none" w:sz="0" w:space="0" w:color="auto"/>
        <w:bottom w:val="none" w:sz="0" w:space="0" w:color="auto"/>
        <w:right w:val="none" w:sz="0" w:space="0" w:color="auto"/>
      </w:divBdr>
    </w:div>
    <w:div w:id="1649824352">
      <w:bodyDiv w:val="1"/>
      <w:marLeft w:val="0"/>
      <w:marRight w:val="0"/>
      <w:marTop w:val="0"/>
      <w:marBottom w:val="0"/>
      <w:divBdr>
        <w:top w:val="none" w:sz="0" w:space="0" w:color="auto"/>
        <w:left w:val="none" w:sz="0" w:space="0" w:color="auto"/>
        <w:bottom w:val="none" w:sz="0" w:space="0" w:color="auto"/>
        <w:right w:val="none" w:sz="0" w:space="0" w:color="auto"/>
      </w:divBdr>
    </w:div>
    <w:div w:id="1666517188">
      <w:bodyDiv w:val="1"/>
      <w:marLeft w:val="0"/>
      <w:marRight w:val="0"/>
      <w:marTop w:val="0"/>
      <w:marBottom w:val="0"/>
      <w:divBdr>
        <w:top w:val="none" w:sz="0" w:space="0" w:color="auto"/>
        <w:left w:val="none" w:sz="0" w:space="0" w:color="auto"/>
        <w:bottom w:val="none" w:sz="0" w:space="0" w:color="auto"/>
        <w:right w:val="none" w:sz="0" w:space="0" w:color="auto"/>
      </w:divBdr>
    </w:div>
    <w:div w:id="1670985655">
      <w:bodyDiv w:val="1"/>
      <w:marLeft w:val="0"/>
      <w:marRight w:val="0"/>
      <w:marTop w:val="0"/>
      <w:marBottom w:val="0"/>
      <w:divBdr>
        <w:top w:val="none" w:sz="0" w:space="0" w:color="auto"/>
        <w:left w:val="none" w:sz="0" w:space="0" w:color="auto"/>
        <w:bottom w:val="none" w:sz="0" w:space="0" w:color="auto"/>
        <w:right w:val="none" w:sz="0" w:space="0" w:color="auto"/>
      </w:divBdr>
    </w:div>
    <w:div w:id="1696687874">
      <w:bodyDiv w:val="1"/>
      <w:marLeft w:val="0"/>
      <w:marRight w:val="0"/>
      <w:marTop w:val="0"/>
      <w:marBottom w:val="0"/>
      <w:divBdr>
        <w:top w:val="none" w:sz="0" w:space="0" w:color="auto"/>
        <w:left w:val="none" w:sz="0" w:space="0" w:color="auto"/>
        <w:bottom w:val="none" w:sz="0" w:space="0" w:color="auto"/>
        <w:right w:val="none" w:sz="0" w:space="0" w:color="auto"/>
      </w:divBdr>
    </w:div>
    <w:div w:id="1698432833">
      <w:bodyDiv w:val="1"/>
      <w:marLeft w:val="0"/>
      <w:marRight w:val="0"/>
      <w:marTop w:val="0"/>
      <w:marBottom w:val="0"/>
      <w:divBdr>
        <w:top w:val="none" w:sz="0" w:space="0" w:color="auto"/>
        <w:left w:val="none" w:sz="0" w:space="0" w:color="auto"/>
        <w:bottom w:val="none" w:sz="0" w:space="0" w:color="auto"/>
        <w:right w:val="none" w:sz="0" w:space="0" w:color="auto"/>
      </w:divBdr>
    </w:div>
    <w:div w:id="1706558350">
      <w:bodyDiv w:val="1"/>
      <w:marLeft w:val="0"/>
      <w:marRight w:val="0"/>
      <w:marTop w:val="0"/>
      <w:marBottom w:val="0"/>
      <w:divBdr>
        <w:top w:val="none" w:sz="0" w:space="0" w:color="auto"/>
        <w:left w:val="none" w:sz="0" w:space="0" w:color="auto"/>
        <w:bottom w:val="none" w:sz="0" w:space="0" w:color="auto"/>
        <w:right w:val="none" w:sz="0" w:space="0" w:color="auto"/>
      </w:divBdr>
    </w:div>
    <w:div w:id="1719429490">
      <w:bodyDiv w:val="1"/>
      <w:marLeft w:val="0"/>
      <w:marRight w:val="0"/>
      <w:marTop w:val="0"/>
      <w:marBottom w:val="0"/>
      <w:divBdr>
        <w:top w:val="none" w:sz="0" w:space="0" w:color="auto"/>
        <w:left w:val="none" w:sz="0" w:space="0" w:color="auto"/>
        <w:bottom w:val="none" w:sz="0" w:space="0" w:color="auto"/>
        <w:right w:val="none" w:sz="0" w:space="0" w:color="auto"/>
      </w:divBdr>
    </w:div>
    <w:div w:id="1721396443">
      <w:bodyDiv w:val="1"/>
      <w:marLeft w:val="0"/>
      <w:marRight w:val="0"/>
      <w:marTop w:val="0"/>
      <w:marBottom w:val="0"/>
      <w:divBdr>
        <w:top w:val="none" w:sz="0" w:space="0" w:color="auto"/>
        <w:left w:val="none" w:sz="0" w:space="0" w:color="auto"/>
        <w:bottom w:val="none" w:sz="0" w:space="0" w:color="auto"/>
        <w:right w:val="none" w:sz="0" w:space="0" w:color="auto"/>
      </w:divBdr>
    </w:div>
    <w:div w:id="1729306142">
      <w:bodyDiv w:val="1"/>
      <w:marLeft w:val="0"/>
      <w:marRight w:val="0"/>
      <w:marTop w:val="0"/>
      <w:marBottom w:val="0"/>
      <w:divBdr>
        <w:top w:val="none" w:sz="0" w:space="0" w:color="auto"/>
        <w:left w:val="none" w:sz="0" w:space="0" w:color="auto"/>
        <w:bottom w:val="none" w:sz="0" w:space="0" w:color="auto"/>
        <w:right w:val="none" w:sz="0" w:space="0" w:color="auto"/>
      </w:divBdr>
    </w:div>
    <w:div w:id="1729960328">
      <w:bodyDiv w:val="1"/>
      <w:marLeft w:val="0"/>
      <w:marRight w:val="0"/>
      <w:marTop w:val="0"/>
      <w:marBottom w:val="0"/>
      <w:divBdr>
        <w:top w:val="none" w:sz="0" w:space="0" w:color="auto"/>
        <w:left w:val="none" w:sz="0" w:space="0" w:color="auto"/>
        <w:bottom w:val="none" w:sz="0" w:space="0" w:color="auto"/>
        <w:right w:val="none" w:sz="0" w:space="0" w:color="auto"/>
      </w:divBdr>
    </w:div>
    <w:div w:id="1731687710">
      <w:bodyDiv w:val="1"/>
      <w:marLeft w:val="0"/>
      <w:marRight w:val="0"/>
      <w:marTop w:val="0"/>
      <w:marBottom w:val="0"/>
      <w:divBdr>
        <w:top w:val="none" w:sz="0" w:space="0" w:color="auto"/>
        <w:left w:val="none" w:sz="0" w:space="0" w:color="auto"/>
        <w:bottom w:val="none" w:sz="0" w:space="0" w:color="auto"/>
        <w:right w:val="none" w:sz="0" w:space="0" w:color="auto"/>
      </w:divBdr>
    </w:div>
    <w:div w:id="1749840663">
      <w:bodyDiv w:val="1"/>
      <w:marLeft w:val="0"/>
      <w:marRight w:val="0"/>
      <w:marTop w:val="0"/>
      <w:marBottom w:val="0"/>
      <w:divBdr>
        <w:top w:val="none" w:sz="0" w:space="0" w:color="auto"/>
        <w:left w:val="none" w:sz="0" w:space="0" w:color="auto"/>
        <w:bottom w:val="none" w:sz="0" w:space="0" w:color="auto"/>
        <w:right w:val="none" w:sz="0" w:space="0" w:color="auto"/>
      </w:divBdr>
    </w:div>
    <w:div w:id="1772817211">
      <w:bodyDiv w:val="1"/>
      <w:marLeft w:val="0"/>
      <w:marRight w:val="0"/>
      <w:marTop w:val="0"/>
      <w:marBottom w:val="0"/>
      <w:divBdr>
        <w:top w:val="none" w:sz="0" w:space="0" w:color="auto"/>
        <w:left w:val="none" w:sz="0" w:space="0" w:color="auto"/>
        <w:bottom w:val="none" w:sz="0" w:space="0" w:color="auto"/>
        <w:right w:val="none" w:sz="0" w:space="0" w:color="auto"/>
      </w:divBdr>
    </w:div>
    <w:div w:id="1774469360">
      <w:bodyDiv w:val="1"/>
      <w:marLeft w:val="0"/>
      <w:marRight w:val="0"/>
      <w:marTop w:val="0"/>
      <w:marBottom w:val="0"/>
      <w:divBdr>
        <w:top w:val="none" w:sz="0" w:space="0" w:color="auto"/>
        <w:left w:val="none" w:sz="0" w:space="0" w:color="auto"/>
        <w:bottom w:val="none" w:sz="0" w:space="0" w:color="auto"/>
        <w:right w:val="none" w:sz="0" w:space="0" w:color="auto"/>
      </w:divBdr>
    </w:div>
    <w:div w:id="1776166203">
      <w:bodyDiv w:val="1"/>
      <w:marLeft w:val="0"/>
      <w:marRight w:val="0"/>
      <w:marTop w:val="0"/>
      <w:marBottom w:val="0"/>
      <w:divBdr>
        <w:top w:val="none" w:sz="0" w:space="0" w:color="auto"/>
        <w:left w:val="none" w:sz="0" w:space="0" w:color="auto"/>
        <w:bottom w:val="none" w:sz="0" w:space="0" w:color="auto"/>
        <w:right w:val="none" w:sz="0" w:space="0" w:color="auto"/>
      </w:divBdr>
    </w:div>
    <w:div w:id="1780375152">
      <w:bodyDiv w:val="1"/>
      <w:marLeft w:val="0"/>
      <w:marRight w:val="0"/>
      <w:marTop w:val="0"/>
      <w:marBottom w:val="0"/>
      <w:divBdr>
        <w:top w:val="none" w:sz="0" w:space="0" w:color="auto"/>
        <w:left w:val="none" w:sz="0" w:space="0" w:color="auto"/>
        <w:bottom w:val="none" w:sz="0" w:space="0" w:color="auto"/>
        <w:right w:val="none" w:sz="0" w:space="0" w:color="auto"/>
      </w:divBdr>
    </w:div>
    <w:div w:id="1786844557">
      <w:bodyDiv w:val="1"/>
      <w:marLeft w:val="0"/>
      <w:marRight w:val="0"/>
      <w:marTop w:val="0"/>
      <w:marBottom w:val="0"/>
      <w:divBdr>
        <w:top w:val="none" w:sz="0" w:space="0" w:color="auto"/>
        <w:left w:val="none" w:sz="0" w:space="0" w:color="auto"/>
        <w:bottom w:val="none" w:sz="0" w:space="0" w:color="auto"/>
        <w:right w:val="none" w:sz="0" w:space="0" w:color="auto"/>
      </w:divBdr>
    </w:div>
    <w:div w:id="1788354872">
      <w:bodyDiv w:val="1"/>
      <w:marLeft w:val="0"/>
      <w:marRight w:val="0"/>
      <w:marTop w:val="0"/>
      <w:marBottom w:val="0"/>
      <w:divBdr>
        <w:top w:val="none" w:sz="0" w:space="0" w:color="auto"/>
        <w:left w:val="none" w:sz="0" w:space="0" w:color="auto"/>
        <w:bottom w:val="none" w:sz="0" w:space="0" w:color="auto"/>
        <w:right w:val="none" w:sz="0" w:space="0" w:color="auto"/>
      </w:divBdr>
    </w:div>
    <w:div w:id="1799302268">
      <w:bodyDiv w:val="1"/>
      <w:marLeft w:val="0"/>
      <w:marRight w:val="0"/>
      <w:marTop w:val="0"/>
      <w:marBottom w:val="0"/>
      <w:divBdr>
        <w:top w:val="none" w:sz="0" w:space="0" w:color="auto"/>
        <w:left w:val="none" w:sz="0" w:space="0" w:color="auto"/>
        <w:bottom w:val="none" w:sz="0" w:space="0" w:color="auto"/>
        <w:right w:val="none" w:sz="0" w:space="0" w:color="auto"/>
      </w:divBdr>
    </w:div>
    <w:div w:id="1805730608">
      <w:bodyDiv w:val="1"/>
      <w:marLeft w:val="0"/>
      <w:marRight w:val="0"/>
      <w:marTop w:val="0"/>
      <w:marBottom w:val="0"/>
      <w:divBdr>
        <w:top w:val="none" w:sz="0" w:space="0" w:color="auto"/>
        <w:left w:val="none" w:sz="0" w:space="0" w:color="auto"/>
        <w:bottom w:val="none" w:sz="0" w:space="0" w:color="auto"/>
        <w:right w:val="none" w:sz="0" w:space="0" w:color="auto"/>
      </w:divBdr>
    </w:div>
    <w:div w:id="1847551049">
      <w:bodyDiv w:val="1"/>
      <w:marLeft w:val="0"/>
      <w:marRight w:val="0"/>
      <w:marTop w:val="0"/>
      <w:marBottom w:val="0"/>
      <w:divBdr>
        <w:top w:val="none" w:sz="0" w:space="0" w:color="auto"/>
        <w:left w:val="none" w:sz="0" w:space="0" w:color="auto"/>
        <w:bottom w:val="none" w:sz="0" w:space="0" w:color="auto"/>
        <w:right w:val="none" w:sz="0" w:space="0" w:color="auto"/>
      </w:divBdr>
    </w:div>
    <w:div w:id="1848866080">
      <w:bodyDiv w:val="1"/>
      <w:marLeft w:val="0"/>
      <w:marRight w:val="0"/>
      <w:marTop w:val="0"/>
      <w:marBottom w:val="0"/>
      <w:divBdr>
        <w:top w:val="none" w:sz="0" w:space="0" w:color="auto"/>
        <w:left w:val="none" w:sz="0" w:space="0" w:color="auto"/>
        <w:bottom w:val="none" w:sz="0" w:space="0" w:color="auto"/>
        <w:right w:val="none" w:sz="0" w:space="0" w:color="auto"/>
      </w:divBdr>
    </w:div>
    <w:div w:id="1858539462">
      <w:bodyDiv w:val="1"/>
      <w:marLeft w:val="0"/>
      <w:marRight w:val="0"/>
      <w:marTop w:val="0"/>
      <w:marBottom w:val="0"/>
      <w:divBdr>
        <w:top w:val="none" w:sz="0" w:space="0" w:color="auto"/>
        <w:left w:val="none" w:sz="0" w:space="0" w:color="auto"/>
        <w:bottom w:val="none" w:sz="0" w:space="0" w:color="auto"/>
        <w:right w:val="none" w:sz="0" w:space="0" w:color="auto"/>
      </w:divBdr>
    </w:div>
    <w:div w:id="1858735009">
      <w:bodyDiv w:val="1"/>
      <w:marLeft w:val="0"/>
      <w:marRight w:val="0"/>
      <w:marTop w:val="0"/>
      <w:marBottom w:val="0"/>
      <w:divBdr>
        <w:top w:val="none" w:sz="0" w:space="0" w:color="auto"/>
        <w:left w:val="none" w:sz="0" w:space="0" w:color="auto"/>
        <w:bottom w:val="none" w:sz="0" w:space="0" w:color="auto"/>
        <w:right w:val="none" w:sz="0" w:space="0" w:color="auto"/>
      </w:divBdr>
    </w:div>
    <w:div w:id="1867063931">
      <w:bodyDiv w:val="1"/>
      <w:marLeft w:val="0"/>
      <w:marRight w:val="0"/>
      <w:marTop w:val="0"/>
      <w:marBottom w:val="0"/>
      <w:divBdr>
        <w:top w:val="none" w:sz="0" w:space="0" w:color="auto"/>
        <w:left w:val="none" w:sz="0" w:space="0" w:color="auto"/>
        <w:bottom w:val="none" w:sz="0" w:space="0" w:color="auto"/>
        <w:right w:val="none" w:sz="0" w:space="0" w:color="auto"/>
      </w:divBdr>
    </w:div>
    <w:div w:id="1897859309">
      <w:bodyDiv w:val="1"/>
      <w:marLeft w:val="0"/>
      <w:marRight w:val="0"/>
      <w:marTop w:val="0"/>
      <w:marBottom w:val="0"/>
      <w:divBdr>
        <w:top w:val="none" w:sz="0" w:space="0" w:color="auto"/>
        <w:left w:val="none" w:sz="0" w:space="0" w:color="auto"/>
        <w:bottom w:val="none" w:sz="0" w:space="0" w:color="auto"/>
        <w:right w:val="none" w:sz="0" w:space="0" w:color="auto"/>
      </w:divBdr>
    </w:div>
    <w:div w:id="1899975963">
      <w:bodyDiv w:val="1"/>
      <w:marLeft w:val="0"/>
      <w:marRight w:val="0"/>
      <w:marTop w:val="0"/>
      <w:marBottom w:val="0"/>
      <w:divBdr>
        <w:top w:val="none" w:sz="0" w:space="0" w:color="auto"/>
        <w:left w:val="none" w:sz="0" w:space="0" w:color="auto"/>
        <w:bottom w:val="none" w:sz="0" w:space="0" w:color="auto"/>
        <w:right w:val="none" w:sz="0" w:space="0" w:color="auto"/>
      </w:divBdr>
    </w:div>
    <w:div w:id="1907913916">
      <w:bodyDiv w:val="1"/>
      <w:marLeft w:val="0"/>
      <w:marRight w:val="0"/>
      <w:marTop w:val="0"/>
      <w:marBottom w:val="0"/>
      <w:divBdr>
        <w:top w:val="none" w:sz="0" w:space="0" w:color="auto"/>
        <w:left w:val="none" w:sz="0" w:space="0" w:color="auto"/>
        <w:bottom w:val="none" w:sz="0" w:space="0" w:color="auto"/>
        <w:right w:val="none" w:sz="0" w:space="0" w:color="auto"/>
      </w:divBdr>
    </w:div>
    <w:div w:id="1917283187">
      <w:bodyDiv w:val="1"/>
      <w:marLeft w:val="0"/>
      <w:marRight w:val="0"/>
      <w:marTop w:val="0"/>
      <w:marBottom w:val="0"/>
      <w:divBdr>
        <w:top w:val="none" w:sz="0" w:space="0" w:color="auto"/>
        <w:left w:val="none" w:sz="0" w:space="0" w:color="auto"/>
        <w:bottom w:val="none" w:sz="0" w:space="0" w:color="auto"/>
        <w:right w:val="none" w:sz="0" w:space="0" w:color="auto"/>
      </w:divBdr>
    </w:div>
    <w:div w:id="1923486204">
      <w:bodyDiv w:val="1"/>
      <w:marLeft w:val="0"/>
      <w:marRight w:val="0"/>
      <w:marTop w:val="0"/>
      <w:marBottom w:val="0"/>
      <w:divBdr>
        <w:top w:val="none" w:sz="0" w:space="0" w:color="auto"/>
        <w:left w:val="none" w:sz="0" w:space="0" w:color="auto"/>
        <w:bottom w:val="none" w:sz="0" w:space="0" w:color="auto"/>
        <w:right w:val="none" w:sz="0" w:space="0" w:color="auto"/>
      </w:divBdr>
    </w:div>
    <w:div w:id="1924531806">
      <w:bodyDiv w:val="1"/>
      <w:marLeft w:val="0"/>
      <w:marRight w:val="0"/>
      <w:marTop w:val="0"/>
      <w:marBottom w:val="0"/>
      <w:divBdr>
        <w:top w:val="none" w:sz="0" w:space="0" w:color="auto"/>
        <w:left w:val="none" w:sz="0" w:space="0" w:color="auto"/>
        <w:bottom w:val="none" w:sz="0" w:space="0" w:color="auto"/>
        <w:right w:val="none" w:sz="0" w:space="0" w:color="auto"/>
      </w:divBdr>
    </w:div>
    <w:div w:id="1939831728">
      <w:bodyDiv w:val="1"/>
      <w:marLeft w:val="0"/>
      <w:marRight w:val="0"/>
      <w:marTop w:val="0"/>
      <w:marBottom w:val="0"/>
      <w:divBdr>
        <w:top w:val="none" w:sz="0" w:space="0" w:color="auto"/>
        <w:left w:val="none" w:sz="0" w:space="0" w:color="auto"/>
        <w:bottom w:val="none" w:sz="0" w:space="0" w:color="auto"/>
        <w:right w:val="none" w:sz="0" w:space="0" w:color="auto"/>
      </w:divBdr>
    </w:div>
    <w:div w:id="1962878618">
      <w:bodyDiv w:val="1"/>
      <w:marLeft w:val="0"/>
      <w:marRight w:val="0"/>
      <w:marTop w:val="0"/>
      <w:marBottom w:val="0"/>
      <w:divBdr>
        <w:top w:val="none" w:sz="0" w:space="0" w:color="auto"/>
        <w:left w:val="none" w:sz="0" w:space="0" w:color="auto"/>
        <w:bottom w:val="none" w:sz="0" w:space="0" w:color="auto"/>
        <w:right w:val="none" w:sz="0" w:space="0" w:color="auto"/>
      </w:divBdr>
    </w:div>
    <w:div w:id="1970473407">
      <w:bodyDiv w:val="1"/>
      <w:marLeft w:val="0"/>
      <w:marRight w:val="0"/>
      <w:marTop w:val="0"/>
      <w:marBottom w:val="0"/>
      <w:divBdr>
        <w:top w:val="none" w:sz="0" w:space="0" w:color="auto"/>
        <w:left w:val="none" w:sz="0" w:space="0" w:color="auto"/>
        <w:bottom w:val="none" w:sz="0" w:space="0" w:color="auto"/>
        <w:right w:val="none" w:sz="0" w:space="0" w:color="auto"/>
      </w:divBdr>
    </w:div>
    <w:div w:id="1974169865">
      <w:bodyDiv w:val="1"/>
      <w:marLeft w:val="0"/>
      <w:marRight w:val="0"/>
      <w:marTop w:val="0"/>
      <w:marBottom w:val="0"/>
      <w:divBdr>
        <w:top w:val="none" w:sz="0" w:space="0" w:color="auto"/>
        <w:left w:val="none" w:sz="0" w:space="0" w:color="auto"/>
        <w:bottom w:val="none" w:sz="0" w:space="0" w:color="auto"/>
        <w:right w:val="none" w:sz="0" w:space="0" w:color="auto"/>
      </w:divBdr>
    </w:div>
    <w:div w:id="1982073608">
      <w:bodyDiv w:val="1"/>
      <w:marLeft w:val="0"/>
      <w:marRight w:val="0"/>
      <w:marTop w:val="0"/>
      <w:marBottom w:val="0"/>
      <w:divBdr>
        <w:top w:val="none" w:sz="0" w:space="0" w:color="auto"/>
        <w:left w:val="none" w:sz="0" w:space="0" w:color="auto"/>
        <w:bottom w:val="none" w:sz="0" w:space="0" w:color="auto"/>
        <w:right w:val="none" w:sz="0" w:space="0" w:color="auto"/>
      </w:divBdr>
    </w:div>
    <w:div w:id="2015959024">
      <w:bodyDiv w:val="1"/>
      <w:marLeft w:val="0"/>
      <w:marRight w:val="0"/>
      <w:marTop w:val="0"/>
      <w:marBottom w:val="0"/>
      <w:divBdr>
        <w:top w:val="none" w:sz="0" w:space="0" w:color="auto"/>
        <w:left w:val="none" w:sz="0" w:space="0" w:color="auto"/>
        <w:bottom w:val="none" w:sz="0" w:space="0" w:color="auto"/>
        <w:right w:val="none" w:sz="0" w:space="0" w:color="auto"/>
      </w:divBdr>
    </w:div>
    <w:div w:id="2026127980">
      <w:bodyDiv w:val="1"/>
      <w:marLeft w:val="0"/>
      <w:marRight w:val="0"/>
      <w:marTop w:val="0"/>
      <w:marBottom w:val="0"/>
      <w:divBdr>
        <w:top w:val="none" w:sz="0" w:space="0" w:color="auto"/>
        <w:left w:val="none" w:sz="0" w:space="0" w:color="auto"/>
        <w:bottom w:val="none" w:sz="0" w:space="0" w:color="auto"/>
        <w:right w:val="none" w:sz="0" w:space="0" w:color="auto"/>
      </w:divBdr>
    </w:div>
    <w:div w:id="2037390686">
      <w:bodyDiv w:val="1"/>
      <w:marLeft w:val="0"/>
      <w:marRight w:val="0"/>
      <w:marTop w:val="0"/>
      <w:marBottom w:val="0"/>
      <w:divBdr>
        <w:top w:val="none" w:sz="0" w:space="0" w:color="auto"/>
        <w:left w:val="none" w:sz="0" w:space="0" w:color="auto"/>
        <w:bottom w:val="none" w:sz="0" w:space="0" w:color="auto"/>
        <w:right w:val="none" w:sz="0" w:space="0" w:color="auto"/>
      </w:divBdr>
    </w:div>
    <w:div w:id="2038003661">
      <w:bodyDiv w:val="1"/>
      <w:marLeft w:val="0"/>
      <w:marRight w:val="0"/>
      <w:marTop w:val="0"/>
      <w:marBottom w:val="0"/>
      <w:divBdr>
        <w:top w:val="none" w:sz="0" w:space="0" w:color="auto"/>
        <w:left w:val="none" w:sz="0" w:space="0" w:color="auto"/>
        <w:bottom w:val="none" w:sz="0" w:space="0" w:color="auto"/>
        <w:right w:val="none" w:sz="0" w:space="0" w:color="auto"/>
      </w:divBdr>
    </w:div>
    <w:div w:id="2040742390">
      <w:bodyDiv w:val="1"/>
      <w:marLeft w:val="0"/>
      <w:marRight w:val="0"/>
      <w:marTop w:val="0"/>
      <w:marBottom w:val="0"/>
      <w:divBdr>
        <w:top w:val="none" w:sz="0" w:space="0" w:color="auto"/>
        <w:left w:val="none" w:sz="0" w:space="0" w:color="auto"/>
        <w:bottom w:val="none" w:sz="0" w:space="0" w:color="auto"/>
        <w:right w:val="none" w:sz="0" w:space="0" w:color="auto"/>
      </w:divBdr>
    </w:div>
    <w:div w:id="2045859586">
      <w:bodyDiv w:val="1"/>
      <w:marLeft w:val="0"/>
      <w:marRight w:val="0"/>
      <w:marTop w:val="0"/>
      <w:marBottom w:val="0"/>
      <w:divBdr>
        <w:top w:val="none" w:sz="0" w:space="0" w:color="auto"/>
        <w:left w:val="none" w:sz="0" w:space="0" w:color="auto"/>
        <w:bottom w:val="none" w:sz="0" w:space="0" w:color="auto"/>
        <w:right w:val="none" w:sz="0" w:space="0" w:color="auto"/>
      </w:divBdr>
    </w:div>
    <w:div w:id="2048944576">
      <w:bodyDiv w:val="1"/>
      <w:marLeft w:val="0"/>
      <w:marRight w:val="0"/>
      <w:marTop w:val="0"/>
      <w:marBottom w:val="0"/>
      <w:divBdr>
        <w:top w:val="none" w:sz="0" w:space="0" w:color="auto"/>
        <w:left w:val="none" w:sz="0" w:space="0" w:color="auto"/>
        <w:bottom w:val="none" w:sz="0" w:space="0" w:color="auto"/>
        <w:right w:val="none" w:sz="0" w:space="0" w:color="auto"/>
      </w:divBdr>
    </w:div>
    <w:div w:id="2049068131">
      <w:bodyDiv w:val="1"/>
      <w:marLeft w:val="0"/>
      <w:marRight w:val="0"/>
      <w:marTop w:val="0"/>
      <w:marBottom w:val="0"/>
      <w:divBdr>
        <w:top w:val="none" w:sz="0" w:space="0" w:color="auto"/>
        <w:left w:val="none" w:sz="0" w:space="0" w:color="auto"/>
        <w:bottom w:val="none" w:sz="0" w:space="0" w:color="auto"/>
        <w:right w:val="none" w:sz="0" w:space="0" w:color="auto"/>
      </w:divBdr>
    </w:div>
    <w:div w:id="2051372150">
      <w:bodyDiv w:val="1"/>
      <w:marLeft w:val="0"/>
      <w:marRight w:val="0"/>
      <w:marTop w:val="0"/>
      <w:marBottom w:val="0"/>
      <w:divBdr>
        <w:top w:val="none" w:sz="0" w:space="0" w:color="auto"/>
        <w:left w:val="none" w:sz="0" w:space="0" w:color="auto"/>
        <w:bottom w:val="none" w:sz="0" w:space="0" w:color="auto"/>
        <w:right w:val="none" w:sz="0" w:space="0" w:color="auto"/>
      </w:divBdr>
    </w:div>
    <w:div w:id="2051567510">
      <w:bodyDiv w:val="1"/>
      <w:marLeft w:val="0"/>
      <w:marRight w:val="0"/>
      <w:marTop w:val="0"/>
      <w:marBottom w:val="0"/>
      <w:divBdr>
        <w:top w:val="none" w:sz="0" w:space="0" w:color="auto"/>
        <w:left w:val="none" w:sz="0" w:space="0" w:color="auto"/>
        <w:bottom w:val="none" w:sz="0" w:space="0" w:color="auto"/>
        <w:right w:val="none" w:sz="0" w:space="0" w:color="auto"/>
      </w:divBdr>
    </w:div>
    <w:div w:id="2059283827">
      <w:bodyDiv w:val="1"/>
      <w:marLeft w:val="0"/>
      <w:marRight w:val="0"/>
      <w:marTop w:val="0"/>
      <w:marBottom w:val="0"/>
      <w:divBdr>
        <w:top w:val="none" w:sz="0" w:space="0" w:color="auto"/>
        <w:left w:val="none" w:sz="0" w:space="0" w:color="auto"/>
        <w:bottom w:val="none" w:sz="0" w:space="0" w:color="auto"/>
        <w:right w:val="none" w:sz="0" w:space="0" w:color="auto"/>
      </w:divBdr>
    </w:div>
    <w:div w:id="2059746082">
      <w:bodyDiv w:val="1"/>
      <w:marLeft w:val="0"/>
      <w:marRight w:val="0"/>
      <w:marTop w:val="0"/>
      <w:marBottom w:val="0"/>
      <w:divBdr>
        <w:top w:val="none" w:sz="0" w:space="0" w:color="auto"/>
        <w:left w:val="none" w:sz="0" w:space="0" w:color="auto"/>
        <w:bottom w:val="none" w:sz="0" w:space="0" w:color="auto"/>
        <w:right w:val="none" w:sz="0" w:space="0" w:color="auto"/>
      </w:divBdr>
    </w:div>
    <w:div w:id="2062704489">
      <w:bodyDiv w:val="1"/>
      <w:marLeft w:val="0"/>
      <w:marRight w:val="0"/>
      <w:marTop w:val="0"/>
      <w:marBottom w:val="0"/>
      <w:divBdr>
        <w:top w:val="none" w:sz="0" w:space="0" w:color="auto"/>
        <w:left w:val="none" w:sz="0" w:space="0" w:color="auto"/>
        <w:bottom w:val="none" w:sz="0" w:space="0" w:color="auto"/>
        <w:right w:val="none" w:sz="0" w:space="0" w:color="auto"/>
      </w:divBdr>
    </w:div>
    <w:div w:id="2070492237">
      <w:bodyDiv w:val="1"/>
      <w:marLeft w:val="0"/>
      <w:marRight w:val="0"/>
      <w:marTop w:val="0"/>
      <w:marBottom w:val="0"/>
      <w:divBdr>
        <w:top w:val="none" w:sz="0" w:space="0" w:color="auto"/>
        <w:left w:val="none" w:sz="0" w:space="0" w:color="auto"/>
        <w:bottom w:val="none" w:sz="0" w:space="0" w:color="auto"/>
        <w:right w:val="none" w:sz="0" w:space="0" w:color="auto"/>
      </w:divBdr>
    </w:div>
    <w:div w:id="2077511000">
      <w:bodyDiv w:val="1"/>
      <w:marLeft w:val="0"/>
      <w:marRight w:val="0"/>
      <w:marTop w:val="0"/>
      <w:marBottom w:val="0"/>
      <w:divBdr>
        <w:top w:val="none" w:sz="0" w:space="0" w:color="auto"/>
        <w:left w:val="none" w:sz="0" w:space="0" w:color="auto"/>
        <w:bottom w:val="none" w:sz="0" w:space="0" w:color="auto"/>
        <w:right w:val="none" w:sz="0" w:space="0" w:color="auto"/>
      </w:divBdr>
    </w:div>
    <w:div w:id="2091148683">
      <w:bodyDiv w:val="1"/>
      <w:marLeft w:val="0"/>
      <w:marRight w:val="0"/>
      <w:marTop w:val="0"/>
      <w:marBottom w:val="0"/>
      <w:divBdr>
        <w:top w:val="none" w:sz="0" w:space="0" w:color="auto"/>
        <w:left w:val="none" w:sz="0" w:space="0" w:color="auto"/>
        <w:bottom w:val="none" w:sz="0" w:space="0" w:color="auto"/>
        <w:right w:val="none" w:sz="0" w:space="0" w:color="auto"/>
      </w:divBdr>
    </w:div>
    <w:div w:id="2092005014">
      <w:bodyDiv w:val="1"/>
      <w:marLeft w:val="0"/>
      <w:marRight w:val="0"/>
      <w:marTop w:val="0"/>
      <w:marBottom w:val="0"/>
      <w:divBdr>
        <w:top w:val="none" w:sz="0" w:space="0" w:color="auto"/>
        <w:left w:val="none" w:sz="0" w:space="0" w:color="auto"/>
        <w:bottom w:val="none" w:sz="0" w:space="0" w:color="auto"/>
        <w:right w:val="none" w:sz="0" w:space="0" w:color="auto"/>
      </w:divBdr>
    </w:div>
    <w:div w:id="2092388610">
      <w:bodyDiv w:val="1"/>
      <w:marLeft w:val="0"/>
      <w:marRight w:val="0"/>
      <w:marTop w:val="0"/>
      <w:marBottom w:val="0"/>
      <w:divBdr>
        <w:top w:val="none" w:sz="0" w:space="0" w:color="auto"/>
        <w:left w:val="none" w:sz="0" w:space="0" w:color="auto"/>
        <w:bottom w:val="none" w:sz="0" w:space="0" w:color="auto"/>
        <w:right w:val="none" w:sz="0" w:space="0" w:color="auto"/>
      </w:divBdr>
    </w:div>
    <w:div w:id="2092502957">
      <w:bodyDiv w:val="1"/>
      <w:marLeft w:val="0"/>
      <w:marRight w:val="0"/>
      <w:marTop w:val="0"/>
      <w:marBottom w:val="0"/>
      <w:divBdr>
        <w:top w:val="none" w:sz="0" w:space="0" w:color="auto"/>
        <w:left w:val="none" w:sz="0" w:space="0" w:color="auto"/>
        <w:bottom w:val="none" w:sz="0" w:space="0" w:color="auto"/>
        <w:right w:val="none" w:sz="0" w:space="0" w:color="auto"/>
      </w:divBdr>
    </w:div>
    <w:div w:id="2092967107">
      <w:bodyDiv w:val="1"/>
      <w:marLeft w:val="0"/>
      <w:marRight w:val="0"/>
      <w:marTop w:val="0"/>
      <w:marBottom w:val="0"/>
      <w:divBdr>
        <w:top w:val="none" w:sz="0" w:space="0" w:color="auto"/>
        <w:left w:val="none" w:sz="0" w:space="0" w:color="auto"/>
        <w:bottom w:val="none" w:sz="0" w:space="0" w:color="auto"/>
        <w:right w:val="none" w:sz="0" w:space="0" w:color="auto"/>
      </w:divBdr>
    </w:div>
    <w:div w:id="2111897961">
      <w:bodyDiv w:val="1"/>
      <w:marLeft w:val="0"/>
      <w:marRight w:val="0"/>
      <w:marTop w:val="0"/>
      <w:marBottom w:val="0"/>
      <w:divBdr>
        <w:top w:val="none" w:sz="0" w:space="0" w:color="auto"/>
        <w:left w:val="none" w:sz="0" w:space="0" w:color="auto"/>
        <w:bottom w:val="none" w:sz="0" w:space="0" w:color="auto"/>
        <w:right w:val="none" w:sz="0" w:space="0" w:color="auto"/>
      </w:divBdr>
    </w:div>
    <w:div w:id="2114087228">
      <w:bodyDiv w:val="1"/>
      <w:marLeft w:val="0"/>
      <w:marRight w:val="0"/>
      <w:marTop w:val="0"/>
      <w:marBottom w:val="0"/>
      <w:divBdr>
        <w:top w:val="none" w:sz="0" w:space="0" w:color="auto"/>
        <w:left w:val="none" w:sz="0" w:space="0" w:color="auto"/>
        <w:bottom w:val="none" w:sz="0" w:space="0" w:color="auto"/>
        <w:right w:val="none" w:sz="0" w:space="0" w:color="auto"/>
      </w:divBdr>
    </w:div>
    <w:div w:id="2142724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D155C-5D04-402B-AE27-79DEE3F7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3889</Words>
  <Characters>22171</Characters>
  <Application>Microsoft Office Word</Application>
  <DocSecurity>0</DocSecurity>
  <Lines>184</Lines>
  <Paragraphs>52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Sithichock</dc:creator>
  <cp:lastModifiedBy>Vayroj Laophokhin</cp:lastModifiedBy>
  <cp:revision>5</cp:revision>
  <dcterms:created xsi:type="dcterms:W3CDTF">2024-08-05T03:56:00Z</dcterms:created>
  <dcterms:modified xsi:type="dcterms:W3CDTF">2024-08-05T04:18:00Z</dcterms:modified>
</cp:coreProperties>
</file>