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D5B5" w14:textId="77777777" w:rsidR="00C11F18" w:rsidRPr="000A1286" w:rsidRDefault="00C11F18" w:rsidP="00C11F18">
      <w:pPr>
        <w:pStyle w:val="TitleSMPC"/>
        <w:rPr>
          <w:sz w:val="28"/>
        </w:rPr>
      </w:pPr>
      <w:r w:rsidRPr="000A1286">
        <w:rPr>
          <w:sz w:val="28"/>
        </w:rPr>
        <w:t>SUMMARY OF PRODUCT CHARACTERISTICS</w:t>
      </w:r>
    </w:p>
    <w:p w14:paraId="41965D37" w14:textId="77777777" w:rsidR="00C11F18" w:rsidRDefault="00C11F18" w:rsidP="00C11F18">
      <w:pPr>
        <w:pStyle w:val="HEADING1SMPC"/>
      </w:pPr>
      <w:r w:rsidRPr="008F5678">
        <w:t>NAME OF THE MEDICINAL PRODUCT</w:t>
      </w:r>
    </w:p>
    <w:p w14:paraId="4082E65D" w14:textId="0698E3D7" w:rsidR="00C11F18" w:rsidRPr="00A4294B" w:rsidRDefault="00051494" w:rsidP="00C11F18">
      <w:pPr>
        <w:pStyle w:val="ae"/>
        <w:spacing w:line="360" w:lineRule="auto"/>
        <w:ind w:left="567"/>
        <w:rPr>
          <w:rFonts w:ascii="Times New Roman" w:hAnsi="Times New Roman" w:cs="Times New Roman"/>
          <w:sz w:val="28"/>
        </w:rPr>
      </w:pPr>
      <w:r w:rsidRPr="00051494">
        <w:rPr>
          <w:rFonts w:ascii="Times New Roman" w:hAnsi="Times New Roman" w:cs="Times New Roman"/>
          <w:color w:val="FF0000"/>
          <w:sz w:val="28"/>
        </w:rPr>
        <w:t>&lt;Trade Name&gt;</w:t>
      </w:r>
      <w:r w:rsidRPr="00051494">
        <w:rPr>
          <w:rFonts w:ascii="Times New Roman" w:hAnsi="Times New Roman" w:cs="Times New Roman"/>
          <w:color w:val="FF0000"/>
          <w:sz w:val="28"/>
        </w:rPr>
        <w:t xml:space="preserve"> </w:t>
      </w:r>
      <w:r w:rsidRPr="00051494">
        <w:rPr>
          <w:rFonts w:ascii="Times New Roman" w:hAnsi="Times New Roman" w:cs="Times New Roman"/>
          <w:color w:val="FF0000"/>
          <w:sz w:val="28"/>
        </w:rPr>
        <w:t>&lt;Strength&gt;</w:t>
      </w:r>
      <w:r w:rsidRPr="00051494">
        <w:rPr>
          <w:rFonts w:ascii="Times New Roman" w:hAnsi="Times New Roman" w:cs="Times New Roman"/>
          <w:sz w:val="28"/>
        </w:rPr>
        <w:t xml:space="preserve"> film-coated tablets </w:t>
      </w:r>
    </w:p>
    <w:p w14:paraId="78CC6063" w14:textId="77777777" w:rsidR="00C11F18" w:rsidRDefault="00C11F18" w:rsidP="00C11F18">
      <w:pPr>
        <w:pStyle w:val="HEADING1SMPC"/>
        <w:rPr>
          <w:rFonts w:cstheme="minorBidi"/>
        </w:rPr>
      </w:pPr>
      <w:r w:rsidRPr="008F5678">
        <w:t>QUALITATIVE AND QUANTITATIVE COMPOSITION</w:t>
      </w:r>
    </w:p>
    <w:p w14:paraId="3A29504A" w14:textId="38F61298" w:rsidR="00C11F18" w:rsidRDefault="00C11F18" w:rsidP="00051494">
      <w:pPr>
        <w:pStyle w:val="ae"/>
        <w:spacing w:after="0" w:line="360" w:lineRule="auto"/>
        <w:ind w:left="567"/>
        <w:jc w:val="thaiDistribute"/>
        <w:rPr>
          <w:rFonts w:ascii="Times New Roman" w:hAnsi="Times New Roman" w:cs="Times New Roman"/>
          <w:sz w:val="28"/>
        </w:rPr>
      </w:pPr>
      <w:r w:rsidRPr="00C11F18">
        <w:rPr>
          <w:rFonts w:ascii="Times New Roman" w:hAnsi="Times New Roman" w:cs="Times New Roman"/>
          <w:sz w:val="28"/>
        </w:rPr>
        <w:t>Each tablet contains 200 mg dried ferrous sulfate, equivalent to 65 mg</w:t>
      </w:r>
      <w:r w:rsidR="00051494">
        <w:rPr>
          <w:rFonts w:ascii="Times New Roman" w:hAnsi="Times New Roman" w:cs="Times New Roman"/>
          <w:sz w:val="28"/>
        </w:rPr>
        <w:t xml:space="preserve"> f</w:t>
      </w:r>
      <w:r w:rsidRPr="00C11F18">
        <w:rPr>
          <w:rFonts w:ascii="Times New Roman" w:hAnsi="Times New Roman" w:cs="Times New Roman"/>
          <w:sz w:val="28"/>
        </w:rPr>
        <w:t>errous iron.</w:t>
      </w:r>
    </w:p>
    <w:p w14:paraId="7184DEC7" w14:textId="17F55778" w:rsidR="00C11F18" w:rsidRPr="00051494" w:rsidRDefault="00C11F18" w:rsidP="00C11F18">
      <w:pPr>
        <w:pStyle w:val="ae"/>
        <w:spacing w:after="0" w:line="360" w:lineRule="auto"/>
        <w:ind w:left="567"/>
        <w:rPr>
          <w:rFonts w:ascii="Times New Roman" w:hAnsi="Times New Roman" w:cs="Times New Roman"/>
          <w:color w:val="FF0000"/>
          <w:sz w:val="28"/>
          <w:u w:val="single"/>
        </w:rPr>
      </w:pPr>
      <w:r w:rsidRPr="00051494">
        <w:rPr>
          <w:rFonts w:ascii="Times New Roman" w:hAnsi="Times New Roman" w:cs="Times New Roman"/>
          <w:sz w:val="28"/>
          <w:u w:val="single"/>
        </w:rPr>
        <w:t>Excipient(s) with known effect:</w:t>
      </w:r>
    </w:p>
    <w:p w14:paraId="11637953" w14:textId="77777777" w:rsidR="00C11F18" w:rsidRPr="0085460F" w:rsidRDefault="00C11F18" w:rsidP="00C11F18">
      <w:pPr>
        <w:pStyle w:val="ae"/>
        <w:spacing w:after="0"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3032108A" w14:textId="77777777" w:rsidR="00C11F18" w:rsidRPr="000A1286" w:rsidRDefault="00C11F18" w:rsidP="00C11F18">
      <w:pPr>
        <w:pStyle w:val="ae"/>
        <w:spacing w:after="0" w:line="360" w:lineRule="auto"/>
        <w:ind w:left="567"/>
        <w:jc w:val="thaiDistribute"/>
        <w:rPr>
          <w:rFonts w:ascii="Times New Roman" w:hAnsi="Times New Roman" w:cs="Times New Roman"/>
          <w:sz w:val="28"/>
        </w:rPr>
      </w:pPr>
      <w:r w:rsidRPr="000A1286">
        <w:rPr>
          <w:rFonts w:ascii="Times New Roman" w:hAnsi="Times New Roman" w:cs="Times New Roman"/>
          <w:sz w:val="28"/>
        </w:rPr>
        <w:t xml:space="preserve">For a full list of excipients, see section </w:t>
      </w:r>
      <w:r w:rsidRPr="000A1286">
        <w:rPr>
          <w:rFonts w:ascii="Times New Roman" w:hAnsi="Times New Roman" w:cs="Times New Roman"/>
          <w:sz w:val="28"/>
          <w:cs/>
        </w:rPr>
        <w:t>6.1.</w:t>
      </w:r>
    </w:p>
    <w:p w14:paraId="0BB13821" w14:textId="77777777" w:rsidR="00C11F18" w:rsidRDefault="00C11F18" w:rsidP="00C11F18">
      <w:pPr>
        <w:pStyle w:val="HEADING1SMPC"/>
        <w:rPr>
          <w:rFonts w:cstheme="minorBidi"/>
        </w:rPr>
      </w:pPr>
      <w:r w:rsidRPr="008F5678">
        <w:t xml:space="preserve">PHARMACEUTICAL FORM </w:t>
      </w:r>
    </w:p>
    <w:p w14:paraId="28C31418" w14:textId="30944906" w:rsidR="00C11F18" w:rsidRDefault="00C11F18" w:rsidP="00C11F18">
      <w:pPr>
        <w:pStyle w:val="ae"/>
        <w:spacing w:line="360" w:lineRule="auto"/>
        <w:ind w:left="567"/>
        <w:rPr>
          <w:rFonts w:ascii="Times New Roman" w:hAnsi="Times New Roman" w:cs="Times New Roman"/>
          <w:color w:val="FF0000"/>
          <w:sz w:val="28"/>
        </w:rPr>
      </w:pPr>
      <w:r w:rsidRPr="00C11F18">
        <w:rPr>
          <w:rFonts w:ascii="Times New Roman" w:hAnsi="Times New Roman" w:cs="Times New Roman"/>
          <w:sz w:val="28"/>
        </w:rPr>
        <w:t>Film-coated tablets</w:t>
      </w:r>
    </w:p>
    <w:p w14:paraId="5EE6A8D8" w14:textId="77777777" w:rsidR="00C11F18" w:rsidRPr="0085460F" w:rsidRDefault="00C11F18" w:rsidP="00C11F18">
      <w:pPr>
        <w:pStyle w:val="ae"/>
        <w:spacing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51E85549" w14:textId="77777777" w:rsidR="00C11F18" w:rsidRPr="008F5678" w:rsidRDefault="00C11F18" w:rsidP="00C11F18">
      <w:pPr>
        <w:pStyle w:val="HEADING1SMPC"/>
        <w:rPr>
          <w:szCs w:val="28"/>
        </w:rPr>
      </w:pPr>
      <w:r w:rsidRPr="008F5678">
        <w:t>CLINICAL PARTICULARS</w:t>
      </w:r>
    </w:p>
    <w:p w14:paraId="591CC429" w14:textId="77777777" w:rsidR="00C11F18" w:rsidRDefault="00C11F18" w:rsidP="00C11F18">
      <w:pPr>
        <w:pStyle w:val="SubHeafingSMPC"/>
        <w:spacing w:before="0"/>
        <w:ind w:left="0" w:firstLine="0"/>
      </w:pPr>
      <w:r w:rsidRPr="007F158B">
        <w:t>Therapeutic indications</w:t>
      </w:r>
    </w:p>
    <w:p w14:paraId="3F9E2F4A" w14:textId="085A0242" w:rsidR="00C11F18" w:rsidRPr="00A27C5D" w:rsidRDefault="00C11F18" w:rsidP="00C11F18">
      <w:pPr>
        <w:pStyle w:val="SubHeafingSMPC"/>
        <w:numPr>
          <w:ilvl w:val="0"/>
          <w:numId w:val="0"/>
        </w:numPr>
        <w:spacing w:before="0"/>
      </w:pPr>
      <w:r>
        <w:tab/>
      </w:r>
      <w:r w:rsidRPr="00C11F18">
        <w:rPr>
          <w:rFonts w:cstheme="minorBidi"/>
          <w:b w:val="0"/>
          <w:bCs w:val="0"/>
        </w:rPr>
        <w:t>For the prevention and treatment of iron-deficiency anaemias</w:t>
      </w:r>
      <w:r w:rsidRPr="004E6B0A">
        <w:rPr>
          <w:rFonts w:cstheme="minorBidi"/>
          <w:b w:val="0"/>
          <w:bCs w:val="0"/>
        </w:rPr>
        <w:t>.</w:t>
      </w:r>
      <w:r w:rsidRPr="004E6B0A">
        <w:rPr>
          <w:rFonts w:cstheme="minorBidi"/>
          <w:b w:val="0"/>
          <w:bCs w:val="0"/>
          <w:cs/>
        </w:rPr>
        <w:tab/>
      </w:r>
    </w:p>
    <w:p w14:paraId="3288EDEB" w14:textId="77777777" w:rsidR="00C11F18" w:rsidRPr="00E26561" w:rsidRDefault="00C11F18" w:rsidP="00C11F18">
      <w:pPr>
        <w:pStyle w:val="SubHeafingSMPC"/>
        <w:spacing w:before="0"/>
        <w:ind w:left="57"/>
      </w:pPr>
      <w:r w:rsidRPr="008F5678">
        <w:t>Posology and method of administration</w:t>
      </w:r>
    </w:p>
    <w:p w14:paraId="4A1C2783" w14:textId="77777777" w:rsidR="00C11F18" w:rsidRDefault="00C11F18" w:rsidP="00C11F18">
      <w:pPr>
        <w:pStyle w:val="SubHeafingSMPC"/>
        <w:numPr>
          <w:ilvl w:val="0"/>
          <w:numId w:val="0"/>
        </w:numPr>
        <w:spacing w:before="0"/>
        <w:rPr>
          <w:rFonts w:cstheme="minorBidi"/>
          <w:u w:val="single"/>
        </w:rPr>
      </w:pPr>
      <w:r>
        <w:rPr>
          <w:rFonts w:cstheme="minorBidi"/>
          <w:cs/>
        </w:rPr>
        <w:tab/>
      </w:r>
      <w:r w:rsidRPr="00E26561">
        <w:rPr>
          <w:b w:val="0"/>
          <w:bCs w:val="0"/>
          <w:u w:val="single"/>
        </w:rPr>
        <w:t>Posology</w:t>
      </w:r>
    </w:p>
    <w:p w14:paraId="12EBF58E" w14:textId="77777777" w:rsidR="00051494" w:rsidRDefault="00C11F18" w:rsidP="00C11F18">
      <w:pPr>
        <w:pStyle w:val="SubHeafingSMPC"/>
        <w:numPr>
          <w:ilvl w:val="0"/>
          <w:numId w:val="0"/>
        </w:numPr>
        <w:spacing w:before="0"/>
        <w:jc w:val="thaiDistribute"/>
        <w:rPr>
          <w:b w:val="0"/>
          <w:bCs w:val="0"/>
        </w:rPr>
      </w:pPr>
      <w:r>
        <w:rPr>
          <w:rFonts w:cstheme="minorBidi"/>
          <w:b w:val="0"/>
          <w:bCs w:val="0"/>
        </w:rPr>
        <w:tab/>
      </w:r>
      <w:r w:rsidRPr="00C11F18">
        <w:rPr>
          <w:b w:val="0"/>
          <w:bCs w:val="0"/>
        </w:rPr>
        <w:t xml:space="preserve">Each 200 mg ferrous sulfate tablet is equivalent to 65mg of ferrous iron. </w:t>
      </w:r>
    </w:p>
    <w:p w14:paraId="5EADA260" w14:textId="77777777" w:rsidR="00051494" w:rsidRPr="00051494" w:rsidRDefault="00051494" w:rsidP="00C11F18">
      <w:pPr>
        <w:pStyle w:val="SubHeafingSMPC"/>
        <w:numPr>
          <w:ilvl w:val="0"/>
          <w:numId w:val="0"/>
        </w:numPr>
        <w:spacing w:before="0"/>
        <w:jc w:val="thaiDistribute"/>
        <w:rPr>
          <w:b w:val="0"/>
          <w:bCs w:val="0"/>
          <w:sz w:val="10"/>
          <w:szCs w:val="10"/>
        </w:rPr>
      </w:pPr>
    </w:p>
    <w:p w14:paraId="351195EB" w14:textId="01380F3F" w:rsidR="00C11F18" w:rsidRDefault="00C11F18" w:rsidP="00C11F18">
      <w:pPr>
        <w:pStyle w:val="SubHeafingSMPC"/>
        <w:numPr>
          <w:ilvl w:val="0"/>
          <w:numId w:val="0"/>
        </w:numPr>
        <w:spacing w:before="0"/>
        <w:jc w:val="thaiDistribute"/>
        <w:rPr>
          <w:b w:val="0"/>
          <w:bCs w:val="0"/>
        </w:rPr>
      </w:pPr>
      <w:r>
        <w:rPr>
          <w:b w:val="0"/>
          <w:bCs w:val="0"/>
        </w:rPr>
        <w:tab/>
      </w:r>
      <w:r w:rsidRPr="00C11F18">
        <w:rPr>
          <w:b w:val="0"/>
          <w:bCs w:val="0"/>
          <w:i/>
          <w:iCs/>
        </w:rPr>
        <w:t>Adults:</w:t>
      </w:r>
    </w:p>
    <w:p w14:paraId="5202B270" w14:textId="77777777" w:rsidR="00051494" w:rsidRDefault="00C11F18" w:rsidP="00C11F18">
      <w:pPr>
        <w:pStyle w:val="SubHeafingSMPC"/>
        <w:numPr>
          <w:ilvl w:val="0"/>
          <w:numId w:val="0"/>
        </w:numPr>
        <w:spacing w:before="0"/>
        <w:jc w:val="thaiDistribute"/>
        <w:rPr>
          <w:b w:val="0"/>
          <w:bCs w:val="0"/>
        </w:rPr>
      </w:pPr>
      <w:r>
        <w:rPr>
          <w:b w:val="0"/>
          <w:bCs w:val="0"/>
        </w:rPr>
        <w:tab/>
      </w:r>
      <w:r w:rsidRPr="00C11F18">
        <w:rPr>
          <w:b w:val="0"/>
          <w:bCs w:val="0"/>
        </w:rPr>
        <w:t xml:space="preserve">Treatment: 130-195 mg ferrous iron (2-3 tablets) daily in divided doses. </w:t>
      </w:r>
      <w:r>
        <w:rPr>
          <w:b w:val="0"/>
          <w:bCs w:val="0"/>
        </w:rPr>
        <w:tab/>
      </w:r>
      <w:r w:rsidRPr="00C11F18">
        <w:rPr>
          <w:b w:val="0"/>
          <w:bCs w:val="0"/>
        </w:rPr>
        <w:t>Prophylaxis: 65 mg ferrous iron (1 tablet) daily.</w:t>
      </w:r>
    </w:p>
    <w:p w14:paraId="581E6E7D" w14:textId="77777777" w:rsidR="00051494" w:rsidRPr="00051494" w:rsidRDefault="00051494" w:rsidP="00C11F18">
      <w:pPr>
        <w:pStyle w:val="SubHeafingSMPC"/>
        <w:numPr>
          <w:ilvl w:val="0"/>
          <w:numId w:val="0"/>
        </w:numPr>
        <w:spacing w:before="0"/>
        <w:jc w:val="thaiDistribute"/>
        <w:rPr>
          <w:b w:val="0"/>
          <w:bCs w:val="0"/>
          <w:sz w:val="10"/>
          <w:szCs w:val="10"/>
        </w:rPr>
      </w:pPr>
      <w:r>
        <w:rPr>
          <w:b w:val="0"/>
          <w:bCs w:val="0"/>
        </w:rPr>
        <w:tab/>
      </w:r>
    </w:p>
    <w:p w14:paraId="64BD19F3" w14:textId="77777777" w:rsidR="00051494" w:rsidRDefault="00051494" w:rsidP="00C11F18">
      <w:pPr>
        <w:pStyle w:val="SubHeafingSMPC"/>
        <w:numPr>
          <w:ilvl w:val="0"/>
          <w:numId w:val="0"/>
        </w:numPr>
        <w:spacing w:before="0"/>
        <w:jc w:val="thaiDistribute"/>
        <w:rPr>
          <w:b w:val="0"/>
          <w:bCs w:val="0"/>
        </w:rPr>
      </w:pPr>
      <w:r>
        <w:rPr>
          <w:b w:val="0"/>
          <w:bCs w:val="0"/>
        </w:rPr>
        <w:tab/>
      </w:r>
      <w:r w:rsidR="00C11F18" w:rsidRPr="00051494">
        <w:rPr>
          <w:b w:val="0"/>
          <w:bCs w:val="0"/>
          <w:i/>
          <w:iCs/>
        </w:rPr>
        <w:t>Elderly:</w:t>
      </w:r>
    </w:p>
    <w:p w14:paraId="7B3A1014" w14:textId="2A975C0F" w:rsidR="00C11F18" w:rsidRDefault="00051494" w:rsidP="00C11F18">
      <w:pPr>
        <w:pStyle w:val="SubHeafingSMPC"/>
        <w:numPr>
          <w:ilvl w:val="0"/>
          <w:numId w:val="0"/>
        </w:numPr>
        <w:spacing w:before="0"/>
        <w:jc w:val="thaiDistribute"/>
        <w:rPr>
          <w:rFonts w:cstheme="minorBidi"/>
          <w:u w:val="single"/>
        </w:rPr>
      </w:pPr>
      <w:r>
        <w:rPr>
          <w:b w:val="0"/>
          <w:bCs w:val="0"/>
        </w:rPr>
        <w:tab/>
      </w:r>
      <w:r w:rsidR="00C11F18" w:rsidRPr="00C11F18">
        <w:rPr>
          <w:b w:val="0"/>
          <w:bCs w:val="0"/>
        </w:rPr>
        <w:t>The usual adult</w:t>
      </w:r>
      <w:r w:rsidR="00C11F18">
        <w:rPr>
          <w:b w:val="0"/>
          <w:bCs w:val="0"/>
        </w:rPr>
        <w:t xml:space="preserve"> </w:t>
      </w:r>
      <w:r w:rsidR="00C11F18" w:rsidRPr="00C11F18">
        <w:rPr>
          <w:b w:val="0"/>
          <w:bCs w:val="0"/>
        </w:rPr>
        <w:t>dose can be administered (see section 4.4).</w:t>
      </w:r>
    </w:p>
    <w:p w14:paraId="43AC03B0" w14:textId="77777777" w:rsidR="00C11F18" w:rsidRPr="00C11F18" w:rsidRDefault="00C11F18" w:rsidP="00C11F18">
      <w:pPr>
        <w:pStyle w:val="SubHeafingSMPC"/>
        <w:numPr>
          <w:ilvl w:val="0"/>
          <w:numId w:val="0"/>
        </w:numPr>
        <w:spacing w:before="0"/>
        <w:jc w:val="thaiDistribute"/>
        <w:rPr>
          <w:rFonts w:cstheme="minorBidi"/>
          <w:b w:val="0"/>
          <w:bCs w:val="0"/>
          <w:i/>
          <w:iCs/>
        </w:rPr>
      </w:pPr>
      <w:r>
        <w:rPr>
          <w:rFonts w:cstheme="minorBidi"/>
          <w:b w:val="0"/>
          <w:bCs w:val="0"/>
        </w:rPr>
        <w:lastRenderedPageBreak/>
        <w:tab/>
      </w:r>
      <w:r w:rsidRPr="00C11F18">
        <w:rPr>
          <w:rFonts w:cstheme="minorBidi"/>
          <w:b w:val="0"/>
          <w:bCs w:val="0"/>
          <w:i/>
          <w:iCs/>
        </w:rPr>
        <w:t>Children 6-12 years:</w:t>
      </w:r>
    </w:p>
    <w:p w14:paraId="74AA8C68" w14:textId="77777777" w:rsidR="00C11F18" w:rsidRDefault="00C11F18" w:rsidP="00C11F18">
      <w:pPr>
        <w:pStyle w:val="SubHeafingSMPC"/>
        <w:numPr>
          <w:ilvl w:val="0"/>
          <w:numId w:val="0"/>
        </w:numPr>
        <w:spacing w:before="0"/>
        <w:jc w:val="thaiDistribute"/>
        <w:rPr>
          <w:rFonts w:cstheme="minorBidi"/>
          <w:b w:val="0"/>
          <w:bCs w:val="0"/>
        </w:rPr>
      </w:pPr>
      <w:r>
        <w:rPr>
          <w:rFonts w:cstheme="minorBidi"/>
          <w:b w:val="0"/>
          <w:bCs w:val="0"/>
        </w:rPr>
        <w:tab/>
      </w:r>
      <w:r w:rsidRPr="00C11F18">
        <w:rPr>
          <w:rFonts w:cstheme="minorBidi"/>
          <w:b w:val="0"/>
          <w:bCs w:val="0"/>
        </w:rPr>
        <w:t>Treatment: Children weighing over 22 kg</w:t>
      </w:r>
      <w:r>
        <w:rPr>
          <w:rFonts w:cstheme="minorBidi"/>
          <w:b w:val="0"/>
          <w:bCs w:val="0"/>
        </w:rPr>
        <w:t xml:space="preserve"> - </w:t>
      </w:r>
      <w:r w:rsidRPr="00C11F18">
        <w:rPr>
          <w:rFonts w:cstheme="minorBidi"/>
          <w:b w:val="0"/>
          <w:bCs w:val="0"/>
        </w:rPr>
        <w:t>one tablet daily.</w:t>
      </w:r>
    </w:p>
    <w:p w14:paraId="02766B1E" w14:textId="77777777" w:rsidR="00C11F18" w:rsidRDefault="00C11F18" w:rsidP="00C11F18">
      <w:pPr>
        <w:pStyle w:val="SubHeafingSMPC"/>
        <w:numPr>
          <w:ilvl w:val="0"/>
          <w:numId w:val="0"/>
        </w:numPr>
        <w:spacing w:before="0"/>
        <w:jc w:val="thaiDistribute"/>
        <w:rPr>
          <w:rFonts w:cstheme="minorBidi"/>
          <w:b w:val="0"/>
          <w:bCs w:val="0"/>
        </w:rPr>
      </w:pPr>
      <w:r>
        <w:rPr>
          <w:rFonts w:cstheme="minorBidi"/>
          <w:b w:val="0"/>
          <w:bCs w:val="0"/>
        </w:rPr>
        <w:tab/>
      </w:r>
      <w:r w:rsidRPr="00C11F18">
        <w:rPr>
          <w:rFonts w:cstheme="minorBidi"/>
          <w:b w:val="0"/>
          <w:bCs w:val="0"/>
        </w:rPr>
        <w:t xml:space="preserve">Children weighing over 44 kg </w:t>
      </w:r>
      <w:r>
        <w:rPr>
          <w:rFonts w:cstheme="minorBidi"/>
          <w:b w:val="0"/>
          <w:bCs w:val="0"/>
        </w:rPr>
        <w:t>-</w:t>
      </w:r>
      <w:r w:rsidRPr="00C11F18">
        <w:rPr>
          <w:rFonts w:cstheme="minorBidi"/>
          <w:b w:val="0"/>
          <w:bCs w:val="0"/>
        </w:rPr>
        <w:t xml:space="preserve"> one tablet twice daily.</w:t>
      </w:r>
    </w:p>
    <w:p w14:paraId="6670615A" w14:textId="77777777" w:rsidR="00C11F18" w:rsidRDefault="00C11F18" w:rsidP="00C11F18">
      <w:pPr>
        <w:pStyle w:val="SubHeafingSMPC"/>
        <w:numPr>
          <w:ilvl w:val="0"/>
          <w:numId w:val="0"/>
        </w:numPr>
        <w:spacing w:before="0"/>
        <w:jc w:val="thaiDistribute"/>
        <w:rPr>
          <w:rFonts w:cstheme="minorBidi"/>
          <w:b w:val="0"/>
          <w:bCs w:val="0"/>
        </w:rPr>
      </w:pPr>
      <w:r>
        <w:rPr>
          <w:rFonts w:cstheme="minorBidi"/>
          <w:b w:val="0"/>
          <w:bCs w:val="0"/>
        </w:rPr>
        <w:tab/>
      </w:r>
      <w:r w:rsidRPr="00C11F18">
        <w:rPr>
          <w:rFonts w:cstheme="minorBidi"/>
          <w:b w:val="0"/>
          <w:bCs w:val="0"/>
        </w:rPr>
        <w:t>Children weighing over 66 kg – one tablet three times daily.</w:t>
      </w:r>
    </w:p>
    <w:p w14:paraId="7E35FA45" w14:textId="77777777" w:rsidR="00051494" w:rsidRPr="00051494" w:rsidRDefault="00051494" w:rsidP="00C11F18">
      <w:pPr>
        <w:pStyle w:val="SubHeafingSMPC"/>
        <w:numPr>
          <w:ilvl w:val="0"/>
          <w:numId w:val="0"/>
        </w:numPr>
        <w:spacing w:before="0"/>
        <w:jc w:val="thaiDistribute"/>
        <w:rPr>
          <w:rFonts w:cstheme="minorBidi"/>
          <w:b w:val="0"/>
          <w:bCs w:val="0"/>
          <w:sz w:val="10"/>
          <w:szCs w:val="10"/>
        </w:rPr>
      </w:pPr>
    </w:p>
    <w:p w14:paraId="24EBAECF" w14:textId="77777777" w:rsidR="00C11F18" w:rsidRPr="00C11F18" w:rsidRDefault="00C11F18" w:rsidP="00C11F18">
      <w:pPr>
        <w:pStyle w:val="SubHeafingSMPC"/>
        <w:numPr>
          <w:ilvl w:val="0"/>
          <w:numId w:val="0"/>
        </w:numPr>
        <w:spacing w:before="0"/>
        <w:jc w:val="thaiDistribute"/>
        <w:rPr>
          <w:rFonts w:cstheme="minorBidi"/>
          <w:b w:val="0"/>
          <w:bCs w:val="0"/>
          <w:i/>
          <w:iCs/>
        </w:rPr>
      </w:pPr>
      <w:r>
        <w:rPr>
          <w:rFonts w:cstheme="minorBidi"/>
          <w:b w:val="0"/>
          <w:bCs w:val="0"/>
        </w:rPr>
        <w:tab/>
      </w:r>
      <w:r w:rsidRPr="00C11F18">
        <w:rPr>
          <w:rFonts w:cstheme="minorBidi"/>
          <w:b w:val="0"/>
          <w:bCs w:val="0"/>
          <w:i/>
          <w:iCs/>
        </w:rPr>
        <w:t xml:space="preserve">Children under 6 years or weighing less than 22 kg: </w:t>
      </w:r>
    </w:p>
    <w:p w14:paraId="787A04A6" w14:textId="77777777" w:rsidR="00C11F18" w:rsidRDefault="00C11F18" w:rsidP="00C11F18">
      <w:pPr>
        <w:pStyle w:val="SubHeafingSMPC"/>
        <w:numPr>
          <w:ilvl w:val="0"/>
          <w:numId w:val="0"/>
        </w:numPr>
        <w:spacing w:before="0"/>
        <w:jc w:val="thaiDistribute"/>
        <w:rPr>
          <w:rFonts w:cstheme="minorBidi"/>
          <w:u w:val="single"/>
        </w:rPr>
      </w:pPr>
      <w:r>
        <w:rPr>
          <w:rFonts w:cstheme="minorBidi"/>
          <w:b w:val="0"/>
          <w:bCs w:val="0"/>
        </w:rPr>
        <w:tab/>
      </w:r>
      <w:r w:rsidRPr="00C11F18">
        <w:rPr>
          <w:rFonts w:cstheme="minorBidi"/>
          <w:b w:val="0"/>
          <w:bCs w:val="0"/>
        </w:rPr>
        <w:t>Not recommended.</w:t>
      </w:r>
    </w:p>
    <w:p w14:paraId="626362BE" w14:textId="77777777" w:rsidR="00051494" w:rsidRPr="00051494" w:rsidRDefault="00051494" w:rsidP="00C11F18">
      <w:pPr>
        <w:pStyle w:val="SubHeafingSMPC"/>
        <w:numPr>
          <w:ilvl w:val="0"/>
          <w:numId w:val="0"/>
        </w:numPr>
        <w:spacing w:before="0"/>
        <w:jc w:val="thaiDistribute"/>
        <w:rPr>
          <w:rFonts w:cstheme="minorBidi"/>
          <w:sz w:val="10"/>
          <w:szCs w:val="10"/>
          <w:u w:val="single"/>
        </w:rPr>
      </w:pPr>
    </w:p>
    <w:p w14:paraId="37FE0D20" w14:textId="77777777" w:rsidR="00C11F18" w:rsidRPr="00C11F18" w:rsidRDefault="00C11F18" w:rsidP="00C11F18">
      <w:pPr>
        <w:pStyle w:val="SubHeafingSMPC"/>
        <w:numPr>
          <w:ilvl w:val="0"/>
          <w:numId w:val="0"/>
        </w:numPr>
        <w:spacing w:before="0"/>
        <w:jc w:val="thaiDistribute"/>
        <w:rPr>
          <w:rFonts w:cstheme="minorBidi"/>
          <w:b w:val="0"/>
          <w:bCs w:val="0"/>
          <w:i/>
          <w:iCs/>
        </w:rPr>
      </w:pPr>
      <w:r w:rsidRPr="00C11F18">
        <w:rPr>
          <w:rFonts w:cstheme="minorBidi"/>
          <w:b w:val="0"/>
          <w:bCs w:val="0"/>
        </w:rPr>
        <w:tab/>
      </w:r>
      <w:r w:rsidRPr="00C11F18">
        <w:rPr>
          <w:rFonts w:cstheme="minorBidi"/>
          <w:b w:val="0"/>
          <w:bCs w:val="0"/>
          <w:i/>
          <w:iCs/>
        </w:rPr>
        <w:t>Renal impairment:</w:t>
      </w:r>
    </w:p>
    <w:p w14:paraId="0887E9E7" w14:textId="77777777" w:rsidR="00C11F18" w:rsidRDefault="00C11F18" w:rsidP="00C11F18">
      <w:pPr>
        <w:pStyle w:val="SubHeafingSMPC"/>
        <w:numPr>
          <w:ilvl w:val="0"/>
          <w:numId w:val="0"/>
        </w:numPr>
        <w:spacing w:before="0"/>
        <w:jc w:val="thaiDistribute"/>
        <w:rPr>
          <w:rFonts w:cstheme="minorBidi"/>
          <w:b w:val="0"/>
          <w:bCs w:val="0"/>
        </w:rPr>
      </w:pPr>
      <w:r>
        <w:rPr>
          <w:rFonts w:cstheme="minorBidi"/>
          <w:b w:val="0"/>
          <w:bCs w:val="0"/>
        </w:rPr>
        <w:tab/>
      </w:r>
      <w:r w:rsidRPr="00C11F18">
        <w:rPr>
          <w:rFonts w:cstheme="minorBidi"/>
          <w:b w:val="0"/>
          <w:bCs w:val="0"/>
        </w:rPr>
        <w:t xml:space="preserve">The usual adult dose can be administered. However, patients with </w:t>
      </w:r>
      <w:r>
        <w:rPr>
          <w:rFonts w:cstheme="minorBidi"/>
          <w:b w:val="0"/>
          <w:bCs w:val="0"/>
        </w:rPr>
        <w:tab/>
      </w:r>
      <w:r w:rsidRPr="00C11F18">
        <w:rPr>
          <w:rFonts w:cstheme="minorBidi"/>
          <w:b w:val="0"/>
          <w:bCs w:val="0"/>
        </w:rPr>
        <w:t xml:space="preserve">chronic renal failure on haemodialysis may require iv iron therapy. </w:t>
      </w:r>
    </w:p>
    <w:p w14:paraId="5DAF730D" w14:textId="77777777" w:rsidR="00051494" w:rsidRPr="00051494" w:rsidRDefault="00051494" w:rsidP="00C11F18">
      <w:pPr>
        <w:pStyle w:val="SubHeafingSMPC"/>
        <w:numPr>
          <w:ilvl w:val="0"/>
          <w:numId w:val="0"/>
        </w:numPr>
        <w:spacing w:before="0"/>
        <w:jc w:val="thaiDistribute"/>
        <w:rPr>
          <w:rFonts w:cstheme="minorBidi"/>
          <w:b w:val="0"/>
          <w:bCs w:val="0"/>
          <w:sz w:val="10"/>
          <w:szCs w:val="10"/>
        </w:rPr>
      </w:pPr>
    </w:p>
    <w:p w14:paraId="7713E4EF" w14:textId="77777777" w:rsidR="00C11F18" w:rsidRPr="00C11F18" w:rsidRDefault="00C11F18" w:rsidP="00C11F18">
      <w:pPr>
        <w:pStyle w:val="SubHeafingSMPC"/>
        <w:numPr>
          <w:ilvl w:val="0"/>
          <w:numId w:val="0"/>
        </w:numPr>
        <w:spacing w:before="0"/>
        <w:jc w:val="thaiDistribute"/>
        <w:rPr>
          <w:rFonts w:cstheme="minorBidi"/>
          <w:b w:val="0"/>
          <w:bCs w:val="0"/>
          <w:i/>
          <w:iCs/>
        </w:rPr>
      </w:pPr>
      <w:r>
        <w:rPr>
          <w:rFonts w:cstheme="minorBidi"/>
          <w:b w:val="0"/>
          <w:bCs w:val="0"/>
        </w:rPr>
        <w:tab/>
      </w:r>
      <w:r w:rsidRPr="00C11F18">
        <w:rPr>
          <w:rFonts w:cstheme="minorBidi"/>
          <w:b w:val="0"/>
          <w:bCs w:val="0"/>
          <w:i/>
          <w:iCs/>
        </w:rPr>
        <w:t>Hepatic impairment</w:t>
      </w:r>
    </w:p>
    <w:p w14:paraId="41273650" w14:textId="185B8131" w:rsidR="00C11F18" w:rsidRPr="00C11F18" w:rsidRDefault="00C11F18" w:rsidP="00C11F18">
      <w:pPr>
        <w:pStyle w:val="SubHeafingSMPC"/>
        <w:numPr>
          <w:ilvl w:val="0"/>
          <w:numId w:val="0"/>
        </w:numPr>
        <w:spacing w:before="0"/>
        <w:jc w:val="thaiDistribute"/>
        <w:rPr>
          <w:rFonts w:cstheme="minorBidi"/>
          <w:u w:val="single"/>
        </w:rPr>
      </w:pPr>
      <w:r>
        <w:rPr>
          <w:rFonts w:cstheme="minorBidi"/>
          <w:b w:val="0"/>
          <w:bCs w:val="0"/>
        </w:rPr>
        <w:tab/>
      </w:r>
      <w:r w:rsidRPr="00C11F18">
        <w:rPr>
          <w:rFonts w:cstheme="minorBidi"/>
          <w:b w:val="0"/>
          <w:bCs w:val="0"/>
        </w:rPr>
        <w:t>There are no adequate data for specific dosing recommendations in the</w:t>
      </w:r>
      <w:r>
        <w:rPr>
          <w:rFonts w:cstheme="minorBidi"/>
          <w:b w:val="0"/>
          <w:bCs w:val="0"/>
        </w:rPr>
        <w:t xml:space="preserve"> </w:t>
      </w:r>
      <w:r>
        <w:rPr>
          <w:rFonts w:cstheme="minorBidi"/>
          <w:b w:val="0"/>
          <w:bCs w:val="0"/>
        </w:rPr>
        <w:tab/>
      </w:r>
      <w:r w:rsidRPr="00C11F18">
        <w:rPr>
          <w:rFonts w:cstheme="minorBidi"/>
          <w:b w:val="0"/>
          <w:bCs w:val="0"/>
        </w:rPr>
        <w:t>case of impaired liver function.</w:t>
      </w:r>
    </w:p>
    <w:p w14:paraId="257AF75B" w14:textId="77777777" w:rsidR="00C11F18" w:rsidRPr="00C11F18" w:rsidRDefault="00C11F18" w:rsidP="00C11F18">
      <w:pPr>
        <w:pStyle w:val="SubHeafingSMPC"/>
        <w:numPr>
          <w:ilvl w:val="0"/>
          <w:numId w:val="0"/>
        </w:numPr>
        <w:spacing w:before="0"/>
        <w:rPr>
          <w:rFonts w:cstheme="minorBidi"/>
          <w:b w:val="0"/>
          <w:bCs w:val="0"/>
          <w:sz w:val="10"/>
          <w:szCs w:val="10"/>
        </w:rPr>
      </w:pPr>
    </w:p>
    <w:p w14:paraId="7970357F" w14:textId="77777777" w:rsidR="00C11F18" w:rsidRDefault="00C11F18" w:rsidP="00C11F18">
      <w:pPr>
        <w:pStyle w:val="SubHeafingSMPC"/>
        <w:numPr>
          <w:ilvl w:val="0"/>
          <w:numId w:val="0"/>
        </w:numPr>
        <w:rPr>
          <w:rFonts w:cstheme="minorBidi"/>
          <w:b w:val="0"/>
          <w:bCs w:val="0"/>
          <w:u w:val="single"/>
        </w:rPr>
      </w:pPr>
      <w:r>
        <w:rPr>
          <w:rFonts w:cstheme="minorBidi"/>
          <w:b w:val="0"/>
          <w:bCs w:val="0"/>
          <w:cs/>
        </w:rPr>
        <w:tab/>
      </w:r>
      <w:r w:rsidRPr="00E26561">
        <w:rPr>
          <w:b w:val="0"/>
          <w:bCs w:val="0"/>
          <w:u w:val="single"/>
        </w:rPr>
        <w:t>Method of administration</w:t>
      </w:r>
    </w:p>
    <w:p w14:paraId="1762E22B" w14:textId="77777777" w:rsidR="00C11F18" w:rsidRDefault="00C11F18" w:rsidP="00C11F18">
      <w:pPr>
        <w:pStyle w:val="SubHeafingSMPC"/>
        <w:numPr>
          <w:ilvl w:val="0"/>
          <w:numId w:val="0"/>
        </w:numPr>
        <w:spacing w:before="0"/>
        <w:jc w:val="thaiDistribute"/>
        <w:rPr>
          <w:b w:val="0"/>
          <w:bCs w:val="0"/>
        </w:rPr>
      </w:pPr>
      <w:r>
        <w:rPr>
          <w:rFonts w:cstheme="minorBidi"/>
          <w:b w:val="0"/>
          <w:bCs w:val="0"/>
          <w:cs/>
        </w:rPr>
        <w:tab/>
      </w:r>
      <w:r w:rsidRPr="00C11F18">
        <w:rPr>
          <w:b w:val="0"/>
          <w:bCs w:val="0"/>
        </w:rPr>
        <w:t>For oral administration.</w:t>
      </w:r>
    </w:p>
    <w:p w14:paraId="099A5D23" w14:textId="77777777" w:rsidR="00051494" w:rsidRPr="00051494" w:rsidRDefault="00051494" w:rsidP="00C11F18">
      <w:pPr>
        <w:pStyle w:val="SubHeafingSMPC"/>
        <w:numPr>
          <w:ilvl w:val="0"/>
          <w:numId w:val="0"/>
        </w:numPr>
        <w:spacing w:before="0"/>
        <w:jc w:val="thaiDistribute"/>
        <w:rPr>
          <w:b w:val="0"/>
          <w:bCs w:val="0"/>
          <w:sz w:val="10"/>
          <w:szCs w:val="10"/>
        </w:rPr>
      </w:pPr>
    </w:p>
    <w:p w14:paraId="0900DD19" w14:textId="77777777" w:rsidR="00C11F18" w:rsidRDefault="00C11F18" w:rsidP="00C11F18">
      <w:pPr>
        <w:pStyle w:val="SubHeafingSMPC"/>
        <w:numPr>
          <w:ilvl w:val="0"/>
          <w:numId w:val="0"/>
        </w:numPr>
        <w:spacing w:before="0"/>
        <w:jc w:val="thaiDistribute"/>
        <w:rPr>
          <w:b w:val="0"/>
          <w:bCs w:val="0"/>
        </w:rPr>
      </w:pPr>
      <w:r>
        <w:rPr>
          <w:b w:val="0"/>
          <w:bCs w:val="0"/>
        </w:rPr>
        <w:tab/>
      </w:r>
      <w:r w:rsidRPr="00C11F18">
        <w:rPr>
          <w:b w:val="0"/>
          <w:bCs w:val="0"/>
        </w:rPr>
        <w:t xml:space="preserve">The tablets should not be sucked, chewed or kept in the mouth, but </w:t>
      </w:r>
      <w:r>
        <w:rPr>
          <w:b w:val="0"/>
          <w:bCs w:val="0"/>
        </w:rPr>
        <w:tab/>
      </w:r>
      <w:r w:rsidRPr="00C11F18">
        <w:rPr>
          <w:b w:val="0"/>
          <w:bCs w:val="0"/>
        </w:rPr>
        <w:t xml:space="preserve">swallowed whole with water. Tablets should be taken before meals or </w:t>
      </w:r>
      <w:r>
        <w:rPr>
          <w:b w:val="0"/>
          <w:bCs w:val="0"/>
        </w:rPr>
        <w:tab/>
      </w:r>
      <w:r w:rsidRPr="00C11F18">
        <w:rPr>
          <w:b w:val="0"/>
          <w:bCs w:val="0"/>
        </w:rPr>
        <w:t>during meals, depending on gastrointestinal tolerance.</w:t>
      </w:r>
    </w:p>
    <w:p w14:paraId="7FC5886F" w14:textId="77777777" w:rsidR="00051494" w:rsidRPr="00051494" w:rsidRDefault="00051494" w:rsidP="00C11F18">
      <w:pPr>
        <w:pStyle w:val="SubHeafingSMPC"/>
        <w:numPr>
          <w:ilvl w:val="0"/>
          <w:numId w:val="0"/>
        </w:numPr>
        <w:spacing w:before="0"/>
        <w:jc w:val="thaiDistribute"/>
        <w:rPr>
          <w:b w:val="0"/>
          <w:bCs w:val="0"/>
          <w:sz w:val="10"/>
          <w:szCs w:val="10"/>
        </w:rPr>
      </w:pPr>
    </w:p>
    <w:p w14:paraId="127E9552" w14:textId="77777777" w:rsidR="00C11F18" w:rsidRDefault="00C11F18" w:rsidP="00C11F18">
      <w:pPr>
        <w:pStyle w:val="SubHeafingSMPC"/>
        <w:numPr>
          <w:ilvl w:val="0"/>
          <w:numId w:val="0"/>
        </w:numPr>
        <w:spacing w:before="0"/>
        <w:jc w:val="thaiDistribute"/>
        <w:rPr>
          <w:b w:val="0"/>
          <w:bCs w:val="0"/>
        </w:rPr>
      </w:pPr>
      <w:r>
        <w:rPr>
          <w:b w:val="0"/>
          <w:bCs w:val="0"/>
        </w:rPr>
        <w:tab/>
      </w:r>
      <w:r w:rsidRPr="00C11F18">
        <w:rPr>
          <w:b w:val="0"/>
          <w:bCs w:val="0"/>
        </w:rPr>
        <w:t xml:space="preserve">The duration of treatment depends on the type and severity of the disease. </w:t>
      </w:r>
      <w:r>
        <w:rPr>
          <w:b w:val="0"/>
          <w:bCs w:val="0"/>
        </w:rPr>
        <w:tab/>
      </w:r>
      <w:r w:rsidRPr="00C11F18">
        <w:rPr>
          <w:b w:val="0"/>
          <w:bCs w:val="0"/>
        </w:rPr>
        <w:t xml:space="preserve">Basically, iron therapy is necessary to achieve a therapy success over a </w:t>
      </w:r>
      <w:r>
        <w:rPr>
          <w:b w:val="0"/>
          <w:bCs w:val="0"/>
        </w:rPr>
        <w:tab/>
      </w:r>
      <w:r w:rsidRPr="00C11F18">
        <w:rPr>
          <w:b w:val="0"/>
          <w:bCs w:val="0"/>
        </w:rPr>
        <w:t xml:space="preserve">period of at least 8 weeks. After normalisation of the Hb value, the iron </w:t>
      </w:r>
      <w:r>
        <w:rPr>
          <w:b w:val="0"/>
          <w:bCs w:val="0"/>
        </w:rPr>
        <w:tab/>
      </w:r>
      <w:r w:rsidRPr="00C11F18">
        <w:rPr>
          <w:b w:val="0"/>
          <w:bCs w:val="0"/>
        </w:rPr>
        <w:t>deposit should be treated for 6-8 weeks to replenish the iron deposit.</w:t>
      </w:r>
    </w:p>
    <w:p w14:paraId="78881BB3" w14:textId="77777777" w:rsidR="00051494" w:rsidRPr="00051494" w:rsidRDefault="00051494" w:rsidP="00C11F18">
      <w:pPr>
        <w:pStyle w:val="SubHeafingSMPC"/>
        <w:numPr>
          <w:ilvl w:val="0"/>
          <w:numId w:val="0"/>
        </w:numPr>
        <w:spacing w:before="0"/>
        <w:jc w:val="thaiDistribute"/>
        <w:rPr>
          <w:b w:val="0"/>
          <w:bCs w:val="0"/>
          <w:sz w:val="10"/>
          <w:szCs w:val="10"/>
        </w:rPr>
      </w:pPr>
    </w:p>
    <w:p w14:paraId="60C1485D" w14:textId="1D331AE5" w:rsidR="00C11F18" w:rsidRPr="004E6B0A" w:rsidRDefault="00C11F18" w:rsidP="00C11F18">
      <w:pPr>
        <w:pStyle w:val="SubHeafingSMPC"/>
        <w:numPr>
          <w:ilvl w:val="0"/>
          <w:numId w:val="0"/>
        </w:numPr>
        <w:spacing w:before="0"/>
        <w:jc w:val="thaiDistribute"/>
        <w:rPr>
          <w:b w:val="0"/>
          <w:bCs w:val="0"/>
        </w:rPr>
      </w:pPr>
      <w:r>
        <w:rPr>
          <w:b w:val="0"/>
          <w:bCs w:val="0"/>
        </w:rPr>
        <w:tab/>
      </w:r>
      <w:r w:rsidRPr="00C11F18">
        <w:rPr>
          <w:b w:val="0"/>
          <w:bCs w:val="0"/>
        </w:rPr>
        <w:t>The efficacy of the treatment should be monitored by blood tests</w:t>
      </w:r>
    </w:p>
    <w:p w14:paraId="7202021B" w14:textId="77777777" w:rsidR="00C11F18" w:rsidRDefault="00C11F18" w:rsidP="00C11F18">
      <w:pPr>
        <w:pStyle w:val="SubHeafingSMPC"/>
        <w:ind w:left="57"/>
      </w:pPr>
      <w:r w:rsidRPr="008F5678">
        <w:t>Contraindications</w:t>
      </w:r>
    </w:p>
    <w:p w14:paraId="5E45DBD4"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Hypersensitivity to the active substance or any of the other excipients listed in section 6.1.</w:t>
      </w:r>
    </w:p>
    <w:p w14:paraId="79EFC08D"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lastRenderedPageBreak/>
        <w:t>Paroxysmal nocturnal haemoglobinuria.</w:t>
      </w:r>
    </w:p>
    <w:p w14:paraId="0C8BFDBD"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Haemosiderosis and haemochromatosis</w:t>
      </w:r>
    </w:p>
    <w:p w14:paraId="3B186788"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Active peptic ulcer</w:t>
      </w:r>
    </w:p>
    <w:p w14:paraId="18AF3B42"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Patients receiving repeated blood transfusions</w:t>
      </w:r>
    </w:p>
    <w:p w14:paraId="1458EF47"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Regional enteritis and ulcerative colitis</w:t>
      </w:r>
    </w:p>
    <w:p w14:paraId="60D0C1E2" w14:textId="77777777" w:rsidR="00C11F18" w:rsidRDefault="00C11F18" w:rsidP="00C11F18">
      <w:pPr>
        <w:pStyle w:val="SubHeafingSMPC"/>
        <w:numPr>
          <w:ilvl w:val="0"/>
          <w:numId w:val="2"/>
        </w:numPr>
        <w:jc w:val="thaiDistribute"/>
        <w:rPr>
          <w:b w:val="0"/>
          <w:bCs w:val="0"/>
          <w:lang w:eastAsia="zh-CN"/>
        </w:rPr>
      </w:pPr>
      <w:r w:rsidRPr="00C11F18">
        <w:rPr>
          <w:b w:val="0"/>
          <w:bCs w:val="0"/>
          <w:lang w:eastAsia="zh-CN"/>
        </w:rPr>
        <w:t>Haemolytic anaemia</w:t>
      </w:r>
    </w:p>
    <w:p w14:paraId="73A16397" w14:textId="43AADC49" w:rsidR="00C11F18" w:rsidRPr="004E6B0A" w:rsidRDefault="00C11F18" w:rsidP="00C11F18">
      <w:pPr>
        <w:pStyle w:val="SubHeafingSMPC"/>
        <w:numPr>
          <w:ilvl w:val="0"/>
          <w:numId w:val="2"/>
        </w:numPr>
        <w:jc w:val="thaiDistribute"/>
        <w:rPr>
          <w:b w:val="0"/>
          <w:bCs w:val="0"/>
          <w:lang w:eastAsia="zh-CN"/>
        </w:rPr>
      </w:pPr>
      <w:r w:rsidRPr="00C11F18">
        <w:rPr>
          <w:b w:val="0"/>
          <w:bCs w:val="0"/>
          <w:lang w:eastAsia="zh-CN"/>
        </w:rPr>
        <w:t>Oral and parenteral iron preparations should not be used concomitantly.</w:t>
      </w:r>
    </w:p>
    <w:p w14:paraId="1176A014" w14:textId="77777777" w:rsidR="00C11F18" w:rsidRDefault="00C11F18" w:rsidP="00C11F18">
      <w:pPr>
        <w:pStyle w:val="SubHeafingSMPC"/>
        <w:ind w:left="57"/>
      </w:pPr>
      <w:r w:rsidRPr="008F5678">
        <w:t>Special warnings and precautions for use</w:t>
      </w:r>
    </w:p>
    <w:p w14:paraId="27357179"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Some post-gastrectomy patients show poor absorption of iron.</w:t>
      </w:r>
      <w:r>
        <w:rPr>
          <w:rFonts w:cstheme="minorBidi"/>
          <w:b w:val="0"/>
          <w:bCs w:val="0"/>
        </w:rPr>
        <w:t xml:space="preserve"> </w:t>
      </w:r>
    </w:p>
    <w:p w14:paraId="25BFA25A"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5923D1FD"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Administer with caution in patients with haemoglobinopathies, iron</w:t>
      </w:r>
      <w:r>
        <w:rPr>
          <w:rFonts w:cstheme="minorBidi"/>
          <w:b w:val="0"/>
          <w:bCs w:val="0"/>
        </w:rPr>
        <w:t xml:space="preserve"> </w:t>
      </w:r>
      <w:r>
        <w:rPr>
          <w:rFonts w:cstheme="minorBidi"/>
          <w:b w:val="0"/>
          <w:bCs w:val="0"/>
        </w:rPr>
        <w:tab/>
      </w:r>
      <w:r w:rsidRPr="00C11F18">
        <w:rPr>
          <w:rFonts w:cstheme="minorBidi"/>
          <w:b w:val="0"/>
          <w:bCs w:val="0"/>
        </w:rPr>
        <w:t>storage or iron-absorption diseases, existing gastrointestinal disease</w:t>
      </w:r>
      <w:r w:rsidRPr="00091200">
        <w:rPr>
          <w:rFonts w:cstheme="minorBidi"/>
          <w:b w:val="0"/>
          <w:bCs w:val="0"/>
        </w:rPr>
        <w:t>.</w:t>
      </w:r>
      <w:r w:rsidRPr="00091200">
        <w:rPr>
          <w:rFonts w:cstheme="minorBidi"/>
          <w:b w:val="0"/>
          <w:bCs w:val="0"/>
          <w:cs/>
        </w:rPr>
        <w:tab/>
      </w:r>
    </w:p>
    <w:p w14:paraId="563983F4" w14:textId="77777777" w:rsidR="00051494" w:rsidRPr="00051494" w:rsidRDefault="00051494" w:rsidP="00C11F18">
      <w:pPr>
        <w:pStyle w:val="SubHeafingSMPC"/>
        <w:numPr>
          <w:ilvl w:val="0"/>
          <w:numId w:val="0"/>
        </w:numPr>
        <w:jc w:val="thaiDistribute"/>
        <w:rPr>
          <w:rFonts w:cstheme="minorBidi" w:hint="cs"/>
          <w:b w:val="0"/>
          <w:bCs w:val="0"/>
          <w:sz w:val="10"/>
          <w:szCs w:val="10"/>
        </w:rPr>
      </w:pPr>
    </w:p>
    <w:p w14:paraId="2A56EFB3"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 xml:space="preserve">Caution is advised when prescribing iron preparations to individuals with </w:t>
      </w:r>
      <w:r>
        <w:rPr>
          <w:rFonts w:cstheme="minorBidi"/>
          <w:b w:val="0"/>
          <w:bCs w:val="0"/>
        </w:rPr>
        <w:tab/>
      </w:r>
      <w:r w:rsidRPr="00C11F18">
        <w:rPr>
          <w:rFonts w:cstheme="minorBidi"/>
          <w:b w:val="0"/>
          <w:bCs w:val="0"/>
        </w:rPr>
        <w:t xml:space="preserve">history of peptic ulcer, and inflammatory bowel disease, including </w:t>
      </w:r>
      <w:r>
        <w:rPr>
          <w:rFonts w:cstheme="minorBidi"/>
          <w:b w:val="0"/>
          <w:bCs w:val="0"/>
        </w:rPr>
        <w:tab/>
      </w:r>
      <w:r w:rsidRPr="00C11F18">
        <w:rPr>
          <w:rFonts w:cstheme="minorBidi"/>
          <w:b w:val="0"/>
          <w:bCs w:val="0"/>
        </w:rPr>
        <w:t xml:space="preserve">regional enteritis and ulcerative colitis. Care should be taken in patients </w:t>
      </w:r>
      <w:r>
        <w:rPr>
          <w:rFonts w:cstheme="minorBidi"/>
          <w:b w:val="0"/>
          <w:bCs w:val="0"/>
        </w:rPr>
        <w:tab/>
      </w:r>
      <w:r w:rsidRPr="00C11F18">
        <w:rPr>
          <w:rFonts w:cstheme="minorBidi"/>
          <w:b w:val="0"/>
          <w:bCs w:val="0"/>
        </w:rPr>
        <w:t xml:space="preserve">with intestinal strictures or diverticulae. Duration of treatment should </w:t>
      </w:r>
      <w:r>
        <w:rPr>
          <w:rFonts w:cstheme="minorBidi"/>
          <w:b w:val="0"/>
          <w:bCs w:val="0"/>
        </w:rPr>
        <w:tab/>
      </w:r>
      <w:r w:rsidRPr="00C11F18">
        <w:rPr>
          <w:rFonts w:cstheme="minorBidi"/>
          <w:b w:val="0"/>
          <w:bCs w:val="0"/>
        </w:rPr>
        <w:t>generally not exceed 3 months after correction of anaemia.</w:t>
      </w:r>
    </w:p>
    <w:p w14:paraId="37BBFCB6"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5FC3EF38"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 xml:space="preserve">Dental caries is a definite risk following long term treatment with this </w:t>
      </w:r>
      <w:r>
        <w:rPr>
          <w:rFonts w:cstheme="minorBidi"/>
          <w:b w:val="0"/>
          <w:bCs w:val="0"/>
        </w:rPr>
        <w:tab/>
      </w:r>
      <w:r w:rsidRPr="00C11F18">
        <w:rPr>
          <w:rFonts w:cstheme="minorBidi"/>
          <w:b w:val="0"/>
          <w:bCs w:val="0"/>
        </w:rPr>
        <w:t>product.</w:t>
      </w:r>
    </w:p>
    <w:p w14:paraId="79DECBE2"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6429A368"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Due to the risk of mouth ulceration and tooth discoloration, the tablets</w:t>
      </w:r>
      <w:r>
        <w:rPr>
          <w:rFonts w:cstheme="minorBidi"/>
          <w:b w:val="0"/>
          <w:bCs w:val="0"/>
        </w:rPr>
        <w:t xml:space="preserve"> </w:t>
      </w:r>
      <w:r>
        <w:rPr>
          <w:rFonts w:cstheme="minorBidi"/>
          <w:b w:val="0"/>
          <w:bCs w:val="0"/>
        </w:rPr>
        <w:tab/>
      </w:r>
      <w:r w:rsidRPr="00C11F18">
        <w:rPr>
          <w:rFonts w:cstheme="minorBidi"/>
          <w:b w:val="0"/>
          <w:bCs w:val="0"/>
        </w:rPr>
        <w:t xml:space="preserve">should not be sucked, chewed or kept in the mouth, but swallowed whole </w:t>
      </w:r>
      <w:r>
        <w:rPr>
          <w:rFonts w:cstheme="minorBidi"/>
          <w:b w:val="0"/>
          <w:bCs w:val="0"/>
        </w:rPr>
        <w:tab/>
      </w:r>
      <w:r w:rsidRPr="00C11F18">
        <w:rPr>
          <w:rFonts w:cstheme="minorBidi"/>
          <w:b w:val="0"/>
          <w:bCs w:val="0"/>
        </w:rPr>
        <w:t>with water.</w:t>
      </w:r>
    </w:p>
    <w:p w14:paraId="114146B0"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318D74A5"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 xml:space="preserve">These tablets contain sugar and should be administered with care to </w:t>
      </w:r>
      <w:r>
        <w:rPr>
          <w:rFonts w:cstheme="minorBidi"/>
          <w:b w:val="0"/>
          <w:bCs w:val="0"/>
        </w:rPr>
        <w:tab/>
      </w:r>
      <w:r w:rsidRPr="00C11F18">
        <w:rPr>
          <w:rFonts w:cstheme="minorBidi"/>
          <w:b w:val="0"/>
          <w:bCs w:val="0"/>
        </w:rPr>
        <w:t>patients with diabetes.</w:t>
      </w:r>
    </w:p>
    <w:p w14:paraId="3F0B2EC8"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34E1D517"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 xml:space="preserve">Co-existing deficiency of vitamin B12 or folic acid should be ruled out </w:t>
      </w:r>
      <w:r>
        <w:rPr>
          <w:rFonts w:cstheme="minorBidi"/>
          <w:b w:val="0"/>
          <w:bCs w:val="0"/>
        </w:rPr>
        <w:tab/>
      </w:r>
      <w:r w:rsidRPr="00C11F18">
        <w:rPr>
          <w:rFonts w:cstheme="minorBidi"/>
          <w:b w:val="0"/>
          <w:bCs w:val="0"/>
        </w:rPr>
        <w:t>since combined deficiency produces microcytic blood film.</w:t>
      </w:r>
    </w:p>
    <w:p w14:paraId="30C18FD8"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lastRenderedPageBreak/>
        <w:tab/>
      </w:r>
      <w:r w:rsidRPr="00C11F18">
        <w:rPr>
          <w:rFonts w:cstheme="minorBidi"/>
          <w:b w:val="0"/>
          <w:bCs w:val="0"/>
        </w:rPr>
        <w:t xml:space="preserve">Aspiration of iron sulfate tablets can cause necrosis of the bronchial </w:t>
      </w:r>
      <w:r>
        <w:rPr>
          <w:rFonts w:cstheme="minorBidi"/>
          <w:b w:val="0"/>
          <w:bCs w:val="0"/>
        </w:rPr>
        <w:tab/>
      </w:r>
      <w:r w:rsidRPr="00C11F18">
        <w:rPr>
          <w:rFonts w:cstheme="minorBidi"/>
          <w:b w:val="0"/>
          <w:bCs w:val="0"/>
        </w:rPr>
        <w:t xml:space="preserve">mucosa which may result in coughing, haemoptysis, bronchostenosis </w:t>
      </w:r>
      <w:r>
        <w:rPr>
          <w:rFonts w:cstheme="minorBidi"/>
          <w:b w:val="0"/>
          <w:bCs w:val="0"/>
        </w:rPr>
        <w:tab/>
      </w:r>
      <w:r w:rsidRPr="00C11F18">
        <w:rPr>
          <w:rFonts w:cstheme="minorBidi"/>
          <w:b w:val="0"/>
          <w:bCs w:val="0"/>
        </w:rPr>
        <w:t xml:space="preserve">and/or pulmonary infection (even if aspiration happened days to months </w:t>
      </w:r>
      <w:r>
        <w:rPr>
          <w:rFonts w:cstheme="minorBidi"/>
          <w:b w:val="0"/>
          <w:bCs w:val="0"/>
        </w:rPr>
        <w:tab/>
      </w:r>
      <w:r w:rsidRPr="00C11F18">
        <w:rPr>
          <w:rFonts w:cstheme="minorBidi"/>
          <w:b w:val="0"/>
          <w:bCs w:val="0"/>
        </w:rPr>
        <w:t xml:space="preserve">before these symptoms occurred). Elderly patients and patients who have </w:t>
      </w:r>
      <w:r>
        <w:rPr>
          <w:rFonts w:cstheme="minorBidi"/>
          <w:b w:val="0"/>
          <w:bCs w:val="0"/>
        </w:rPr>
        <w:tab/>
      </w:r>
      <w:r w:rsidRPr="00C11F18">
        <w:rPr>
          <w:rFonts w:cstheme="minorBidi"/>
          <w:b w:val="0"/>
          <w:bCs w:val="0"/>
        </w:rPr>
        <w:t xml:space="preserve">difficulties swallowing should only be treated with iron sulfate tablets </w:t>
      </w:r>
      <w:r>
        <w:rPr>
          <w:rFonts w:cstheme="minorBidi"/>
          <w:b w:val="0"/>
          <w:bCs w:val="0"/>
        </w:rPr>
        <w:tab/>
      </w:r>
      <w:r w:rsidRPr="00C11F18">
        <w:rPr>
          <w:rFonts w:cstheme="minorBidi"/>
          <w:b w:val="0"/>
          <w:bCs w:val="0"/>
        </w:rPr>
        <w:t xml:space="preserve">after a careful evaluation of the individual patient’s risk of aspiration. </w:t>
      </w:r>
      <w:r>
        <w:rPr>
          <w:rFonts w:cstheme="minorBidi"/>
          <w:b w:val="0"/>
          <w:bCs w:val="0"/>
        </w:rPr>
        <w:tab/>
      </w:r>
      <w:r w:rsidRPr="00C11F18">
        <w:rPr>
          <w:rFonts w:cstheme="minorBidi"/>
          <w:b w:val="0"/>
          <w:bCs w:val="0"/>
        </w:rPr>
        <w:t xml:space="preserve">Alternative formulations should be considered. Patients should seek </w:t>
      </w:r>
      <w:r>
        <w:rPr>
          <w:rFonts w:cstheme="minorBidi"/>
          <w:b w:val="0"/>
          <w:bCs w:val="0"/>
        </w:rPr>
        <w:tab/>
      </w:r>
      <w:r w:rsidRPr="00C11F18">
        <w:rPr>
          <w:rFonts w:cstheme="minorBidi"/>
          <w:b w:val="0"/>
          <w:bCs w:val="0"/>
        </w:rPr>
        <w:t>medical attention in case of suspected aspiration.</w:t>
      </w:r>
    </w:p>
    <w:p w14:paraId="6438E89B"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3280D0B5" w14:textId="77777777" w:rsidR="00C11F18" w:rsidRDefault="00C11F18" w:rsidP="00C11F18">
      <w:pPr>
        <w:pStyle w:val="SubHeafingSMPC"/>
        <w:numPr>
          <w:ilvl w:val="0"/>
          <w:numId w:val="0"/>
        </w:numPr>
        <w:jc w:val="thaiDistribute"/>
        <w:rPr>
          <w:rFonts w:cstheme="minorBidi"/>
          <w:b w:val="0"/>
          <w:bCs w:val="0"/>
        </w:rPr>
      </w:pPr>
      <w:r>
        <w:rPr>
          <w:rFonts w:cstheme="minorBidi"/>
          <w:b w:val="0"/>
          <w:bCs w:val="0"/>
        </w:rPr>
        <w:tab/>
      </w:r>
      <w:r w:rsidRPr="00C11F18">
        <w:rPr>
          <w:rFonts w:cstheme="minorBidi"/>
          <w:b w:val="0"/>
          <w:bCs w:val="0"/>
        </w:rPr>
        <w:t xml:space="preserve">Patients with rare hereditary problems of galactose intolerance or </w:t>
      </w:r>
      <w:r>
        <w:rPr>
          <w:rFonts w:cstheme="minorBidi"/>
          <w:b w:val="0"/>
          <w:bCs w:val="0"/>
        </w:rPr>
        <w:tab/>
      </w:r>
      <w:r w:rsidRPr="00C11F18">
        <w:rPr>
          <w:rFonts w:cstheme="minorBidi"/>
          <w:b w:val="0"/>
          <w:bCs w:val="0"/>
        </w:rPr>
        <w:t xml:space="preserve">fructose intolerance, total lactase deficiency or glucose-galactose </w:t>
      </w:r>
      <w:r>
        <w:rPr>
          <w:rFonts w:cstheme="minorBidi"/>
          <w:b w:val="0"/>
          <w:bCs w:val="0"/>
        </w:rPr>
        <w:tab/>
      </w:r>
      <w:r w:rsidRPr="00C11F18">
        <w:rPr>
          <w:rFonts w:cstheme="minorBidi"/>
          <w:b w:val="0"/>
          <w:bCs w:val="0"/>
        </w:rPr>
        <w:t xml:space="preserve">malabsorption or sucrase-isomaltase insufficiency should not take this </w:t>
      </w:r>
      <w:r>
        <w:rPr>
          <w:rFonts w:cstheme="minorBidi"/>
          <w:b w:val="0"/>
          <w:bCs w:val="0"/>
        </w:rPr>
        <w:tab/>
      </w:r>
      <w:r w:rsidRPr="00C11F18">
        <w:rPr>
          <w:rFonts w:cstheme="minorBidi"/>
          <w:b w:val="0"/>
          <w:bCs w:val="0"/>
        </w:rPr>
        <w:t>medicine.</w:t>
      </w:r>
    </w:p>
    <w:p w14:paraId="1F582141" w14:textId="77777777" w:rsidR="00051494" w:rsidRPr="00051494" w:rsidRDefault="00051494" w:rsidP="00C11F18">
      <w:pPr>
        <w:pStyle w:val="SubHeafingSMPC"/>
        <w:numPr>
          <w:ilvl w:val="0"/>
          <w:numId w:val="0"/>
        </w:numPr>
        <w:jc w:val="thaiDistribute"/>
        <w:rPr>
          <w:rFonts w:cstheme="minorBidi"/>
          <w:b w:val="0"/>
          <w:bCs w:val="0"/>
          <w:sz w:val="10"/>
          <w:szCs w:val="10"/>
        </w:rPr>
      </w:pPr>
    </w:p>
    <w:p w14:paraId="042D6C59" w14:textId="77777777" w:rsidR="00C11F18" w:rsidRDefault="00C11F18" w:rsidP="00C11F18">
      <w:pPr>
        <w:pStyle w:val="SubHeafingSMPC"/>
        <w:numPr>
          <w:ilvl w:val="0"/>
          <w:numId w:val="0"/>
        </w:numPr>
        <w:jc w:val="thaiDistribute"/>
        <w:rPr>
          <w:b w:val="0"/>
          <w:bCs w:val="0"/>
        </w:rPr>
      </w:pPr>
      <w:r>
        <w:rPr>
          <w:rFonts w:cstheme="minorBidi"/>
          <w:b w:val="0"/>
          <w:bCs w:val="0"/>
        </w:rPr>
        <w:tab/>
      </w:r>
      <w:r w:rsidRPr="00C11F18">
        <w:rPr>
          <w:b w:val="0"/>
          <w:bCs w:val="0"/>
        </w:rPr>
        <w:t>The label will state</w:t>
      </w:r>
    </w:p>
    <w:p w14:paraId="02EB4B05" w14:textId="77777777" w:rsidR="00C11F18" w:rsidRDefault="00C11F18" w:rsidP="00C11F18">
      <w:pPr>
        <w:pStyle w:val="SubHeafingSMPC"/>
        <w:numPr>
          <w:ilvl w:val="0"/>
          <w:numId w:val="0"/>
        </w:numPr>
        <w:jc w:val="thaiDistribute"/>
        <w:rPr>
          <w:b w:val="0"/>
          <w:bCs w:val="0"/>
        </w:rPr>
      </w:pPr>
      <w:r>
        <w:rPr>
          <w:b w:val="0"/>
          <w:bCs w:val="0"/>
        </w:rPr>
        <w:tab/>
      </w:r>
      <w:r w:rsidRPr="00C11F18">
        <w:rPr>
          <w:b w:val="0"/>
          <w:bCs w:val="0"/>
        </w:rPr>
        <w:t xml:space="preserve">‘Important warning: Contains iron. Keep out of the sight and reach of </w:t>
      </w:r>
      <w:r>
        <w:rPr>
          <w:b w:val="0"/>
          <w:bCs w:val="0"/>
        </w:rPr>
        <w:tab/>
      </w:r>
      <w:r w:rsidRPr="00C11F18">
        <w:rPr>
          <w:b w:val="0"/>
          <w:bCs w:val="0"/>
        </w:rPr>
        <w:t>children, as overdose may be fatal’</w:t>
      </w:r>
      <w:r>
        <w:rPr>
          <w:b w:val="0"/>
          <w:bCs w:val="0"/>
        </w:rPr>
        <w:t>.</w:t>
      </w:r>
    </w:p>
    <w:p w14:paraId="2E02E5C4" w14:textId="3B6EAF78" w:rsidR="00C11F18" w:rsidRPr="00C11F18" w:rsidRDefault="00C11F18" w:rsidP="00C11F18">
      <w:pPr>
        <w:pStyle w:val="SubHeafingSMPC"/>
        <w:numPr>
          <w:ilvl w:val="0"/>
          <w:numId w:val="0"/>
        </w:numPr>
        <w:jc w:val="thaiDistribute"/>
        <w:rPr>
          <w:rFonts w:cstheme="minorBidi"/>
          <w:b w:val="0"/>
          <w:bCs w:val="0"/>
        </w:rPr>
      </w:pPr>
      <w:r>
        <w:rPr>
          <w:b w:val="0"/>
          <w:bCs w:val="0"/>
        </w:rPr>
        <w:tab/>
      </w:r>
      <w:r w:rsidRPr="00C11F18">
        <w:rPr>
          <w:b w:val="0"/>
          <w:bCs w:val="0"/>
        </w:rPr>
        <w:t xml:space="preserve">This will appear on the front of the pack within a rectangle in which there </w:t>
      </w:r>
      <w:r>
        <w:rPr>
          <w:b w:val="0"/>
          <w:bCs w:val="0"/>
        </w:rPr>
        <w:tab/>
      </w:r>
      <w:r w:rsidRPr="00C11F18">
        <w:rPr>
          <w:b w:val="0"/>
          <w:bCs w:val="0"/>
        </w:rPr>
        <w:t>is no other information.</w:t>
      </w:r>
    </w:p>
    <w:p w14:paraId="207E51F1" w14:textId="77777777" w:rsidR="00C11F18" w:rsidRPr="002C2ECF" w:rsidRDefault="00C11F18" w:rsidP="00C11F18">
      <w:pPr>
        <w:pStyle w:val="SubHeafingSMPC"/>
        <w:ind w:left="57"/>
        <w:jc w:val="thaiDistribute"/>
      </w:pPr>
      <w:r w:rsidRPr="008F5678">
        <w:t>Interaction with other medicinal products and other forms of</w:t>
      </w:r>
      <w:r>
        <w:t xml:space="preserve"> </w:t>
      </w:r>
      <w:r w:rsidRPr="008F5678">
        <w:t>interaction</w:t>
      </w:r>
    </w:p>
    <w:p w14:paraId="3B653817" w14:textId="77777777" w:rsidR="00C11F18" w:rsidRDefault="00C11F18" w:rsidP="00C11F18">
      <w:pPr>
        <w:pStyle w:val="SubHeafingSMPC"/>
        <w:numPr>
          <w:ilvl w:val="0"/>
          <w:numId w:val="0"/>
        </w:numPr>
        <w:jc w:val="thaiDistribute"/>
        <w:rPr>
          <w:b w:val="0"/>
          <w:bCs w:val="0"/>
        </w:rPr>
      </w:pPr>
      <w:r>
        <w:rPr>
          <w:b w:val="0"/>
          <w:bCs w:val="0"/>
        </w:rPr>
        <w:tab/>
      </w:r>
      <w:r w:rsidRPr="00C11F18">
        <w:rPr>
          <w:b w:val="0"/>
          <w:bCs w:val="0"/>
        </w:rPr>
        <w:t xml:space="preserve">Antibacterials: Iron and tetracyclines reduce the absorption of each other </w:t>
      </w:r>
      <w:r>
        <w:rPr>
          <w:b w:val="0"/>
          <w:bCs w:val="0"/>
        </w:rPr>
        <w:tab/>
      </w:r>
      <w:r w:rsidRPr="00C11F18">
        <w:rPr>
          <w:b w:val="0"/>
          <w:bCs w:val="0"/>
        </w:rPr>
        <w:t xml:space="preserve">when administered concomitantly. Administration of iron preparations </w:t>
      </w:r>
      <w:r>
        <w:rPr>
          <w:b w:val="0"/>
          <w:bCs w:val="0"/>
        </w:rPr>
        <w:tab/>
      </w:r>
      <w:r w:rsidRPr="00C11F18">
        <w:rPr>
          <w:b w:val="0"/>
          <w:bCs w:val="0"/>
        </w:rPr>
        <w:t>and tetracyclines should be separated by 2 to 3 hours</w:t>
      </w:r>
      <w:r w:rsidRPr="00D31F5A">
        <w:rPr>
          <w:b w:val="0"/>
          <w:bCs w:val="0"/>
        </w:rPr>
        <w:t>.</w:t>
      </w:r>
    </w:p>
    <w:p w14:paraId="13892EA6" w14:textId="77777777" w:rsidR="00051494" w:rsidRPr="00051494" w:rsidRDefault="00051494" w:rsidP="00C11F18">
      <w:pPr>
        <w:pStyle w:val="SubHeafingSMPC"/>
        <w:numPr>
          <w:ilvl w:val="0"/>
          <w:numId w:val="0"/>
        </w:numPr>
        <w:jc w:val="thaiDistribute"/>
        <w:rPr>
          <w:b w:val="0"/>
          <w:bCs w:val="0"/>
          <w:sz w:val="10"/>
          <w:szCs w:val="10"/>
        </w:rPr>
      </w:pPr>
    </w:p>
    <w:p w14:paraId="4F4AEAF8" w14:textId="77777777" w:rsidR="00C11F18" w:rsidRDefault="00C11F18" w:rsidP="00C11F18">
      <w:pPr>
        <w:pStyle w:val="SubHeafingSMPC"/>
        <w:numPr>
          <w:ilvl w:val="0"/>
          <w:numId w:val="0"/>
        </w:numPr>
        <w:jc w:val="thaiDistribute"/>
        <w:rPr>
          <w:b w:val="0"/>
          <w:bCs w:val="0"/>
        </w:rPr>
      </w:pPr>
      <w:r>
        <w:rPr>
          <w:b w:val="0"/>
          <w:bCs w:val="0"/>
        </w:rPr>
        <w:tab/>
      </w:r>
      <w:r w:rsidRPr="00C11F18">
        <w:rPr>
          <w:b w:val="0"/>
          <w:bCs w:val="0"/>
        </w:rPr>
        <w:t xml:space="preserve">The absorption of ciprofloxacin, levofloxacin, norfloxacin and ofloxacin </w:t>
      </w:r>
      <w:r>
        <w:rPr>
          <w:b w:val="0"/>
          <w:bCs w:val="0"/>
        </w:rPr>
        <w:tab/>
      </w:r>
      <w:r w:rsidRPr="00C11F18">
        <w:rPr>
          <w:b w:val="0"/>
          <w:bCs w:val="0"/>
        </w:rPr>
        <w:t>may be reduced by oral iron.</w:t>
      </w:r>
    </w:p>
    <w:p w14:paraId="7E61EBE4" w14:textId="77777777" w:rsidR="00051494" w:rsidRPr="00051494" w:rsidRDefault="00051494" w:rsidP="00C11F18">
      <w:pPr>
        <w:pStyle w:val="SubHeafingSMPC"/>
        <w:numPr>
          <w:ilvl w:val="0"/>
          <w:numId w:val="0"/>
        </w:numPr>
        <w:jc w:val="thaiDistribute"/>
        <w:rPr>
          <w:b w:val="0"/>
          <w:bCs w:val="0"/>
          <w:sz w:val="10"/>
          <w:szCs w:val="10"/>
        </w:rPr>
      </w:pPr>
    </w:p>
    <w:p w14:paraId="44B6C8DC" w14:textId="77777777" w:rsidR="00C21BCF" w:rsidRDefault="00C11F18" w:rsidP="00C11F18">
      <w:pPr>
        <w:pStyle w:val="SubHeafingSMPC"/>
        <w:numPr>
          <w:ilvl w:val="0"/>
          <w:numId w:val="0"/>
        </w:numPr>
        <w:jc w:val="thaiDistribute"/>
        <w:rPr>
          <w:b w:val="0"/>
          <w:bCs w:val="0"/>
        </w:rPr>
      </w:pPr>
      <w:r>
        <w:rPr>
          <w:b w:val="0"/>
          <w:bCs w:val="0"/>
        </w:rPr>
        <w:lastRenderedPageBreak/>
        <w:tab/>
      </w:r>
      <w:r w:rsidRPr="00051494">
        <w:rPr>
          <w:b w:val="0"/>
          <w:bCs w:val="0"/>
          <w:i/>
          <w:iCs/>
        </w:rPr>
        <w:t>Quinolones:</w:t>
      </w:r>
      <w:r w:rsidRPr="00C11F18">
        <w:rPr>
          <w:b w:val="0"/>
          <w:bCs w:val="0"/>
        </w:rPr>
        <w:t xml:space="preserve"> Iron may reduce the absorption of quinolones.</w:t>
      </w:r>
      <w:r>
        <w:rPr>
          <w:b w:val="0"/>
          <w:bCs w:val="0"/>
        </w:rPr>
        <w:t xml:space="preserve"> </w:t>
      </w:r>
      <w:r>
        <w:rPr>
          <w:b w:val="0"/>
          <w:bCs w:val="0"/>
        </w:rPr>
        <w:tab/>
      </w:r>
      <w:r w:rsidRPr="00C11F18">
        <w:rPr>
          <w:b w:val="0"/>
          <w:bCs w:val="0"/>
        </w:rPr>
        <w:t xml:space="preserve">Administration of iron preparations and quinolones should be separated </w:t>
      </w:r>
      <w:r>
        <w:rPr>
          <w:b w:val="0"/>
          <w:bCs w:val="0"/>
        </w:rPr>
        <w:tab/>
      </w:r>
      <w:r w:rsidRPr="00C11F18">
        <w:rPr>
          <w:b w:val="0"/>
          <w:bCs w:val="0"/>
        </w:rPr>
        <w:t>by at least 2 hours.</w:t>
      </w:r>
    </w:p>
    <w:p w14:paraId="5363C423" w14:textId="77777777" w:rsidR="00051494" w:rsidRPr="00051494" w:rsidRDefault="00051494" w:rsidP="00C11F18">
      <w:pPr>
        <w:pStyle w:val="SubHeafingSMPC"/>
        <w:numPr>
          <w:ilvl w:val="0"/>
          <w:numId w:val="0"/>
        </w:numPr>
        <w:jc w:val="thaiDistribute"/>
        <w:rPr>
          <w:b w:val="0"/>
          <w:bCs w:val="0"/>
          <w:sz w:val="10"/>
          <w:szCs w:val="10"/>
        </w:rPr>
      </w:pPr>
    </w:p>
    <w:p w14:paraId="2CD260FE" w14:textId="77777777" w:rsidR="00C21BCF" w:rsidRDefault="00C21BCF" w:rsidP="00C11F18">
      <w:pPr>
        <w:pStyle w:val="SubHeafingSMPC"/>
        <w:numPr>
          <w:ilvl w:val="0"/>
          <w:numId w:val="0"/>
        </w:numPr>
        <w:jc w:val="thaiDistribute"/>
        <w:rPr>
          <w:b w:val="0"/>
          <w:bCs w:val="0"/>
        </w:rPr>
      </w:pPr>
      <w:r>
        <w:rPr>
          <w:b w:val="0"/>
          <w:bCs w:val="0"/>
        </w:rPr>
        <w:tab/>
      </w:r>
      <w:r w:rsidRPr="00C21BCF">
        <w:rPr>
          <w:b w:val="0"/>
          <w:bCs w:val="0"/>
        </w:rPr>
        <w:t xml:space="preserve">Chloramphenicol delays plasma iron clearance, incorporation of iron into </w:t>
      </w:r>
      <w:r>
        <w:rPr>
          <w:b w:val="0"/>
          <w:bCs w:val="0"/>
        </w:rPr>
        <w:tab/>
      </w:r>
      <w:r w:rsidRPr="00C21BCF">
        <w:rPr>
          <w:b w:val="0"/>
          <w:bCs w:val="0"/>
        </w:rPr>
        <w:t>red blood cells and interferes with erythropoiesis.</w:t>
      </w:r>
    </w:p>
    <w:p w14:paraId="011C296C" w14:textId="77777777" w:rsidR="00051494" w:rsidRPr="00051494" w:rsidRDefault="00051494" w:rsidP="00C11F18">
      <w:pPr>
        <w:pStyle w:val="SubHeafingSMPC"/>
        <w:numPr>
          <w:ilvl w:val="0"/>
          <w:numId w:val="0"/>
        </w:numPr>
        <w:jc w:val="thaiDistribute"/>
        <w:rPr>
          <w:b w:val="0"/>
          <w:bCs w:val="0"/>
          <w:sz w:val="10"/>
          <w:szCs w:val="10"/>
        </w:rPr>
      </w:pPr>
    </w:p>
    <w:p w14:paraId="176D6A8F"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Antacids and mineral supplements:</w:t>
      </w:r>
      <w:r w:rsidRPr="00C21BCF">
        <w:rPr>
          <w:b w:val="0"/>
          <w:bCs w:val="0"/>
        </w:rPr>
        <w:t xml:space="preserve"> Compounds containing calcium, </w:t>
      </w:r>
      <w:r>
        <w:rPr>
          <w:b w:val="0"/>
          <w:bCs w:val="0"/>
        </w:rPr>
        <w:tab/>
      </w:r>
      <w:r w:rsidRPr="00C21BCF">
        <w:rPr>
          <w:b w:val="0"/>
          <w:bCs w:val="0"/>
        </w:rPr>
        <w:t xml:space="preserve">magnesium (including antacids and mineral supplements), bicarbonates, </w:t>
      </w:r>
      <w:r>
        <w:rPr>
          <w:b w:val="0"/>
          <w:bCs w:val="0"/>
        </w:rPr>
        <w:tab/>
      </w:r>
      <w:r w:rsidRPr="00C21BCF">
        <w:rPr>
          <w:b w:val="0"/>
          <w:bCs w:val="0"/>
        </w:rPr>
        <w:t>carbonates, oxalates or phosphates may impair the absorption of iron.</w:t>
      </w:r>
    </w:p>
    <w:p w14:paraId="7C1DDF1C" w14:textId="77777777" w:rsidR="00051494" w:rsidRPr="00051494" w:rsidRDefault="00051494" w:rsidP="00C11F18">
      <w:pPr>
        <w:pStyle w:val="SubHeafingSMPC"/>
        <w:numPr>
          <w:ilvl w:val="0"/>
          <w:numId w:val="0"/>
        </w:numPr>
        <w:jc w:val="thaiDistribute"/>
        <w:rPr>
          <w:b w:val="0"/>
          <w:bCs w:val="0"/>
          <w:sz w:val="10"/>
          <w:szCs w:val="10"/>
        </w:rPr>
      </w:pPr>
    </w:p>
    <w:p w14:paraId="3E7A07FF" w14:textId="77777777" w:rsidR="00C21BCF" w:rsidRDefault="00C21BCF" w:rsidP="00C11F18">
      <w:pPr>
        <w:pStyle w:val="SubHeafingSMPC"/>
        <w:numPr>
          <w:ilvl w:val="0"/>
          <w:numId w:val="0"/>
        </w:numPr>
        <w:jc w:val="thaiDistribute"/>
        <w:rPr>
          <w:b w:val="0"/>
          <w:bCs w:val="0"/>
        </w:rPr>
      </w:pPr>
      <w:r>
        <w:rPr>
          <w:b w:val="0"/>
          <w:bCs w:val="0"/>
        </w:rPr>
        <w:tab/>
      </w:r>
      <w:r w:rsidRPr="00C21BCF">
        <w:rPr>
          <w:b w:val="0"/>
          <w:bCs w:val="0"/>
        </w:rPr>
        <w:t xml:space="preserve">Administration of iron preparations with such compounds should be </w:t>
      </w:r>
      <w:r>
        <w:rPr>
          <w:b w:val="0"/>
          <w:bCs w:val="0"/>
        </w:rPr>
        <w:tab/>
      </w:r>
      <w:r w:rsidRPr="00C21BCF">
        <w:rPr>
          <w:b w:val="0"/>
          <w:bCs w:val="0"/>
        </w:rPr>
        <w:t>separated by at least 2 hours.</w:t>
      </w:r>
    </w:p>
    <w:p w14:paraId="5ECAF1EF" w14:textId="77777777" w:rsidR="00051494" w:rsidRPr="00051494" w:rsidRDefault="00051494" w:rsidP="00C11F18">
      <w:pPr>
        <w:pStyle w:val="SubHeafingSMPC"/>
        <w:numPr>
          <w:ilvl w:val="0"/>
          <w:numId w:val="0"/>
        </w:numPr>
        <w:jc w:val="thaiDistribute"/>
        <w:rPr>
          <w:b w:val="0"/>
          <w:bCs w:val="0"/>
          <w:sz w:val="10"/>
          <w:szCs w:val="10"/>
        </w:rPr>
      </w:pPr>
    </w:p>
    <w:p w14:paraId="7DF83C66"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Bisphosphonates:</w:t>
      </w:r>
      <w:r w:rsidRPr="00C21BCF">
        <w:rPr>
          <w:b w:val="0"/>
          <w:bCs w:val="0"/>
        </w:rPr>
        <w:t xml:space="preserve"> The absorption of bisphosphonates is reduced when </w:t>
      </w:r>
      <w:r>
        <w:rPr>
          <w:b w:val="0"/>
          <w:bCs w:val="0"/>
        </w:rPr>
        <w:tab/>
      </w:r>
      <w:r w:rsidRPr="00C21BCF">
        <w:rPr>
          <w:b w:val="0"/>
          <w:bCs w:val="0"/>
        </w:rPr>
        <w:t xml:space="preserve">taken concurrently with iron preparations. Administration should be </w:t>
      </w:r>
      <w:r>
        <w:rPr>
          <w:b w:val="0"/>
          <w:bCs w:val="0"/>
        </w:rPr>
        <w:tab/>
      </w:r>
      <w:r w:rsidRPr="00C21BCF">
        <w:rPr>
          <w:b w:val="0"/>
          <w:bCs w:val="0"/>
        </w:rPr>
        <w:t>separated by at least 2 hours.</w:t>
      </w:r>
    </w:p>
    <w:p w14:paraId="4745900E" w14:textId="77777777" w:rsidR="00051494" w:rsidRPr="00051494" w:rsidRDefault="00051494" w:rsidP="00C11F18">
      <w:pPr>
        <w:pStyle w:val="SubHeafingSMPC"/>
        <w:numPr>
          <w:ilvl w:val="0"/>
          <w:numId w:val="0"/>
        </w:numPr>
        <w:jc w:val="thaiDistribute"/>
        <w:rPr>
          <w:b w:val="0"/>
          <w:bCs w:val="0"/>
          <w:sz w:val="10"/>
          <w:szCs w:val="10"/>
        </w:rPr>
      </w:pPr>
    </w:p>
    <w:p w14:paraId="0C4C4DDD"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Cholestyramine:</w:t>
      </w:r>
      <w:r w:rsidRPr="00C21BCF">
        <w:rPr>
          <w:b w:val="0"/>
          <w:bCs w:val="0"/>
        </w:rPr>
        <w:t xml:space="preserve"> Absorption of iron is impaired by cholestyramine.</w:t>
      </w:r>
    </w:p>
    <w:p w14:paraId="6ACB54FF" w14:textId="77777777" w:rsidR="00051494" w:rsidRPr="00051494" w:rsidRDefault="00051494" w:rsidP="00C11F18">
      <w:pPr>
        <w:pStyle w:val="SubHeafingSMPC"/>
        <w:numPr>
          <w:ilvl w:val="0"/>
          <w:numId w:val="0"/>
        </w:numPr>
        <w:jc w:val="thaiDistribute"/>
        <w:rPr>
          <w:b w:val="0"/>
          <w:bCs w:val="0"/>
          <w:sz w:val="10"/>
          <w:szCs w:val="10"/>
        </w:rPr>
      </w:pPr>
    </w:p>
    <w:p w14:paraId="066585BC"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Dimercaprol:</w:t>
      </w:r>
      <w:r w:rsidRPr="00C21BCF">
        <w:rPr>
          <w:b w:val="0"/>
          <w:bCs w:val="0"/>
        </w:rPr>
        <w:t xml:space="preserve"> Concomitant administration of oral iron preparations and </w:t>
      </w:r>
      <w:r>
        <w:rPr>
          <w:b w:val="0"/>
          <w:bCs w:val="0"/>
        </w:rPr>
        <w:tab/>
      </w:r>
      <w:r w:rsidRPr="00C21BCF">
        <w:rPr>
          <w:b w:val="0"/>
          <w:bCs w:val="0"/>
        </w:rPr>
        <w:t>dimercaprol should be avoided.</w:t>
      </w:r>
    </w:p>
    <w:p w14:paraId="38078C34" w14:textId="77777777" w:rsidR="00051494" w:rsidRPr="00051494" w:rsidRDefault="00051494" w:rsidP="00C11F18">
      <w:pPr>
        <w:pStyle w:val="SubHeafingSMPC"/>
        <w:numPr>
          <w:ilvl w:val="0"/>
          <w:numId w:val="0"/>
        </w:numPr>
        <w:jc w:val="thaiDistribute"/>
        <w:rPr>
          <w:b w:val="0"/>
          <w:bCs w:val="0"/>
          <w:sz w:val="10"/>
          <w:szCs w:val="10"/>
        </w:rPr>
      </w:pPr>
    </w:p>
    <w:p w14:paraId="114E5921"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Dopaminergics:</w:t>
      </w:r>
      <w:r w:rsidRPr="00C21BCF">
        <w:rPr>
          <w:b w:val="0"/>
          <w:bCs w:val="0"/>
        </w:rPr>
        <w:t xml:space="preserve"> Oral iron preparations may reduce the absorption of </w:t>
      </w:r>
      <w:r>
        <w:rPr>
          <w:b w:val="0"/>
          <w:bCs w:val="0"/>
        </w:rPr>
        <w:tab/>
      </w:r>
      <w:r w:rsidRPr="00C21BCF">
        <w:rPr>
          <w:b w:val="0"/>
          <w:bCs w:val="0"/>
        </w:rPr>
        <w:t>dopaminergics such as co-careldopa, entacapone and levodopa.</w:t>
      </w:r>
    </w:p>
    <w:p w14:paraId="042A100D" w14:textId="77777777" w:rsidR="00051494" w:rsidRPr="00051494" w:rsidRDefault="00051494" w:rsidP="00C11F18">
      <w:pPr>
        <w:pStyle w:val="SubHeafingSMPC"/>
        <w:numPr>
          <w:ilvl w:val="0"/>
          <w:numId w:val="0"/>
        </w:numPr>
        <w:jc w:val="thaiDistribute"/>
        <w:rPr>
          <w:b w:val="0"/>
          <w:bCs w:val="0"/>
          <w:sz w:val="10"/>
          <w:szCs w:val="10"/>
        </w:rPr>
      </w:pPr>
    </w:p>
    <w:p w14:paraId="5AF33681"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Food products:</w:t>
      </w:r>
      <w:r w:rsidRPr="00C21BCF">
        <w:rPr>
          <w:b w:val="0"/>
          <w:bCs w:val="0"/>
        </w:rPr>
        <w:t xml:space="preserve"> Absorption of iron is impaired by tea, eggs or milk. </w:t>
      </w:r>
      <w:r>
        <w:rPr>
          <w:b w:val="0"/>
          <w:bCs w:val="0"/>
        </w:rPr>
        <w:tab/>
      </w:r>
      <w:r w:rsidRPr="00C21BCF">
        <w:rPr>
          <w:b w:val="0"/>
          <w:bCs w:val="0"/>
        </w:rPr>
        <w:t>Absorption of iron salts is enhanced by ascorbic acid and meat.</w:t>
      </w:r>
    </w:p>
    <w:p w14:paraId="608DA0EE" w14:textId="77777777" w:rsidR="00051494" w:rsidRPr="00051494" w:rsidRDefault="00051494" w:rsidP="00C11F18">
      <w:pPr>
        <w:pStyle w:val="SubHeafingSMPC"/>
        <w:numPr>
          <w:ilvl w:val="0"/>
          <w:numId w:val="0"/>
        </w:numPr>
        <w:jc w:val="thaiDistribute"/>
        <w:rPr>
          <w:b w:val="0"/>
          <w:bCs w:val="0"/>
          <w:sz w:val="10"/>
          <w:szCs w:val="10"/>
        </w:rPr>
      </w:pPr>
    </w:p>
    <w:p w14:paraId="61CC6FC5"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Methyldopa:</w:t>
      </w:r>
      <w:r w:rsidRPr="00C21BCF">
        <w:rPr>
          <w:b w:val="0"/>
          <w:bCs w:val="0"/>
        </w:rPr>
        <w:t xml:space="preserve"> Oral iron preparations may antagonise the antihypertensive </w:t>
      </w:r>
      <w:r>
        <w:rPr>
          <w:b w:val="0"/>
          <w:bCs w:val="0"/>
        </w:rPr>
        <w:tab/>
      </w:r>
      <w:r w:rsidRPr="00C21BCF">
        <w:rPr>
          <w:b w:val="0"/>
          <w:bCs w:val="0"/>
        </w:rPr>
        <w:t>effect of methyldopa.</w:t>
      </w:r>
    </w:p>
    <w:p w14:paraId="6D8910CE" w14:textId="77777777" w:rsidR="00051494" w:rsidRPr="00051494" w:rsidRDefault="00051494" w:rsidP="00C11F18">
      <w:pPr>
        <w:pStyle w:val="SubHeafingSMPC"/>
        <w:numPr>
          <w:ilvl w:val="0"/>
          <w:numId w:val="0"/>
        </w:numPr>
        <w:jc w:val="thaiDistribute"/>
        <w:rPr>
          <w:b w:val="0"/>
          <w:bCs w:val="0"/>
          <w:sz w:val="10"/>
          <w:szCs w:val="10"/>
        </w:rPr>
      </w:pPr>
    </w:p>
    <w:p w14:paraId="2AC8D608"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Mycophenolate mofetil:</w:t>
      </w:r>
      <w:r w:rsidRPr="00C21BCF">
        <w:rPr>
          <w:b w:val="0"/>
          <w:bCs w:val="0"/>
        </w:rPr>
        <w:t xml:space="preserve"> Oral iron preparations significantly reduce the </w:t>
      </w:r>
      <w:r>
        <w:rPr>
          <w:b w:val="0"/>
          <w:bCs w:val="0"/>
        </w:rPr>
        <w:tab/>
      </w:r>
      <w:r w:rsidRPr="00C21BCF">
        <w:rPr>
          <w:b w:val="0"/>
          <w:bCs w:val="0"/>
        </w:rPr>
        <w:t>absorption of mycophenolate mofetil.</w:t>
      </w:r>
    </w:p>
    <w:p w14:paraId="57B09B96" w14:textId="77777777" w:rsidR="00C21BCF" w:rsidRDefault="00C21BCF" w:rsidP="00C11F18">
      <w:pPr>
        <w:pStyle w:val="SubHeafingSMPC"/>
        <w:numPr>
          <w:ilvl w:val="0"/>
          <w:numId w:val="0"/>
        </w:numPr>
        <w:jc w:val="thaiDistribute"/>
        <w:rPr>
          <w:b w:val="0"/>
          <w:bCs w:val="0"/>
        </w:rPr>
      </w:pPr>
      <w:r>
        <w:rPr>
          <w:b w:val="0"/>
          <w:bCs w:val="0"/>
        </w:rPr>
        <w:lastRenderedPageBreak/>
        <w:tab/>
      </w:r>
      <w:r w:rsidRPr="00051494">
        <w:rPr>
          <w:b w:val="0"/>
          <w:bCs w:val="0"/>
          <w:i/>
          <w:iCs/>
        </w:rPr>
        <w:t>Penicillamine:</w:t>
      </w:r>
      <w:r w:rsidRPr="00C21BCF">
        <w:rPr>
          <w:b w:val="0"/>
          <w:bCs w:val="0"/>
        </w:rPr>
        <w:t xml:space="preserve"> Oral iron preparations can reduce the absorption of </w:t>
      </w:r>
      <w:r>
        <w:rPr>
          <w:b w:val="0"/>
          <w:bCs w:val="0"/>
        </w:rPr>
        <w:tab/>
      </w:r>
      <w:r w:rsidRPr="00C21BCF">
        <w:rPr>
          <w:b w:val="0"/>
          <w:bCs w:val="0"/>
        </w:rPr>
        <w:t>penicillamine. Also the absorption of iron is impaired by penicillamine.</w:t>
      </w:r>
    </w:p>
    <w:p w14:paraId="1E43C748" w14:textId="77777777" w:rsidR="00051494" w:rsidRPr="00051494" w:rsidRDefault="00051494" w:rsidP="00C11F18">
      <w:pPr>
        <w:pStyle w:val="SubHeafingSMPC"/>
        <w:numPr>
          <w:ilvl w:val="0"/>
          <w:numId w:val="0"/>
        </w:numPr>
        <w:jc w:val="thaiDistribute"/>
        <w:rPr>
          <w:b w:val="0"/>
          <w:bCs w:val="0"/>
          <w:sz w:val="10"/>
          <w:szCs w:val="10"/>
        </w:rPr>
      </w:pPr>
    </w:p>
    <w:p w14:paraId="46BC0774"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Thyroid hormone:</w:t>
      </w:r>
      <w:r w:rsidRPr="00C21BCF">
        <w:rPr>
          <w:b w:val="0"/>
          <w:bCs w:val="0"/>
        </w:rPr>
        <w:t xml:space="preserve"> Ferrous sulfate reduces the absorption of </w:t>
      </w:r>
      <w:r>
        <w:rPr>
          <w:b w:val="0"/>
          <w:bCs w:val="0"/>
        </w:rPr>
        <w:tab/>
      </w:r>
      <w:r w:rsidRPr="00C21BCF">
        <w:rPr>
          <w:b w:val="0"/>
          <w:bCs w:val="0"/>
        </w:rPr>
        <w:t>levothyroxine and so should be taken at least 2 hours apart.</w:t>
      </w:r>
    </w:p>
    <w:p w14:paraId="38014222" w14:textId="77777777" w:rsidR="00051494" w:rsidRPr="00051494" w:rsidRDefault="00051494" w:rsidP="00C11F18">
      <w:pPr>
        <w:pStyle w:val="SubHeafingSMPC"/>
        <w:numPr>
          <w:ilvl w:val="0"/>
          <w:numId w:val="0"/>
        </w:numPr>
        <w:jc w:val="thaiDistribute"/>
        <w:rPr>
          <w:b w:val="0"/>
          <w:bCs w:val="0"/>
          <w:sz w:val="10"/>
          <w:szCs w:val="10"/>
        </w:rPr>
      </w:pPr>
    </w:p>
    <w:p w14:paraId="03828987" w14:textId="77777777" w:rsidR="00C21BCF" w:rsidRDefault="00C21BCF" w:rsidP="00C11F18">
      <w:pPr>
        <w:pStyle w:val="SubHeafingSMPC"/>
        <w:numPr>
          <w:ilvl w:val="0"/>
          <w:numId w:val="0"/>
        </w:numPr>
        <w:jc w:val="thaiDistribute"/>
        <w:rPr>
          <w:b w:val="0"/>
          <w:bCs w:val="0"/>
        </w:rPr>
      </w:pPr>
      <w:r>
        <w:rPr>
          <w:b w:val="0"/>
          <w:bCs w:val="0"/>
        </w:rPr>
        <w:tab/>
      </w:r>
      <w:r w:rsidRPr="00051494">
        <w:rPr>
          <w:b w:val="0"/>
          <w:bCs w:val="0"/>
          <w:i/>
          <w:iCs/>
        </w:rPr>
        <w:t>Trientine:</w:t>
      </w:r>
      <w:r w:rsidRPr="00C21BCF">
        <w:rPr>
          <w:b w:val="0"/>
          <w:bCs w:val="0"/>
        </w:rPr>
        <w:t xml:space="preserve"> The absorption of oral iron preparations is reduced by </w:t>
      </w:r>
      <w:r>
        <w:rPr>
          <w:b w:val="0"/>
          <w:bCs w:val="0"/>
        </w:rPr>
        <w:tab/>
      </w:r>
      <w:r w:rsidRPr="00C21BCF">
        <w:rPr>
          <w:b w:val="0"/>
          <w:bCs w:val="0"/>
        </w:rPr>
        <w:t>trientine. Administration should be separated by at least 2 hours.</w:t>
      </w:r>
    </w:p>
    <w:p w14:paraId="68B43893" w14:textId="77777777" w:rsidR="00AD2ABB" w:rsidRPr="00AD2ABB" w:rsidRDefault="00AD2ABB" w:rsidP="00C11F18">
      <w:pPr>
        <w:pStyle w:val="SubHeafingSMPC"/>
        <w:numPr>
          <w:ilvl w:val="0"/>
          <w:numId w:val="0"/>
        </w:numPr>
        <w:jc w:val="thaiDistribute"/>
        <w:rPr>
          <w:b w:val="0"/>
          <w:bCs w:val="0"/>
          <w:sz w:val="10"/>
          <w:szCs w:val="10"/>
        </w:rPr>
      </w:pPr>
    </w:p>
    <w:p w14:paraId="1DA2977D" w14:textId="396C063A" w:rsidR="00C21BCF" w:rsidRPr="006722FC" w:rsidRDefault="00C21BCF" w:rsidP="00C11F18">
      <w:pPr>
        <w:pStyle w:val="SubHeafingSMPC"/>
        <w:numPr>
          <w:ilvl w:val="0"/>
          <w:numId w:val="0"/>
        </w:numPr>
        <w:jc w:val="thaiDistribute"/>
        <w:rPr>
          <w:b w:val="0"/>
          <w:bCs w:val="0"/>
        </w:rPr>
      </w:pPr>
      <w:r>
        <w:rPr>
          <w:b w:val="0"/>
          <w:bCs w:val="0"/>
        </w:rPr>
        <w:tab/>
      </w:r>
      <w:r w:rsidRPr="00AD2ABB">
        <w:rPr>
          <w:b w:val="0"/>
          <w:bCs w:val="0"/>
          <w:i/>
          <w:iCs/>
        </w:rPr>
        <w:t xml:space="preserve">Zinc: </w:t>
      </w:r>
      <w:r w:rsidRPr="00C21BCF">
        <w:rPr>
          <w:b w:val="0"/>
          <w:bCs w:val="0"/>
        </w:rPr>
        <w:t xml:space="preserve">Iron preparations and zinc preparations can reduce the absorption </w:t>
      </w:r>
      <w:r>
        <w:rPr>
          <w:b w:val="0"/>
          <w:bCs w:val="0"/>
        </w:rPr>
        <w:tab/>
      </w:r>
      <w:r w:rsidRPr="00C21BCF">
        <w:rPr>
          <w:b w:val="0"/>
          <w:bCs w:val="0"/>
        </w:rPr>
        <w:t>of each other.</w:t>
      </w:r>
    </w:p>
    <w:p w14:paraId="73B84B70" w14:textId="77777777" w:rsidR="00C11F18" w:rsidRDefault="00C11F18" w:rsidP="00C11F18">
      <w:pPr>
        <w:pStyle w:val="SubHeafingSMPC"/>
        <w:ind w:left="57"/>
      </w:pPr>
      <w:r w:rsidRPr="008F5678">
        <w:t>Fertility, pregnancy and lactation</w:t>
      </w:r>
    </w:p>
    <w:p w14:paraId="00330160" w14:textId="77777777" w:rsidR="00C11F18" w:rsidRPr="00091200" w:rsidRDefault="00C11F18" w:rsidP="00C11F18">
      <w:pPr>
        <w:pStyle w:val="SubHeafingSMPC"/>
        <w:numPr>
          <w:ilvl w:val="0"/>
          <w:numId w:val="0"/>
        </w:numPr>
        <w:rPr>
          <w:b w:val="0"/>
          <w:bCs w:val="0"/>
          <w:u w:val="single"/>
        </w:rPr>
      </w:pPr>
      <w:r>
        <w:rPr>
          <w:b w:val="0"/>
          <w:bCs w:val="0"/>
        </w:rPr>
        <w:tab/>
      </w:r>
      <w:r w:rsidRPr="00091200">
        <w:rPr>
          <w:b w:val="0"/>
          <w:bCs w:val="0"/>
          <w:u w:val="single"/>
        </w:rPr>
        <w:t>Pregnancy</w:t>
      </w:r>
    </w:p>
    <w:p w14:paraId="064127B9" w14:textId="77777777" w:rsidR="00C21BCF" w:rsidRDefault="00C11F18" w:rsidP="00C11F18">
      <w:pPr>
        <w:pStyle w:val="SubHeafingSMPC"/>
        <w:numPr>
          <w:ilvl w:val="0"/>
          <w:numId w:val="0"/>
        </w:numPr>
        <w:jc w:val="thaiDistribute"/>
        <w:rPr>
          <w:b w:val="0"/>
          <w:bCs w:val="0"/>
        </w:rPr>
      </w:pPr>
      <w:r>
        <w:rPr>
          <w:b w:val="0"/>
          <w:bCs w:val="0"/>
        </w:rPr>
        <w:tab/>
      </w:r>
      <w:r w:rsidR="00C21BCF" w:rsidRPr="00C21BCF">
        <w:rPr>
          <w:b w:val="0"/>
          <w:bCs w:val="0"/>
        </w:rPr>
        <w:t xml:space="preserve">There are no controlled studies on the use of Ferrous Sulfate in </w:t>
      </w:r>
      <w:r w:rsidR="00C21BCF">
        <w:rPr>
          <w:b w:val="0"/>
          <w:bCs w:val="0"/>
        </w:rPr>
        <w:tab/>
      </w:r>
      <w:r w:rsidR="00C21BCF" w:rsidRPr="00C21BCF">
        <w:rPr>
          <w:b w:val="0"/>
          <w:bCs w:val="0"/>
        </w:rPr>
        <w:t xml:space="preserve">pregnancy. Reports on adverse effects after administration of oral iron </w:t>
      </w:r>
      <w:r w:rsidR="00C21BCF">
        <w:rPr>
          <w:b w:val="0"/>
          <w:bCs w:val="0"/>
        </w:rPr>
        <w:tab/>
      </w:r>
      <w:r w:rsidR="00C21BCF" w:rsidRPr="00C21BCF">
        <w:rPr>
          <w:b w:val="0"/>
          <w:bCs w:val="0"/>
        </w:rPr>
        <w:t xml:space="preserve">preparations in therapeutic doses for the treatment of anaemia during </w:t>
      </w:r>
      <w:r w:rsidR="00C21BCF">
        <w:rPr>
          <w:b w:val="0"/>
          <w:bCs w:val="0"/>
        </w:rPr>
        <w:tab/>
      </w:r>
      <w:r w:rsidR="00C21BCF" w:rsidRPr="00C21BCF">
        <w:rPr>
          <w:b w:val="0"/>
          <w:bCs w:val="0"/>
        </w:rPr>
        <w:t>pregnancy are not yet known.</w:t>
      </w:r>
    </w:p>
    <w:p w14:paraId="61DBF8E1" w14:textId="77777777" w:rsidR="003E7B49" w:rsidRPr="003E7B49" w:rsidRDefault="003E7B49" w:rsidP="00C11F18">
      <w:pPr>
        <w:pStyle w:val="SubHeafingSMPC"/>
        <w:numPr>
          <w:ilvl w:val="0"/>
          <w:numId w:val="0"/>
        </w:numPr>
        <w:jc w:val="thaiDistribute"/>
        <w:rPr>
          <w:b w:val="0"/>
          <w:bCs w:val="0"/>
          <w:sz w:val="10"/>
          <w:szCs w:val="10"/>
        </w:rPr>
      </w:pPr>
    </w:p>
    <w:p w14:paraId="5B82B2D4" w14:textId="77777777" w:rsidR="00C21BCF" w:rsidRDefault="00C21BCF" w:rsidP="00C11F18">
      <w:pPr>
        <w:pStyle w:val="SubHeafingSMPC"/>
        <w:numPr>
          <w:ilvl w:val="0"/>
          <w:numId w:val="0"/>
        </w:numPr>
        <w:jc w:val="thaiDistribute"/>
        <w:rPr>
          <w:b w:val="0"/>
          <w:bCs w:val="0"/>
        </w:rPr>
      </w:pPr>
      <w:r>
        <w:rPr>
          <w:b w:val="0"/>
          <w:bCs w:val="0"/>
        </w:rPr>
        <w:tab/>
      </w:r>
      <w:r w:rsidRPr="00C21BCF">
        <w:rPr>
          <w:b w:val="0"/>
          <w:bCs w:val="0"/>
        </w:rPr>
        <w:t xml:space="preserve">Use of any drug during the first trimester of pregnancy should be avoided </w:t>
      </w:r>
      <w:r>
        <w:rPr>
          <w:b w:val="0"/>
          <w:bCs w:val="0"/>
        </w:rPr>
        <w:tab/>
      </w:r>
      <w:r w:rsidRPr="00C21BCF">
        <w:rPr>
          <w:b w:val="0"/>
          <w:bCs w:val="0"/>
        </w:rPr>
        <w:t xml:space="preserve">if possible. Thus, administration of iron during the first trimester </w:t>
      </w:r>
      <w:r>
        <w:rPr>
          <w:b w:val="0"/>
          <w:bCs w:val="0"/>
        </w:rPr>
        <w:tab/>
      </w:r>
      <w:r w:rsidRPr="00C21BCF">
        <w:rPr>
          <w:b w:val="0"/>
          <w:bCs w:val="0"/>
        </w:rPr>
        <w:t xml:space="preserve">however requires evidence of iron deficiency. Prophylaxis of iron </w:t>
      </w:r>
      <w:r>
        <w:rPr>
          <w:b w:val="0"/>
          <w:bCs w:val="0"/>
        </w:rPr>
        <w:tab/>
      </w:r>
      <w:r w:rsidRPr="00C21BCF">
        <w:rPr>
          <w:b w:val="0"/>
          <w:bCs w:val="0"/>
        </w:rPr>
        <w:t>deficiency during the remainder of pregnancy is justified.</w:t>
      </w:r>
    </w:p>
    <w:p w14:paraId="28D45F44" w14:textId="77777777" w:rsidR="003E7B49" w:rsidRPr="003E7B49" w:rsidRDefault="003E7B49" w:rsidP="00C11F18">
      <w:pPr>
        <w:pStyle w:val="SubHeafingSMPC"/>
        <w:numPr>
          <w:ilvl w:val="0"/>
          <w:numId w:val="0"/>
        </w:numPr>
        <w:jc w:val="thaiDistribute"/>
        <w:rPr>
          <w:b w:val="0"/>
          <w:bCs w:val="0"/>
          <w:sz w:val="10"/>
          <w:szCs w:val="10"/>
        </w:rPr>
      </w:pPr>
    </w:p>
    <w:p w14:paraId="622931E7" w14:textId="44155D6F" w:rsidR="00C11F18" w:rsidRDefault="00C21BCF" w:rsidP="003E7B49">
      <w:pPr>
        <w:pStyle w:val="SubHeafingSMPC"/>
        <w:numPr>
          <w:ilvl w:val="0"/>
          <w:numId w:val="0"/>
        </w:numPr>
        <w:jc w:val="thaiDistribute"/>
        <w:rPr>
          <w:b w:val="0"/>
          <w:bCs w:val="0"/>
        </w:rPr>
      </w:pPr>
      <w:r>
        <w:rPr>
          <w:b w:val="0"/>
          <w:bCs w:val="0"/>
        </w:rPr>
        <w:tab/>
      </w:r>
      <w:r w:rsidRPr="00C21BCF">
        <w:rPr>
          <w:b w:val="0"/>
          <w:bCs w:val="0"/>
        </w:rPr>
        <w:t xml:space="preserve">Treatment with Ferrous Sulfate should only be done after a careful </w:t>
      </w:r>
      <w:r>
        <w:rPr>
          <w:b w:val="0"/>
          <w:bCs w:val="0"/>
        </w:rPr>
        <w:tab/>
      </w:r>
      <w:r w:rsidRPr="00C21BCF">
        <w:rPr>
          <w:b w:val="0"/>
          <w:bCs w:val="0"/>
        </w:rPr>
        <w:t xml:space="preserve">benefit-risk assessment and the higher dosage of 3 tablets per day should </w:t>
      </w:r>
      <w:r>
        <w:rPr>
          <w:b w:val="0"/>
          <w:bCs w:val="0"/>
        </w:rPr>
        <w:tab/>
      </w:r>
      <w:r w:rsidRPr="00C21BCF">
        <w:rPr>
          <w:b w:val="0"/>
          <w:bCs w:val="0"/>
        </w:rPr>
        <w:t>not be prescribed over a longer period of time.</w:t>
      </w:r>
      <w:r w:rsidR="003E7B49">
        <w:rPr>
          <w:b w:val="0"/>
          <w:bCs w:val="0"/>
        </w:rPr>
        <w:t xml:space="preserve"> </w:t>
      </w:r>
      <w:r w:rsidRPr="00C21BCF">
        <w:rPr>
          <w:b w:val="0"/>
          <w:bCs w:val="0"/>
        </w:rPr>
        <w:t xml:space="preserve">Iron preparations are </w:t>
      </w:r>
      <w:r w:rsidR="003E7B49">
        <w:rPr>
          <w:b w:val="0"/>
          <w:bCs w:val="0"/>
        </w:rPr>
        <w:tab/>
      </w:r>
      <w:r w:rsidRPr="00C21BCF">
        <w:rPr>
          <w:b w:val="0"/>
          <w:bCs w:val="0"/>
        </w:rPr>
        <w:t xml:space="preserve">insufficiently tested for reproductive toxicity in animal studies (see </w:t>
      </w:r>
      <w:r w:rsidR="003E7B49">
        <w:rPr>
          <w:b w:val="0"/>
          <w:bCs w:val="0"/>
        </w:rPr>
        <w:tab/>
      </w:r>
      <w:r w:rsidRPr="00C21BCF">
        <w:rPr>
          <w:b w:val="0"/>
          <w:bCs w:val="0"/>
        </w:rPr>
        <w:t>section 5.3).</w:t>
      </w:r>
    </w:p>
    <w:p w14:paraId="616C613A" w14:textId="77777777" w:rsidR="00C11F18" w:rsidRPr="00091200" w:rsidRDefault="00C11F18" w:rsidP="00C11F18">
      <w:pPr>
        <w:pStyle w:val="SubHeafingSMPC"/>
        <w:numPr>
          <w:ilvl w:val="0"/>
          <w:numId w:val="0"/>
        </w:numPr>
        <w:jc w:val="thaiDistribute"/>
        <w:rPr>
          <w:b w:val="0"/>
          <w:bCs w:val="0"/>
          <w:sz w:val="10"/>
          <w:szCs w:val="10"/>
        </w:rPr>
      </w:pPr>
    </w:p>
    <w:p w14:paraId="15DAE702" w14:textId="77777777" w:rsidR="00C11F18" w:rsidRPr="00091200" w:rsidRDefault="00C11F18" w:rsidP="00C11F18">
      <w:pPr>
        <w:pStyle w:val="SubHeafingSMPC"/>
        <w:numPr>
          <w:ilvl w:val="0"/>
          <w:numId w:val="0"/>
        </w:numPr>
        <w:jc w:val="thaiDistribute"/>
        <w:rPr>
          <w:b w:val="0"/>
          <w:bCs w:val="0"/>
          <w:u w:val="single"/>
        </w:rPr>
      </w:pPr>
      <w:r>
        <w:rPr>
          <w:b w:val="0"/>
          <w:bCs w:val="0"/>
        </w:rPr>
        <w:tab/>
      </w:r>
      <w:r w:rsidRPr="00091200">
        <w:rPr>
          <w:b w:val="0"/>
          <w:bCs w:val="0"/>
          <w:u w:val="single"/>
        </w:rPr>
        <w:t>Breast-feeding</w:t>
      </w:r>
    </w:p>
    <w:p w14:paraId="7C2F3070" w14:textId="3B853CC9" w:rsidR="00C11F18" w:rsidRDefault="00C11F18" w:rsidP="00C11F18">
      <w:pPr>
        <w:pStyle w:val="SubHeafingSMPC"/>
        <w:numPr>
          <w:ilvl w:val="0"/>
          <w:numId w:val="0"/>
        </w:numPr>
        <w:jc w:val="thaiDistribute"/>
        <w:rPr>
          <w:b w:val="0"/>
          <w:bCs w:val="0"/>
        </w:rPr>
      </w:pPr>
      <w:r>
        <w:rPr>
          <w:b w:val="0"/>
          <w:bCs w:val="0"/>
        </w:rPr>
        <w:tab/>
      </w:r>
      <w:r w:rsidR="00C21BCF" w:rsidRPr="00C21BCF">
        <w:rPr>
          <w:b w:val="0"/>
          <w:bCs w:val="0"/>
        </w:rPr>
        <w:t>Ferrous</w:t>
      </w:r>
      <w:r w:rsidR="003E7B49">
        <w:rPr>
          <w:b w:val="0"/>
          <w:bCs w:val="0"/>
        </w:rPr>
        <w:t xml:space="preserve"> </w:t>
      </w:r>
      <w:r w:rsidR="00C21BCF" w:rsidRPr="00C21BCF">
        <w:rPr>
          <w:b w:val="0"/>
          <w:bCs w:val="0"/>
        </w:rPr>
        <w:t>(II)</w:t>
      </w:r>
      <w:r w:rsidR="00C21BCF">
        <w:rPr>
          <w:b w:val="0"/>
          <w:bCs w:val="0"/>
        </w:rPr>
        <w:t xml:space="preserve"> </w:t>
      </w:r>
      <w:r w:rsidR="00C21BCF" w:rsidRPr="00C21BCF">
        <w:rPr>
          <w:b w:val="0"/>
          <w:bCs w:val="0"/>
        </w:rPr>
        <w:t xml:space="preserve">salts are excreted in human milk, but at therapeutic doses of </w:t>
      </w:r>
      <w:r w:rsidR="00C21BCF">
        <w:rPr>
          <w:b w:val="0"/>
          <w:bCs w:val="0"/>
        </w:rPr>
        <w:tab/>
      </w:r>
      <w:r w:rsidR="00C21BCF" w:rsidRPr="00C21BCF">
        <w:rPr>
          <w:b w:val="0"/>
          <w:bCs w:val="0"/>
        </w:rPr>
        <w:t xml:space="preserve">Ferrous Sulfate no effects on the breastfed newborn /infant are </w:t>
      </w:r>
      <w:r w:rsidR="00C21BCF">
        <w:rPr>
          <w:b w:val="0"/>
          <w:bCs w:val="0"/>
        </w:rPr>
        <w:lastRenderedPageBreak/>
        <w:tab/>
      </w:r>
      <w:r w:rsidR="00C21BCF" w:rsidRPr="00C21BCF">
        <w:rPr>
          <w:b w:val="0"/>
          <w:bCs w:val="0"/>
        </w:rPr>
        <w:t xml:space="preserve">anticipated. Ferrous Sulfate should be prescribed during breastfeeding </w:t>
      </w:r>
      <w:r w:rsidR="00C21BCF">
        <w:rPr>
          <w:b w:val="0"/>
          <w:bCs w:val="0"/>
        </w:rPr>
        <w:tab/>
      </w:r>
      <w:r w:rsidR="00C21BCF" w:rsidRPr="00C21BCF">
        <w:rPr>
          <w:b w:val="0"/>
          <w:bCs w:val="0"/>
        </w:rPr>
        <w:t>only after careful risk-benefit assessment</w:t>
      </w:r>
      <w:r w:rsidRPr="00091200">
        <w:rPr>
          <w:b w:val="0"/>
          <w:bCs w:val="0"/>
        </w:rPr>
        <w:t>.</w:t>
      </w:r>
    </w:p>
    <w:p w14:paraId="4A58B1B7" w14:textId="77777777" w:rsidR="003E7B49" w:rsidRPr="003E7B49" w:rsidRDefault="003E7B49" w:rsidP="00C11F18">
      <w:pPr>
        <w:pStyle w:val="SubHeafingSMPC"/>
        <w:numPr>
          <w:ilvl w:val="0"/>
          <w:numId w:val="0"/>
        </w:numPr>
        <w:jc w:val="thaiDistribute"/>
        <w:rPr>
          <w:b w:val="0"/>
          <w:bCs w:val="0"/>
          <w:sz w:val="10"/>
          <w:szCs w:val="10"/>
        </w:rPr>
      </w:pPr>
    </w:p>
    <w:p w14:paraId="6845B3FF" w14:textId="47A6836F" w:rsidR="003E7B49" w:rsidRPr="005648D0" w:rsidRDefault="003E7B49" w:rsidP="003E7B49">
      <w:pPr>
        <w:pStyle w:val="SubHeafingSMPC"/>
        <w:numPr>
          <w:ilvl w:val="0"/>
          <w:numId w:val="0"/>
        </w:numPr>
        <w:jc w:val="thaiDistribute"/>
        <w:rPr>
          <w:b w:val="0"/>
          <w:bCs w:val="0"/>
          <w:u w:val="single"/>
        </w:rPr>
      </w:pPr>
      <w:r w:rsidRPr="003E7B49">
        <w:rPr>
          <w:b w:val="0"/>
          <w:bCs w:val="0"/>
        </w:rPr>
        <w:tab/>
      </w:r>
      <w:r w:rsidRPr="005648D0">
        <w:rPr>
          <w:b w:val="0"/>
          <w:bCs w:val="0"/>
          <w:u w:val="single"/>
        </w:rPr>
        <w:t>Fertility</w:t>
      </w:r>
    </w:p>
    <w:p w14:paraId="29A98AFC" w14:textId="5A0D1DE0" w:rsidR="003E7B49" w:rsidRPr="009126B5" w:rsidRDefault="003E7B49" w:rsidP="00C11F18">
      <w:pPr>
        <w:pStyle w:val="SubHeafingSMPC"/>
        <w:numPr>
          <w:ilvl w:val="0"/>
          <w:numId w:val="0"/>
        </w:numPr>
        <w:jc w:val="thaiDistribute"/>
        <w:rPr>
          <w:b w:val="0"/>
          <w:bCs w:val="0"/>
        </w:rPr>
      </w:pPr>
      <w:r>
        <w:rPr>
          <w:b w:val="0"/>
          <w:bCs w:val="0"/>
        </w:rPr>
        <w:tab/>
      </w:r>
      <w:r w:rsidRPr="00C21BCF">
        <w:rPr>
          <w:b w:val="0"/>
          <w:bCs w:val="0"/>
        </w:rPr>
        <w:t>Ferrous sulfate can have a potential effect on fertility. Animal studies are</w:t>
      </w:r>
      <w:r>
        <w:rPr>
          <w:b w:val="0"/>
          <w:bCs w:val="0"/>
        </w:rPr>
        <w:t xml:space="preserve"> </w:t>
      </w:r>
      <w:r>
        <w:rPr>
          <w:b w:val="0"/>
          <w:bCs w:val="0"/>
        </w:rPr>
        <w:tab/>
      </w:r>
      <w:r w:rsidRPr="00C21BCF">
        <w:rPr>
          <w:b w:val="0"/>
          <w:bCs w:val="0"/>
        </w:rPr>
        <w:t>insufficient for potential effects on fertility (see section 5.3)</w:t>
      </w:r>
      <w:r w:rsidRPr="00091200">
        <w:rPr>
          <w:b w:val="0"/>
          <w:bCs w:val="0"/>
        </w:rPr>
        <w:t>.</w:t>
      </w:r>
    </w:p>
    <w:p w14:paraId="39622F4D" w14:textId="77777777" w:rsidR="00C11F18" w:rsidRPr="009126B5" w:rsidRDefault="00C11F18" w:rsidP="00C11F18">
      <w:pPr>
        <w:pStyle w:val="SubHeafingSMPC"/>
        <w:ind w:left="57"/>
      </w:pPr>
      <w:r w:rsidRPr="008F5678">
        <w:t>Effects on ability to drive and use machines</w:t>
      </w:r>
    </w:p>
    <w:p w14:paraId="06BD6522" w14:textId="022ADCE1" w:rsidR="00C11F18" w:rsidRPr="002D59FE" w:rsidRDefault="00C11F18" w:rsidP="00C11F18">
      <w:pPr>
        <w:pStyle w:val="SubHeafingSMPC"/>
        <w:numPr>
          <w:ilvl w:val="0"/>
          <w:numId w:val="0"/>
        </w:numPr>
        <w:jc w:val="thaiDistribute"/>
        <w:rPr>
          <w:rFonts w:ascii="Angsana New" w:hAnsi="Angsana New" w:cs="Angsana New"/>
          <w:b w:val="0"/>
          <w:bCs w:val="0"/>
          <w:lang w:eastAsia="zh-CN"/>
        </w:rPr>
      </w:pPr>
      <w:r>
        <w:rPr>
          <w:b w:val="0"/>
          <w:bCs w:val="0"/>
          <w:lang w:eastAsia="zh-CN"/>
        </w:rPr>
        <w:tab/>
      </w:r>
      <w:r w:rsidR="00C21BCF" w:rsidRPr="00C21BCF">
        <w:rPr>
          <w:b w:val="0"/>
          <w:bCs w:val="0"/>
          <w:lang w:eastAsia="zh-CN"/>
        </w:rPr>
        <w:t>Probably there is no effect, but there are no data available</w:t>
      </w:r>
      <w:r w:rsidRPr="00091200">
        <w:rPr>
          <w:b w:val="0"/>
          <w:bCs w:val="0"/>
          <w:lang w:eastAsia="zh-CN"/>
        </w:rPr>
        <w:t>.</w:t>
      </w:r>
      <w:r>
        <w:rPr>
          <w:b w:val="0"/>
          <w:bCs w:val="0"/>
          <w:lang w:eastAsia="zh-CN"/>
        </w:rPr>
        <w:tab/>
      </w:r>
    </w:p>
    <w:p w14:paraId="2ADD79C2" w14:textId="77777777" w:rsidR="00C11F18" w:rsidRDefault="00C11F18" w:rsidP="00C11F18">
      <w:pPr>
        <w:pStyle w:val="SubHeafingSMPC"/>
        <w:ind w:left="57"/>
      </w:pPr>
      <w:r w:rsidRPr="008F5678">
        <w:t>Undesirable effects</w:t>
      </w:r>
    </w:p>
    <w:p w14:paraId="0D94C7FE" w14:textId="5633CEBF" w:rsidR="00C11F18" w:rsidRDefault="00C11F18" w:rsidP="00C11F18">
      <w:pPr>
        <w:pStyle w:val="SubHeafingSMPC"/>
        <w:numPr>
          <w:ilvl w:val="0"/>
          <w:numId w:val="0"/>
        </w:numPr>
        <w:jc w:val="thaiDistribute"/>
      </w:pPr>
      <w:r>
        <w:tab/>
      </w:r>
      <w:r w:rsidR="00C21BCF" w:rsidRPr="00C21BCF">
        <w:rPr>
          <w:b w:val="0"/>
          <w:bCs w:val="0"/>
        </w:rPr>
        <w:t xml:space="preserve">The frequency details for the side effects mentioned in the following vary </w:t>
      </w:r>
      <w:r w:rsidR="00C21BCF">
        <w:rPr>
          <w:b w:val="0"/>
          <w:bCs w:val="0"/>
        </w:rPr>
        <w:tab/>
      </w:r>
      <w:r w:rsidR="00C21BCF" w:rsidRPr="00C21BCF">
        <w:rPr>
          <w:b w:val="0"/>
          <w:bCs w:val="0"/>
        </w:rPr>
        <w:t xml:space="preserve">considerably in the underlying literature. Significant studies with </w:t>
      </w:r>
      <w:r w:rsidR="00C21BCF">
        <w:rPr>
          <w:b w:val="0"/>
          <w:bCs w:val="0"/>
        </w:rPr>
        <w:tab/>
      </w:r>
      <w:r w:rsidR="00C21BCF" w:rsidRPr="00C21BCF">
        <w:rPr>
          <w:b w:val="0"/>
          <w:bCs w:val="0"/>
        </w:rPr>
        <w:t>sufficient patient populations are not available</w:t>
      </w:r>
      <w:r w:rsidRPr="00091200">
        <w:rPr>
          <w:b w:val="0"/>
          <w:bCs w:val="0"/>
        </w:rPr>
        <w:t>.</w:t>
      </w:r>
    </w:p>
    <w:p w14:paraId="73ED9EED" w14:textId="77777777" w:rsidR="003E7B49" w:rsidRPr="003E7B49" w:rsidRDefault="003E7B49" w:rsidP="00C11F18">
      <w:pPr>
        <w:pStyle w:val="SubHeafingSMPC"/>
        <w:numPr>
          <w:ilvl w:val="0"/>
          <w:numId w:val="0"/>
        </w:numPr>
        <w:jc w:val="thaiDistribute"/>
        <w:rPr>
          <w:sz w:val="10"/>
          <w:szCs w:val="10"/>
        </w:rPr>
      </w:pPr>
    </w:p>
    <w:p w14:paraId="111E05A6" w14:textId="72F2CBD9" w:rsidR="00C11F18" w:rsidRDefault="00C21BCF" w:rsidP="00C21BCF">
      <w:pPr>
        <w:pStyle w:val="SubHeafingSMPC"/>
        <w:numPr>
          <w:ilvl w:val="0"/>
          <w:numId w:val="0"/>
        </w:numPr>
        <w:jc w:val="thaiDistribute"/>
        <w:rPr>
          <w:b w:val="0"/>
          <w:bCs w:val="0"/>
        </w:rPr>
      </w:pPr>
      <w:r>
        <w:rPr>
          <w:b w:val="0"/>
          <w:bCs w:val="0"/>
        </w:rPr>
        <w:tab/>
      </w:r>
      <w:r w:rsidRPr="00C21BCF">
        <w:rPr>
          <w:b w:val="0"/>
          <w:bCs w:val="0"/>
        </w:rPr>
        <w:t>The following frequencies are used for the assessment of side effects:</w:t>
      </w:r>
    </w:p>
    <w:p w14:paraId="3279B792" w14:textId="517D1B83" w:rsidR="00C21BCF" w:rsidRDefault="00C21BCF" w:rsidP="00C21BCF">
      <w:pPr>
        <w:pStyle w:val="SubHeafingSMPC"/>
        <w:numPr>
          <w:ilvl w:val="0"/>
          <w:numId w:val="0"/>
        </w:numPr>
        <w:jc w:val="thaiDistribute"/>
        <w:rPr>
          <w:rFonts w:cstheme="minorBidi"/>
          <w:b w:val="0"/>
          <w:bCs w:val="0"/>
        </w:rPr>
      </w:pPr>
      <w:r>
        <w:rPr>
          <w:b w:val="0"/>
          <w:bCs w:val="0"/>
        </w:rPr>
        <w:tab/>
      </w:r>
      <w:r w:rsidRPr="00C21BCF">
        <w:rPr>
          <w:b w:val="0"/>
          <w:bCs w:val="0"/>
        </w:rPr>
        <w:t>Very common (≥1/10), common (≥1/100,</w:t>
      </w:r>
      <w:r w:rsidR="003E7B49">
        <w:rPr>
          <w:b w:val="0"/>
          <w:bCs w:val="0"/>
        </w:rPr>
        <w:t xml:space="preserve"> </w:t>
      </w:r>
      <w:r w:rsidRPr="00C21BCF">
        <w:rPr>
          <w:b w:val="0"/>
          <w:bCs w:val="0"/>
        </w:rPr>
        <w:t xml:space="preserve">&lt;1/10), uncommon (≥1/ </w:t>
      </w:r>
      <w:r>
        <w:rPr>
          <w:b w:val="0"/>
          <w:bCs w:val="0"/>
        </w:rPr>
        <w:tab/>
      </w:r>
      <w:r w:rsidRPr="00C21BCF">
        <w:rPr>
          <w:b w:val="0"/>
          <w:bCs w:val="0"/>
        </w:rPr>
        <w:t xml:space="preserve">1,000, &lt;1/100), rare (≥1/10,000, &lt;1/1,000), very rare (&lt;1/10,000), </w:t>
      </w:r>
      <w:r>
        <w:rPr>
          <w:b w:val="0"/>
          <w:bCs w:val="0"/>
        </w:rPr>
        <w:tab/>
      </w:r>
      <w:r w:rsidRPr="00C21BCF">
        <w:rPr>
          <w:b w:val="0"/>
          <w:bCs w:val="0"/>
        </w:rPr>
        <w:t>not known (cannot be estimated from the available data).</w:t>
      </w:r>
    </w:p>
    <w:tbl>
      <w:tblPr>
        <w:tblStyle w:val="af3"/>
        <w:tblW w:w="0" w:type="auto"/>
        <w:tblInd w:w="704" w:type="dxa"/>
        <w:tblLook w:val="04A0" w:firstRow="1" w:lastRow="0" w:firstColumn="1" w:lastColumn="0" w:noHBand="0" w:noVBand="1"/>
      </w:tblPr>
      <w:tblGrid>
        <w:gridCol w:w="8087"/>
      </w:tblGrid>
      <w:tr w:rsidR="00C21BCF" w14:paraId="76B25DA5" w14:textId="77777777" w:rsidTr="00C21BCF">
        <w:tc>
          <w:tcPr>
            <w:tcW w:w="8087" w:type="dxa"/>
          </w:tcPr>
          <w:p w14:paraId="214E7D55" w14:textId="4795567E" w:rsidR="00C21BCF" w:rsidRPr="003E7B49" w:rsidRDefault="00C21BCF" w:rsidP="003E7B49">
            <w:pPr>
              <w:pStyle w:val="SubHeafingSMPC"/>
              <w:numPr>
                <w:ilvl w:val="0"/>
                <w:numId w:val="0"/>
              </w:numPr>
              <w:spacing w:before="0"/>
              <w:jc w:val="thaiDistribute"/>
              <w:rPr>
                <w:rFonts w:cstheme="minorBidi"/>
              </w:rPr>
            </w:pPr>
            <w:r w:rsidRPr="003E7B49">
              <w:rPr>
                <w:rFonts w:cstheme="minorBidi"/>
              </w:rPr>
              <w:t>Immune system disorders</w:t>
            </w:r>
          </w:p>
          <w:p w14:paraId="4A33792B" w14:textId="77777777" w:rsidR="00C21BCF"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t>Allergic reactions have been reported.</w:t>
            </w:r>
          </w:p>
          <w:p w14:paraId="76A0E645" w14:textId="77777777" w:rsidR="00C21BCF" w:rsidRPr="003E7B49" w:rsidRDefault="00C21BCF" w:rsidP="003E7B49">
            <w:pPr>
              <w:pStyle w:val="SubHeafingSMPC"/>
              <w:numPr>
                <w:ilvl w:val="0"/>
                <w:numId w:val="0"/>
              </w:numPr>
              <w:spacing w:before="0"/>
              <w:jc w:val="thaiDistribute"/>
              <w:rPr>
                <w:rFonts w:cstheme="minorBidi"/>
              </w:rPr>
            </w:pPr>
            <w:r w:rsidRPr="003E7B49">
              <w:rPr>
                <w:rFonts w:cstheme="minorBidi"/>
              </w:rPr>
              <w:t>Respiratory, thoracic and mediastinal disorders</w:t>
            </w:r>
          </w:p>
          <w:p w14:paraId="59E1CAF1" w14:textId="7B89F5A0" w:rsidR="00C21BCF"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t>Not known: Bronchial stenosis (see section 4.4)</w:t>
            </w:r>
          </w:p>
          <w:p w14:paraId="22F90FD8" w14:textId="77777777" w:rsidR="00C21BCF" w:rsidRPr="003E7B49" w:rsidRDefault="00C21BCF" w:rsidP="003E7B49">
            <w:pPr>
              <w:pStyle w:val="SubHeafingSMPC"/>
              <w:numPr>
                <w:ilvl w:val="0"/>
                <w:numId w:val="0"/>
              </w:numPr>
              <w:spacing w:before="0"/>
              <w:jc w:val="thaiDistribute"/>
              <w:rPr>
                <w:rFonts w:cstheme="minorBidi"/>
              </w:rPr>
            </w:pPr>
            <w:r w:rsidRPr="003E7B49">
              <w:rPr>
                <w:rFonts w:cstheme="minorBidi"/>
              </w:rPr>
              <w:t>Gastro-intestinal disorders</w:t>
            </w:r>
          </w:p>
          <w:p w14:paraId="5A941DFE" w14:textId="77777777" w:rsidR="00C21BCF"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t>Very common: nausea, epigastric or abdominal pain</w:t>
            </w:r>
          </w:p>
          <w:p w14:paraId="6AE159FC" w14:textId="0CE43D03" w:rsidR="00C21BCF"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t>Common:</w:t>
            </w:r>
            <w:r w:rsidR="003E7B49">
              <w:rPr>
                <w:rFonts w:cstheme="minorBidi"/>
                <w:b w:val="0"/>
                <w:bCs w:val="0"/>
              </w:rPr>
              <w:t xml:space="preserve"> </w:t>
            </w:r>
            <w:r w:rsidRPr="00C21BCF">
              <w:rPr>
                <w:rFonts w:cstheme="minorBidi"/>
                <w:b w:val="0"/>
                <w:bCs w:val="0"/>
              </w:rPr>
              <w:t>A darkening of the stool due to the resulting black iron sulphide is a phenomenon which is frequently observed, but completely safe, after the administration of oral iron preparations.; diarrhoea, vomiting (these are usually dose related).</w:t>
            </w:r>
          </w:p>
          <w:p w14:paraId="46036A05" w14:textId="77777777" w:rsidR="00C21BCF"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lastRenderedPageBreak/>
              <w:t>Uncommon: Occasionally, gastrointestinal disorders can occur, such as anorexia and constipation. Constipation can be remedied by balancing nutrition.</w:t>
            </w:r>
          </w:p>
          <w:p w14:paraId="0BF8D77E" w14:textId="77777777" w:rsidR="00D44563" w:rsidRDefault="00C21BCF" w:rsidP="003E7B49">
            <w:pPr>
              <w:pStyle w:val="SubHeafingSMPC"/>
              <w:numPr>
                <w:ilvl w:val="0"/>
                <w:numId w:val="3"/>
              </w:numPr>
              <w:spacing w:before="0"/>
              <w:jc w:val="thaiDistribute"/>
              <w:rPr>
                <w:rFonts w:cstheme="minorBidi"/>
                <w:b w:val="0"/>
                <w:bCs w:val="0"/>
              </w:rPr>
            </w:pPr>
            <w:r w:rsidRPr="00C21BCF">
              <w:rPr>
                <w:rFonts w:cstheme="minorBidi"/>
                <w:b w:val="0"/>
                <w:bCs w:val="0"/>
              </w:rPr>
              <w:t>Not known: Mouth ulceration and teeth discoloration (reversible)*</w:t>
            </w:r>
          </w:p>
          <w:p w14:paraId="3B40FFC4" w14:textId="2F9BEDA6" w:rsidR="00C21BCF" w:rsidRDefault="00C21BCF" w:rsidP="00D44563">
            <w:pPr>
              <w:pStyle w:val="SubHeafingSMPC"/>
              <w:numPr>
                <w:ilvl w:val="0"/>
                <w:numId w:val="0"/>
              </w:numPr>
              <w:spacing w:before="0"/>
              <w:ind w:left="720"/>
              <w:jc w:val="thaiDistribute"/>
              <w:rPr>
                <w:rFonts w:cstheme="minorBidi"/>
                <w:b w:val="0"/>
                <w:bCs w:val="0"/>
              </w:rPr>
            </w:pPr>
            <w:r w:rsidRPr="00C21BCF">
              <w:rPr>
                <w:rFonts w:cstheme="minorBidi"/>
                <w:b w:val="0"/>
                <w:bCs w:val="0"/>
              </w:rPr>
              <w:t>* in the context of incorrect administration, when the tablets are chewed, sucked or kept in mouth. Elderly patients and patients with deglutition disorders may also be at risk of oesophageal lesions, bronchial necrosis in case of false route.</w:t>
            </w:r>
          </w:p>
          <w:p w14:paraId="186D4021" w14:textId="77777777" w:rsidR="00C21BCF" w:rsidRPr="003E7B49" w:rsidRDefault="00C21BCF" w:rsidP="003E7B49">
            <w:pPr>
              <w:pStyle w:val="SubHeafingSMPC"/>
              <w:numPr>
                <w:ilvl w:val="0"/>
                <w:numId w:val="0"/>
              </w:numPr>
              <w:spacing w:before="0"/>
              <w:jc w:val="thaiDistribute"/>
              <w:rPr>
                <w:rFonts w:cstheme="minorBidi"/>
              </w:rPr>
            </w:pPr>
            <w:r w:rsidRPr="003E7B49">
              <w:rPr>
                <w:rFonts w:cstheme="minorBidi"/>
              </w:rPr>
              <w:t>Skin and subcutaneous tissue disorders</w:t>
            </w:r>
          </w:p>
          <w:p w14:paraId="3EA25F2B" w14:textId="77777777" w:rsidR="00C21BCF" w:rsidRDefault="00C21BCF" w:rsidP="003E7B49">
            <w:pPr>
              <w:pStyle w:val="SubHeafingSMPC"/>
              <w:numPr>
                <w:ilvl w:val="0"/>
                <w:numId w:val="4"/>
              </w:numPr>
              <w:spacing w:before="0"/>
              <w:jc w:val="thaiDistribute"/>
              <w:rPr>
                <w:rFonts w:cstheme="minorBidi"/>
                <w:b w:val="0"/>
                <w:bCs w:val="0"/>
              </w:rPr>
            </w:pPr>
            <w:r w:rsidRPr="00C21BCF">
              <w:rPr>
                <w:rFonts w:cstheme="minorBidi"/>
                <w:b w:val="0"/>
                <w:bCs w:val="0"/>
              </w:rPr>
              <w:t>Common: Rash</w:t>
            </w:r>
          </w:p>
          <w:p w14:paraId="3F7B427C" w14:textId="2DA3A396" w:rsidR="00C21BCF" w:rsidRDefault="00C21BCF" w:rsidP="003E7B49">
            <w:pPr>
              <w:pStyle w:val="SubHeafingSMPC"/>
              <w:numPr>
                <w:ilvl w:val="0"/>
                <w:numId w:val="4"/>
              </w:numPr>
              <w:spacing w:before="0"/>
              <w:jc w:val="thaiDistribute"/>
              <w:rPr>
                <w:rFonts w:cstheme="minorBidi"/>
                <w:b w:val="0"/>
                <w:bCs w:val="0"/>
              </w:rPr>
            </w:pPr>
            <w:r w:rsidRPr="00C21BCF">
              <w:rPr>
                <w:rFonts w:cstheme="minorBidi"/>
                <w:b w:val="0"/>
                <w:bCs w:val="0"/>
              </w:rPr>
              <w:t>Rare:</w:t>
            </w:r>
            <w:r w:rsidR="00D44563">
              <w:rPr>
                <w:rFonts w:cstheme="minorBidi"/>
                <w:b w:val="0"/>
                <w:bCs w:val="0"/>
              </w:rPr>
              <w:t xml:space="preserve"> </w:t>
            </w:r>
            <w:r w:rsidRPr="00C21BCF">
              <w:rPr>
                <w:rFonts w:cstheme="minorBidi"/>
                <w:b w:val="0"/>
                <w:bCs w:val="0"/>
              </w:rPr>
              <w:t>In rare cases, hypersensitivity reactions (e.g., skin symptoms) may occur. Contact irritation can occur with ferrous sulfate tablets resulting in erosion or ulceration, particularly if they become lodged in the upper gastrointestinal tract.</w:t>
            </w:r>
          </w:p>
        </w:tc>
      </w:tr>
    </w:tbl>
    <w:p w14:paraId="1535AB1F" w14:textId="77777777" w:rsidR="003E7B49" w:rsidRPr="003E7B49" w:rsidRDefault="00C21BCF" w:rsidP="00C21BCF">
      <w:pPr>
        <w:pStyle w:val="SubHeafingSMPC"/>
        <w:numPr>
          <w:ilvl w:val="0"/>
          <w:numId w:val="0"/>
        </w:numPr>
        <w:jc w:val="thaiDistribute"/>
        <w:rPr>
          <w:rFonts w:cstheme="minorBidi"/>
          <w:b w:val="0"/>
          <w:bCs w:val="0"/>
          <w:u w:val="single"/>
        </w:rPr>
      </w:pPr>
      <w:r>
        <w:rPr>
          <w:rFonts w:cstheme="minorBidi"/>
          <w:b w:val="0"/>
          <w:bCs w:val="0"/>
        </w:rPr>
        <w:lastRenderedPageBreak/>
        <w:tab/>
      </w:r>
      <w:r w:rsidRPr="003E7B49">
        <w:rPr>
          <w:rFonts w:cstheme="minorBidi"/>
          <w:b w:val="0"/>
          <w:bCs w:val="0"/>
          <w:u w:val="single"/>
        </w:rPr>
        <w:t>Reporting of suspected adverse reactions</w:t>
      </w:r>
    </w:p>
    <w:p w14:paraId="463D7AD7" w14:textId="7D6EEFCC" w:rsidR="00C21BCF" w:rsidRPr="00C21BCF" w:rsidRDefault="003E7B49" w:rsidP="00C21BCF">
      <w:pPr>
        <w:pStyle w:val="SubHeafingSMPC"/>
        <w:numPr>
          <w:ilvl w:val="0"/>
          <w:numId w:val="0"/>
        </w:numPr>
        <w:jc w:val="thaiDistribute"/>
        <w:rPr>
          <w:rFonts w:cstheme="minorBidi"/>
          <w:b w:val="0"/>
          <w:bCs w:val="0"/>
          <w:cs/>
        </w:rPr>
      </w:pPr>
      <w:r>
        <w:rPr>
          <w:rFonts w:cstheme="minorBidi"/>
          <w:b w:val="0"/>
          <w:bCs w:val="0"/>
        </w:rPr>
        <w:tab/>
      </w:r>
      <w:r w:rsidRPr="003E7B49">
        <w:rPr>
          <w:rFonts w:cstheme="minorBidi"/>
          <w:b w:val="0"/>
          <w:bCs w:val="0"/>
        </w:rPr>
        <w:t>Reporting suspected adverse reactions</w:t>
      </w:r>
      <w:r>
        <w:rPr>
          <w:rFonts w:cstheme="minorBidi"/>
          <w:b w:val="0"/>
          <w:bCs w:val="0"/>
        </w:rPr>
        <w:t xml:space="preserve"> </w:t>
      </w:r>
      <w:r w:rsidRPr="003E7B49">
        <w:rPr>
          <w:rFonts w:cstheme="minorBidi"/>
          <w:b w:val="0"/>
          <w:bCs w:val="0"/>
        </w:rPr>
        <w:t xml:space="preserve">after authorisation of the </w:t>
      </w:r>
      <w:r>
        <w:rPr>
          <w:rFonts w:cstheme="minorBidi"/>
          <w:b w:val="0"/>
          <w:bCs w:val="0"/>
        </w:rPr>
        <w:tab/>
      </w:r>
      <w:r w:rsidRPr="003E7B49">
        <w:rPr>
          <w:rFonts w:cstheme="minorBidi"/>
          <w:b w:val="0"/>
          <w:bCs w:val="0"/>
        </w:rPr>
        <w:t xml:space="preserve">medicinal product is important. It allows continued monitoring of the </w:t>
      </w:r>
      <w:r>
        <w:rPr>
          <w:rFonts w:cstheme="minorBidi"/>
          <w:b w:val="0"/>
          <w:bCs w:val="0"/>
        </w:rPr>
        <w:tab/>
      </w:r>
      <w:r w:rsidRPr="003E7B49">
        <w:rPr>
          <w:rFonts w:cstheme="minorBidi"/>
          <w:b w:val="0"/>
          <w:bCs w:val="0"/>
        </w:rPr>
        <w:t xml:space="preserve">benefit/risk balance of the medicinal product. Healthcare professionals </w:t>
      </w:r>
      <w:r>
        <w:rPr>
          <w:rFonts w:cstheme="minorBidi"/>
          <w:b w:val="0"/>
          <w:bCs w:val="0"/>
        </w:rPr>
        <w:tab/>
      </w:r>
      <w:r w:rsidRPr="003E7B49">
        <w:rPr>
          <w:rFonts w:cstheme="minorBidi"/>
          <w:b w:val="0"/>
          <w:bCs w:val="0"/>
        </w:rPr>
        <w:t xml:space="preserve">are asked to report any suspected adverse reactions via Health Product </w:t>
      </w:r>
      <w:r>
        <w:rPr>
          <w:rFonts w:cstheme="minorBidi"/>
          <w:b w:val="0"/>
          <w:bCs w:val="0"/>
        </w:rPr>
        <w:tab/>
      </w:r>
      <w:r w:rsidRPr="003E7B49">
        <w:rPr>
          <w:rFonts w:cstheme="minorBidi"/>
          <w:b w:val="0"/>
          <w:bCs w:val="0"/>
        </w:rPr>
        <w:t>Vigilance Center; HPVC, Thai FDA</w:t>
      </w:r>
      <w:r w:rsidR="00C21BCF" w:rsidRPr="00C21BCF">
        <w:rPr>
          <w:rFonts w:cstheme="minorBidi"/>
          <w:b w:val="0"/>
          <w:bCs w:val="0"/>
        </w:rPr>
        <w:t>.</w:t>
      </w:r>
    </w:p>
    <w:p w14:paraId="47CB7E1B" w14:textId="77777777" w:rsidR="00C11F18" w:rsidRDefault="00C11F18" w:rsidP="00C11F18">
      <w:pPr>
        <w:pStyle w:val="SubHeafingSMPC"/>
        <w:ind w:left="0" w:firstLine="0"/>
      </w:pPr>
      <w:r w:rsidRPr="008F5678">
        <w:t>Overdose</w:t>
      </w:r>
    </w:p>
    <w:p w14:paraId="311567D5" w14:textId="220943B6" w:rsidR="00C21BCF" w:rsidRDefault="00C11F18" w:rsidP="00C11F18">
      <w:pPr>
        <w:pStyle w:val="SubHeafingSMPC"/>
        <w:numPr>
          <w:ilvl w:val="0"/>
          <w:numId w:val="0"/>
        </w:numPr>
        <w:jc w:val="thaiDistribute"/>
        <w:rPr>
          <w:b w:val="0"/>
          <w:bCs w:val="0"/>
        </w:rPr>
      </w:pPr>
      <w:r>
        <w:tab/>
      </w:r>
      <w:r w:rsidR="00C21BCF" w:rsidRPr="00C21BCF">
        <w:rPr>
          <w:b w:val="0"/>
          <w:bCs w:val="0"/>
        </w:rPr>
        <w:t xml:space="preserve">To avoid the risk of possible overdosing of iron, special care should be </w:t>
      </w:r>
      <w:r w:rsidR="00C21BCF">
        <w:rPr>
          <w:b w:val="0"/>
          <w:bCs w:val="0"/>
        </w:rPr>
        <w:tab/>
      </w:r>
      <w:r w:rsidR="00C21BCF" w:rsidRPr="00C21BCF">
        <w:rPr>
          <w:b w:val="0"/>
          <w:bCs w:val="0"/>
        </w:rPr>
        <w:t xml:space="preserve">taken if dietary or other iron salt supplements are used. These should be </w:t>
      </w:r>
      <w:r w:rsidR="00C21BCF">
        <w:rPr>
          <w:b w:val="0"/>
          <w:bCs w:val="0"/>
        </w:rPr>
        <w:tab/>
      </w:r>
      <w:r w:rsidR="00C21BCF" w:rsidRPr="00C21BCF">
        <w:rPr>
          <w:b w:val="0"/>
          <w:bCs w:val="0"/>
        </w:rPr>
        <w:t xml:space="preserve">taken into account when dosing </w:t>
      </w:r>
      <w:r w:rsidR="003E7B49">
        <w:rPr>
          <w:b w:val="0"/>
          <w:bCs w:val="0"/>
        </w:rPr>
        <w:t>f</w:t>
      </w:r>
      <w:r w:rsidR="00C21BCF" w:rsidRPr="00C21BCF">
        <w:rPr>
          <w:b w:val="0"/>
          <w:bCs w:val="0"/>
        </w:rPr>
        <w:t>errous Sulfate.</w:t>
      </w:r>
    </w:p>
    <w:p w14:paraId="74F9C1C6" w14:textId="77777777" w:rsidR="003E7B49" w:rsidRPr="003E7B49" w:rsidRDefault="003E7B49" w:rsidP="00C11F18">
      <w:pPr>
        <w:pStyle w:val="SubHeafingSMPC"/>
        <w:numPr>
          <w:ilvl w:val="0"/>
          <w:numId w:val="0"/>
        </w:numPr>
        <w:jc w:val="thaiDistribute"/>
        <w:rPr>
          <w:b w:val="0"/>
          <w:bCs w:val="0"/>
          <w:sz w:val="10"/>
          <w:szCs w:val="10"/>
        </w:rPr>
      </w:pPr>
    </w:p>
    <w:p w14:paraId="30319397" w14:textId="77777777" w:rsidR="00C21BCF" w:rsidRDefault="00C21BCF" w:rsidP="00C11F18">
      <w:pPr>
        <w:pStyle w:val="SubHeafingSMPC"/>
        <w:numPr>
          <w:ilvl w:val="0"/>
          <w:numId w:val="0"/>
        </w:numPr>
        <w:jc w:val="thaiDistribute"/>
        <w:rPr>
          <w:b w:val="0"/>
          <w:bCs w:val="0"/>
        </w:rPr>
      </w:pPr>
      <w:r>
        <w:rPr>
          <w:b w:val="0"/>
          <w:bCs w:val="0"/>
        </w:rPr>
        <w:lastRenderedPageBreak/>
        <w:tab/>
      </w:r>
      <w:r w:rsidRPr="00C21BCF">
        <w:rPr>
          <w:b w:val="0"/>
          <w:bCs w:val="0"/>
        </w:rPr>
        <w:t xml:space="preserve">If there is a history of inflammation of the gastro-intestinal tract or peptic </w:t>
      </w:r>
      <w:r>
        <w:rPr>
          <w:b w:val="0"/>
          <w:bCs w:val="0"/>
        </w:rPr>
        <w:tab/>
      </w:r>
      <w:r w:rsidRPr="00C21BCF">
        <w:rPr>
          <w:b w:val="0"/>
          <w:bCs w:val="0"/>
        </w:rPr>
        <w:t xml:space="preserve">ulcer, the benefits of the treatment should be carefully weighed up </w:t>
      </w:r>
      <w:r>
        <w:rPr>
          <w:b w:val="0"/>
          <w:bCs w:val="0"/>
        </w:rPr>
        <w:tab/>
      </w:r>
      <w:r w:rsidRPr="00C21BCF">
        <w:rPr>
          <w:b w:val="0"/>
          <w:bCs w:val="0"/>
        </w:rPr>
        <w:t>against the risk of making gastro-intestinal conditions worse.</w:t>
      </w:r>
    </w:p>
    <w:p w14:paraId="37B54767" w14:textId="50499194" w:rsidR="00C21BCF" w:rsidRDefault="00C21BCF" w:rsidP="00C11F18">
      <w:pPr>
        <w:pStyle w:val="SubHeafingSMPC"/>
        <w:numPr>
          <w:ilvl w:val="0"/>
          <w:numId w:val="0"/>
        </w:numPr>
        <w:jc w:val="thaiDistribute"/>
        <w:rPr>
          <w:b w:val="0"/>
          <w:bCs w:val="0"/>
        </w:rPr>
      </w:pPr>
      <w:r>
        <w:rPr>
          <w:b w:val="0"/>
          <w:bCs w:val="0"/>
        </w:rPr>
        <w:tab/>
      </w:r>
      <w:r w:rsidRPr="003E7B49">
        <w:rPr>
          <w:b w:val="0"/>
          <w:bCs w:val="0"/>
          <w:i/>
          <w:iCs/>
        </w:rPr>
        <w:t>Adults:</w:t>
      </w:r>
      <w:r w:rsidRPr="00C21BCF">
        <w:rPr>
          <w:b w:val="0"/>
          <w:bCs w:val="0"/>
        </w:rPr>
        <w:t xml:space="preserve"> Ingestion of</w:t>
      </w:r>
      <w:r w:rsidR="003E7B49">
        <w:rPr>
          <w:b w:val="0"/>
          <w:bCs w:val="0"/>
        </w:rPr>
        <w:t xml:space="preserve"> </w:t>
      </w:r>
      <w:r w:rsidRPr="00C21BCF">
        <w:rPr>
          <w:b w:val="0"/>
          <w:bCs w:val="0"/>
        </w:rPr>
        <w:t>20 mg/kg elemental iron is potentially toxic and 200-</w:t>
      </w:r>
      <w:r>
        <w:rPr>
          <w:b w:val="0"/>
          <w:bCs w:val="0"/>
        </w:rPr>
        <w:tab/>
      </w:r>
      <w:r w:rsidRPr="00C21BCF">
        <w:rPr>
          <w:b w:val="0"/>
          <w:bCs w:val="0"/>
        </w:rPr>
        <w:t>250 mg/kg is potentially fatal.</w:t>
      </w:r>
    </w:p>
    <w:p w14:paraId="31F6D8A5" w14:textId="77777777" w:rsidR="003E7B49" w:rsidRPr="003E7B49" w:rsidRDefault="003E7B49" w:rsidP="00C11F18">
      <w:pPr>
        <w:pStyle w:val="SubHeafingSMPC"/>
        <w:numPr>
          <w:ilvl w:val="0"/>
          <w:numId w:val="0"/>
        </w:numPr>
        <w:jc w:val="thaiDistribute"/>
        <w:rPr>
          <w:b w:val="0"/>
          <w:bCs w:val="0"/>
          <w:sz w:val="10"/>
          <w:szCs w:val="10"/>
        </w:rPr>
      </w:pPr>
    </w:p>
    <w:p w14:paraId="60A92AEC" w14:textId="73DC177E" w:rsidR="00C21BCF" w:rsidRDefault="00C21BCF" w:rsidP="00C11F18">
      <w:pPr>
        <w:pStyle w:val="SubHeafingSMPC"/>
        <w:numPr>
          <w:ilvl w:val="0"/>
          <w:numId w:val="0"/>
        </w:numPr>
        <w:jc w:val="thaiDistribute"/>
        <w:rPr>
          <w:b w:val="0"/>
          <w:bCs w:val="0"/>
        </w:rPr>
      </w:pPr>
      <w:r>
        <w:rPr>
          <w:b w:val="0"/>
          <w:bCs w:val="0"/>
        </w:rPr>
        <w:tab/>
      </w:r>
      <w:r w:rsidRPr="003E7B49">
        <w:rPr>
          <w:b w:val="0"/>
          <w:bCs w:val="0"/>
          <w:i/>
          <w:iCs/>
        </w:rPr>
        <w:t>Paediatric population:</w:t>
      </w:r>
      <w:r w:rsidRPr="00C21BCF">
        <w:rPr>
          <w:b w:val="0"/>
          <w:bCs w:val="0"/>
        </w:rPr>
        <w:t xml:space="preserve"> As little as 20 mg/kg elemental iron is enough to </w:t>
      </w:r>
      <w:r>
        <w:rPr>
          <w:b w:val="0"/>
          <w:bCs w:val="0"/>
        </w:rPr>
        <w:tab/>
      </w:r>
      <w:r w:rsidRPr="00C21BCF">
        <w:rPr>
          <w:b w:val="0"/>
          <w:bCs w:val="0"/>
        </w:rPr>
        <w:t>lead to symptoms of toxicity.</w:t>
      </w:r>
    </w:p>
    <w:p w14:paraId="3BF579C5" w14:textId="77777777" w:rsidR="003E7B49" w:rsidRPr="003E7B49" w:rsidRDefault="003E7B49" w:rsidP="00C11F18">
      <w:pPr>
        <w:pStyle w:val="SubHeafingSMPC"/>
        <w:numPr>
          <w:ilvl w:val="0"/>
          <w:numId w:val="0"/>
        </w:numPr>
        <w:jc w:val="thaiDistribute"/>
        <w:rPr>
          <w:b w:val="0"/>
          <w:bCs w:val="0"/>
          <w:sz w:val="10"/>
          <w:szCs w:val="10"/>
        </w:rPr>
      </w:pPr>
    </w:p>
    <w:p w14:paraId="63AFED2B" w14:textId="77777777" w:rsidR="00C21BCF" w:rsidRDefault="00C21BCF" w:rsidP="00C11F18">
      <w:pPr>
        <w:pStyle w:val="SubHeafingSMPC"/>
        <w:numPr>
          <w:ilvl w:val="0"/>
          <w:numId w:val="0"/>
        </w:numPr>
        <w:jc w:val="thaiDistribute"/>
        <w:rPr>
          <w:rFonts w:cstheme="minorBidi"/>
          <w:b w:val="0"/>
          <w:bCs w:val="0"/>
        </w:rPr>
      </w:pPr>
      <w:r w:rsidRPr="00C21BCF">
        <w:rPr>
          <w:rFonts w:cstheme="minorBidi"/>
          <w:b w:val="0"/>
          <w:bCs w:val="0"/>
        </w:rPr>
        <w:tab/>
      </w:r>
      <w:r w:rsidR="00C11F18" w:rsidRPr="000926E3">
        <w:rPr>
          <w:rFonts w:cstheme="minorBidi"/>
          <w:b w:val="0"/>
          <w:bCs w:val="0"/>
          <w:u w:val="single"/>
        </w:rPr>
        <w:t>Symptoms</w:t>
      </w:r>
    </w:p>
    <w:p w14:paraId="2A33B391" w14:textId="77777777" w:rsidR="00C21BCF" w:rsidRDefault="00C21BCF" w:rsidP="00C11F18">
      <w:pPr>
        <w:pStyle w:val="SubHeafingSMPC"/>
        <w:numPr>
          <w:ilvl w:val="0"/>
          <w:numId w:val="0"/>
        </w:numPr>
        <w:jc w:val="thaiDistribute"/>
        <w:rPr>
          <w:b w:val="0"/>
          <w:bCs w:val="0"/>
        </w:rPr>
      </w:pPr>
      <w:r>
        <w:rPr>
          <w:rFonts w:cstheme="minorBidi"/>
          <w:b w:val="0"/>
          <w:bCs w:val="0"/>
        </w:rPr>
        <w:tab/>
      </w:r>
      <w:r w:rsidRPr="00C21BCF">
        <w:rPr>
          <w:b w:val="0"/>
          <w:bCs w:val="0"/>
        </w:rPr>
        <w:t>Acute iron overdosage can be divided into four stages:</w:t>
      </w:r>
    </w:p>
    <w:p w14:paraId="2CFBDD0B" w14:textId="77777777" w:rsidR="003E7B49" w:rsidRPr="003E7B49" w:rsidRDefault="003E7B49" w:rsidP="00C11F18">
      <w:pPr>
        <w:pStyle w:val="SubHeafingSMPC"/>
        <w:numPr>
          <w:ilvl w:val="0"/>
          <w:numId w:val="0"/>
        </w:numPr>
        <w:jc w:val="thaiDistribute"/>
        <w:rPr>
          <w:b w:val="0"/>
          <w:bCs w:val="0"/>
          <w:sz w:val="10"/>
          <w:szCs w:val="10"/>
        </w:rPr>
      </w:pPr>
    </w:p>
    <w:p w14:paraId="7A1ACDEB" w14:textId="582A9146" w:rsidR="00C21BCF" w:rsidRDefault="00C21BCF" w:rsidP="00C11F18">
      <w:pPr>
        <w:pStyle w:val="SubHeafingSMPC"/>
        <w:numPr>
          <w:ilvl w:val="0"/>
          <w:numId w:val="0"/>
        </w:numPr>
        <w:jc w:val="thaiDistribute"/>
        <w:rPr>
          <w:rFonts w:cstheme="minorBidi"/>
          <w:b w:val="0"/>
          <w:bCs w:val="0"/>
        </w:rPr>
      </w:pPr>
      <w:r>
        <w:rPr>
          <w:b w:val="0"/>
          <w:bCs w:val="0"/>
        </w:rPr>
        <w:tab/>
      </w:r>
      <w:r w:rsidRPr="00C21BCF">
        <w:rPr>
          <w:b w:val="0"/>
          <w:bCs w:val="0"/>
        </w:rPr>
        <w:t xml:space="preserve">In the first phase, which occurs up to 6 hours after oral ingestion, </w:t>
      </w:r>
      <w:r>
        <w:rPr>
          <w:b w:val="0"/>
          <w:bCs w:val="0"/>
        </w:rPr>
        <w:tab/>
      </w:r>
      <w:r w:rsidRPr="00C21BCF">
        <w:rPr>
          <w:b w:val="0"/>
          <w:bCs w:val="0"/>
        </w:rPr>
        <w:t xml:space="preserve">gastrointestinal toxicity, notably vomiting and diarrhoea, predominates. </w:t>
      </w:r>
      <w:r>
        <w:rPr>
          <w:b w:val="0"/>
          <w:bCs w:val="0"/>
        </w:rPr>
        <w:tab/>
      </w:r>
      <w:r w:rsidRPr="00C21BCF">
        <w:rPr>
          <w:b w:val="0"/>
          <w:bCs w:val="0"/>
        </w:rPr>
        <w:t xml:space="preserve">Other effects may include cardiovascular disorders such as hypotension </w:t>
      </w:r>
      <w:r>
        <w:rPr>
          <w:b w:val="0"/>
          <w:bCs w:val="0"/>
        </w:rPr>
        <w:tab/>
      </w:r>
      <w:r w:rsidRPr="00C21BCF">
        <w:rPr>
          <w:b w:val="0"/>
          <w:bCs w:val="0"/>
        </w:rPr>
        <w:t>and</w:t>
      </w:r>
      <w:r w:rsidR="003E7B49">
        <w:rPr>
          <w:b w:val="0"/>
          <w:bCs w:val="0"/>
        </w:rPr>
        <w:t xml:space="preserve"> </w:t>
      </w:r>
      <w:r w:rsidRPr="00C21BCF">
        <w:rPr>
          <w:b w:val="0"/>
          <w:bCs w:val="0"/>
        </w:rPr>
        <w:t xml:space="preserve">tachycardia, metabolic changes including acidosis and </w:t>
      </w:r>
      <w:r>
        <w:rPr>
          <w:b w:val="0"/>
          <w:bCs w:val="0"/>
        </w:rPr>
        <w:tab/>
      </w:r>
      <w:r w:rsidRPr="00C21BCF">
        <w:rPr>
          <w:b w:val="0"/>
          <w:bCs w:val="0"/>
        </w:rPr>
        <w:t xml:space="preserve">hyperglycaemia, and CNS depression ranging from lethargy to coma. </w:t>
      </w:r>
      <w:r>
        <w:rPr>
          <w:b w:val="0"/>
          <w:bCs w:val="0"/>
        </w:rPr>
        <w:tab/>
      </w:r>
      <w:r w:rsidRPr="00C21BCF">
        <w:rPr>
          <w:b w:val="0"/>
          <w:bCs w:val="0"/>
        </w:rPr>
        <w:t xml:space="preserve">Patients with only mild to moderate poisoning do not generally pass this </w:t>
      </w:r>
      <w:r>
        <w:rPr>
          <w:b w:val="0"/>
          <w:bCs w:val="0"/>
        </w:rPr>
        <w:tab/>
      </w:r>
      <w:r w:rsidRPr="00C21BCF">
        <w:rPr>
          <w:b w:val="0"/>
          <w:bCs w:val="0"/>
        </w:rPr>
        <w:t>first phase.</w:t>
      </w:r>
    </w:p>
    <w:p w14:paraId="3DEF0882"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6C208F22" w14:textId="77777777" w:rsidR="00C21BCF" w:rsidRDefault="00C21BCF" w:rsidP="00C11F18">
      <w:pPr>
        <w:pStyle w:val="SubHeafingSMPC"/>
        <w:numPr>
          <w:ilvl w:val="0"/>
          <w:numId w:val="0"/>
        </w:numPr>
        <w:jc w:val="thaiDistribute"/>
        <w:rPr>
          <w:rFonts w:cstheme="minorBidi"/>
          <w:b w:val="0"/>
          <w:bCs w:val="0"/>
        </w:rPr>
      </w:pPr>
      <w:r>
        <w:rPr>
          <w:rFonts w:cstheme="minorBidi"/>
          <w:b w:val="0"/>
          <w:bCs w:val="0"/>
        </w:rPr>
        <w:tab/>
      </w:r>
      <w:r w:rsidRPr="00C21BCF">
        <w:rPr>
          <w:rFonts w:cstheme="minorBidi"/>
          <w:b w:val="0"/>
          <w:bCs w:val="0"/>
        </w:rPr>
        <w:t xml:space="preserve">The second phase may occur at 6-24 hours after ingestion and is </w:t>
      </w:r>
      <w:r>
        <w:rPr>
          <w:rFonts w:cstheme="minorBidi"/>
          <w:b w:val="0"/>
          <w:bCs w:val="0"/>
        </w:rPr>
        <w:tab/>
      </w:r>
      <w:r w:rsidRPr="00C21BCF">
        <w:rPr>
          <w:rFonts w:cstheme="minorBidi"/>
          <w:b w:val="0"/>
          <w:bCs w:val="0"/>
        </w:rPr>
        <w:t>characterised by a temporary remission or clinical stabilisation.</w:t>
      </w:r>
    </w:p>
    <w:p w14:paraId="52A8965E"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707CCB0B" w14:textId="77777777" w:rsidR="00C21BCF" w:rsidRDefault="00C21BCF" w:rsidP="00C11F18">
      <w:pPr>
        <w:pStyle w:val="SubHeafingSMPC"/>
        <w:numPr>
          <w:ilvl w:val="0"/>
          <w:numId w:val="0"/>
        </w:numPr>
        <w:jc w:val="thaiDistribute"/>
        <w:rPr>
          <w:rFonts w:cstheme="minorBidi"/>
          <w:b w:val="0"/>
          <w:bCs w:val="0"/>
        </w:rPr>
      </w:pPr>
      <w:r>
        <w:rPr>
          <w:rFonts w:cstheme="minorBidi"/>
          <w:b w:val="0"/>
          <w:bCs w:val="0"/>
        </w:rPr>
        <w:tab/>
      </w:r>
      <w:r w:rsidRPr="00C21BCF">
        <w:rPr>
          <w:rFonts w:cstheme="minorBidi"/>
          <w:b w:val="0"/>
          <w:bCs w:val="0"/>
        </w:rPr>
        <w:t xml:space="preserve">In the third phase gastrointestinal toxicity recurs together with shock, </w:t>
      </w:r>
      <w:r>
        <w:rPr>
          <w:rFonts w:cstheme="minorBidi"/>
          <w:b w:val="0"/>
          <w:bCs w:val="0"/>
        </w:rPr>
        <w:tab/>
      </w:r>
      <w:r w:rsidRPr="00C21BCF">
        <w:rPr>
          <w:rFonts w:cstheme="minorBidi"/>
          <w:b w:val="0"/>
          <w:bCs w:val="0"/>
        </w:rPr>
        <w:t xml:space="preserve">metabolic acidosis, convulsions, coma, hepatic necrosis and jaundice, </w:t>
      </w:r>
      <w:r>
        <w:rPr>
          <w:rFonts w:cstheme="minorBidi"/>
          <w:b w:val="0"/>
          <w:bCs w:val="0"/>
        </w:rPr>
        <w:tab/>
      </w:r>
      <w:r w:rsidRPr="00C21BCF">
        <w:rPr>
          <w:rFonts w:cstheme="minorBidi"/>
          <w:b w:val="0"/>
          <w:bCs w:val="0"/>
        </w:rPr>
        <w:t xml:space="preserve">hypoglycaemia, coagulation disorders, oliguria or renal failure, and </w:t>
      </w:r>
      <w:r>
        <w:rPr>
          <w:rFonts w:cstheme="minorBidi"/>
          <w:b w:val="0"/>
          <w:bCs w:val="0"/>
        </w:rPr>
        <w:tab/>
      </w:r>
      <w:r w:rsidRPr="00C21BCF">
        <w:rPr>
          <w:rFonts w:cstheme="minorBidi"/>
          <w:b w:val="0"/>
          <w:bCs w:val="0"/>
        </w:rPr>
        <w:t>pulmonary oedema.</w:t>
      </w:r>
    </w:p>
    <w:p w14:paraId="39DF1C9A"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39CF1C4A" w14:textId="77777777" w:rsidR="00C21BCF" w:rsidRDefault="00C21BCF" w:rsidP="00C11F18">
      <w:pPr>
        <w:pStyle w:val="SubHeafingSMPC"/>
        <w:numPr>
          <w:ilvl w:val="0"/>
          <w:numId w:val="0"/>
        </w:numPr>
        <w:jc w:val="thaiDistribute"/>
        <w:rPr>
          <w:rFonts w:cstheme="minorBidi"/>
          <w:b w:val="0"/>
          <w:bCs w:val="0"/>
        </w:rPr>
      </w:pPr>
      <w:r>
        <w:rPr>
          <w:rFonts w:cstheme="minorBidi"/>
          <w:b w:val="0"/>
          <w:bCs w:val="0"/>
        </w:rPr>
        <w:tab/>
      </w:r>
      <w:r w:rsidRPr="00C21BCF">
        <w:rPr>
          <w:rFonts w:cstheme="minorBidi"/>
          <w:b w:val="0"/>
          <w:bCs w:val="0"/>
        </w:rPr>
        <w:t xml:space="preserve">The fourth phase may occur several weeks after ingestion and is </w:t>
      </w:r>
      <w:r>
        <w:rPr>
          <w:rFonts w:cstheme="minorBidi"/>
          <w:b w:val="0"/>
          <w:bCs w:val="0"/>
        </w:rPr>
        <w:tab/>
      </w:r>
      <w:r w:rsidRPr="00C21BCF">
        <w:rPr>
          <w:rFonts w:cstheme="minorBidi"/>
          <w:b w:val="0"/>
          <w:bCs w:val="0"/>
        </w:rPr>
        <w:t xml:space="preserve">characterised by gastrointestinal obstruction and possibly late hepatic </w:t>
      </w:r>
      <w:r>
        <w:rPr>
          <w:rFonts w:cstheme="minorBidi"/>
          <w:b w:val="0"/>
          <w:bCs w:val="0"/>
        </w:rPr>
        <w:tab/>
      </w:r>
      <w:r w:rsidRPr="00C21BCF">
        <w:rPr>
          <w:rFonts w:cstheme="minorBidi"/>
          <w:b w:val="0"/>
          <w:bCs w:val="0"/>
        </w:rPr>
        <w:t>damage.</w:t>
      </w:r>
    </w:p>
    <w:p w14:paraId="56399CF8"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54F8B745" w14:textId="77777777" w:rsidR="00C21BCF" w:rsidRDefault="00C21BCF" w:rsidP="00C11F18">
      <w:pPr>
        <w:pStyle w:val="SubHeafingSMPC"/>
        <w:numPr>
          <w:ilvl w:val="0"/>
          <w:numId w:val="0"/>
        </w:numPr>
        <w:jc w:val="thaiDistribute"/>
        <w:rPr>
          <w:rFonts w:cstheme="minorBidi"/>
          <w:b w:val="0"/>
          <w:bCs w:val="0"/>
        </w:rPr>
      </w:pPr>
      <w:r>
        <w:rPr>
          <w:rFonts w:cstheme="minorBidi"/>
          <w:b w:val="0"/>
          <w:bCs w:val="0"/>
        </w:rPr>
        <w:lastRenderedPageBreak/>
        <w:tab/>
      </w:r>
      <w:r w:rsidRPr="00C21BCF">
        <w:rPr>
          <w:rFonts w:cstheme="minorBidi"/>
          <w:b w:val="0"/>
          <w:bCs w:val="0"/>
        </w:rPr>
        <w:t xml:space="preserve">Overdosage of ferrous salts is particularly dangerous to young children. </w:t>
      </w:r>
    </w:p>
    <w:p w14:paraId="469B1B46" w14:textId="77777777" w:rsidR="00C21BCF" w:rsidRDefault="00C21BCF" w:rsidP="00C11F18">
      <w:pPr>
        <w:pStyle w:val="SubHeafingSMPC"/>
        <w:numPr>
          <w:ilvl w:val="0"/>
          <w:numId w:val="0"/>
        </w:numPr>
        <w:jc w:val="thaiDistribute"/>
        <w:rPr>
          <w:rFonts w:cstheme="minorBidi"/>
          <w:b w:val="0"/>
          <w:bCs w:val="0"/>
        </w:rPr>
      </w:pPr>
      <w:r>
        <w:rPr>
          <w:rFonts w:cstheme="minorBidi"/>
          <w:b w:val="0"/>
          <w:bCs w:val="0"/>
        </w:rPr>
        <w:tab/>
      </w:r>
      <w:r w:rsidRPr="00C21BCF">
        <w:rPr>
          <w:rFonts w:cstheme="minorBidi"/>
          <w:b w:val="0"/>
          <w:bCs w:val="0"/>
        </w:rPr>
        <w:t xml:space="preserve">Poisoning with oral iron preparations in most cases affects children. In </w:t>
      </w:r>
      <w:r>
        <w:rPr>
          <w:rFonts w:cstheme="minorBidi"/>
          <w:b w:val="0"/>
          <w:bCs w:val="0"/>
        </w:rPr>
        <w:tab/>
      </w:r>
      <w:r w:rsidRPr="00C21BCF">
        <w:rPr>
          <w:rFonts w:cstheme="minorBidi"/>
          <w:b w:val="0"/>
          <w:bCs w:val="0"/>
        </w:rPr>
        <w:t>small children 400 mg can already cause serious intoxication.</w:t>
      </w:r>
    </w:p>
    <w:p w14:paraId="4A0103D7" w14:textId="77777777" w:rsidR="00DB29BA" w:rsidRDefault="00C21BCF" w:rsidP="00C11F18">
      <w:pPr>
        <w:pStyle w:val="SubHeafingSMPC"/>
        <w:numPr>
          <w:ilvl w:val="0"/>
          <w:numId w:val="0"/>
        </w:numPr>
        <w:jc w:val="thaiDistribute"/>
        <w:rPr>
          <w:rFonts w:cstheme="minorBidi"/>
          <w:b w:val="0"/>
          <w:bCs w:val="0"/>
        </w:rPr>
      </w:pPr>
      <w:r>
        <w:rPr>
          <w:rFonts w:cstheme="minorBidi"/>
          <w:b w:val="0"/>
          <w:bCs w:val="0"/>
        </w:rPr>
        <w:tab/>
      </w:r>
      <w:r w:rsidRPr="00C21BCF">
        <w:rPr>
          <w:rFonts w:cstheme="minorBidi"/>
          <w:b w:val="0"/>
          <w:bCs w:val="0"/>
        </w:rPr>
        <w:t>Serious toxic effects after intake of 60 mg/kg body weight.</w:t>
      </w:r>
    </w:p>
    <w:p w14:paraId="0A126008"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0E0A1317" w14:textId="123B11EA" w:rsidR="00C21BCF" w:rsidRPr="00C21BCF" w:rsidRDefault="00DB29BA" w:rsidP="00C11F18">
      <w:pPr>
        <w:pStyle w:val="SubHeafingSMPC"/>
        <w:numPr>
          <w:ilvl w:val="0"/>
          <w:numId w:val="0"/>
        </w:numPr>
        <w:jc w:val="thaiDistribute"/>
        <w:rPr>
          <w:rFonts w:cstheme="minorBidi"/>
          <w:b w:val="0"/>
          <w:bCs w:val="0"/>
        </w:rPr>
      </w:pPr>
      <w:r>
        <w:rPr>
          <w:rFonts w:cstheme="minorBidi"/>
          <w:b w:val="0"/>
          <w:bCs w:val="0"/>
        </w:rPr>
        <w:tab/>
      </w:r>
      <w:r w:rsidR="00C21BCF" w:rsidRPr="00C21BCF">
        <w:rPr>
          <w:rFonts w:cstheme="minorBidi"/>
          <w:b w:val="0"/>
          <w:bCs w:val="0"/>
        </w:rPr>
        <w:t xml:space="preserve">Locally, iron leads to serious corrosion of the gastrointestinal tract, and </w:t>
      </w:r>
      <w:r>
        <w:rPr>
          <w:rFonts w:cstheme="minorBidi"/>
          <w:b w:val="0"/>
          <w:bCs w:val="0"/>
        </w:rPr>
        <w:tab/>
      </w:r>
      <w:r w:rsidR="00C21BCF" w:rsidRPr="00C21BCF">
        <w:rPr>
          <w:rFonts w:cstheme="minorBidi"/>
          <w:b w:val="0"/>
          <w:bCs w:val="0"/>
        </w:rPr>
        <w:t xml:space="preserve">the reabsorbed iron leads to serious damage in the nervous system and </w:t>
      </w:r>
      <w:r>
        <w:rPr>
          <w:rFonts w:cstheme="minorBidi"/>
          <w:b w:val="0"/>
          <w:bCs w:val="0"/>
        </w:rPr>
        <w:tab/>
      </w:r>
      <w:r w:rsidR="00C21BCF" w:rsidRPr="00C21BCF">
        <w:rPr>
          <w:rFonts w:cstheme="minorBidi"/>
          <w:b w:val="0"/>
          <w:bCs w:val="0"/>
        </w:rPr>
        <w:t>the liver.</w:t>
      </w:r>
    </w:p>
    <w:p w14:paraId="11D76110" w14:textId="77777777" w:rsidR="00C11F18" w:rsidRPr="000926E3" w:rsidRDefault="00C11F18" w:rsidP="00C11F18">
      <w:pPr>
        <w:pStyle w:val="SubHeafingSMPC"/>
        <w:numPr>
          <w:ilvl w:val="0"/>
          <w:numId w:val="0"/>
        </w:numPr>
        <w:jc w:val="thaiDistribute"/>
        <w:rPr>
          <w:sz w:val="10"/>
          <w:szCs w:val="10"/>
        </w:rPr>
      </w:pPr>
    </w:p>
    <w:p w14:paraId="18258B88" w14:textId="77777777" w:rsidR="00DB29BA" w:rsidRPr="003E7B49" w:rsidRDefault="00C11F18" w:rsidP="00C11F18">
      <w:pPr>
        <w:pStyle w:val="SubHeafingSMPC"/>
        <w:numPr>
          <w:ilvl w:val="0"/>
          <w:numId w:val="0"/>
        </w:numPr>
        <w:jc w:val="thaiDistribute"/>
        <w:rPr>
          <w:rFonts w:cstheme="minorBidi"/>
          <w:b w:val="0"/>
          <w:bCs w:val="0"/>
          <w:u w:val="single"/>
        </w:rPr>
      </w:pPr>
      <w:r>
        <w:rPr>
          <w:rFonts w:cstheme="minorBidi"/>
          <w:b w:val="0"/>
          <w:bCs w:val="0"/>
        </w:rPr>
        <w:tab/>
      </w:r>
      <w:r w:rsidR="00DB29BA" w:rsidRPr="003E7B49">
        <w:rPr>
          <w:rFonts w:cstheme="minorBidi"/>
          <w:b w:val="0"/>
          <w:bCs w:val="0"/>
          <w:u w:val="single"/>
        </w:rPr>
        <w:t>Management</w:t>
      </w:r>
    </w:p>
    <w:p w14:paraId="0EB36654" w14:textId="4423F5AB" w:rsidR="00C11F18"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Treatment consists of gastric lavage followed by the introduction of 5 g </w:t>
      </w:r>
      <w:r>
        <w:rPr>
          <w:rFonts w:cstheme="minorBidi"/>
          <w:b w:val="0"/>
          <w:bCs w:val="0"/>
        </w:rPr>
        <w:tab/>
      </w:r>
      <w:r w:rsidRPr="00DB29BA">
        <w:rPr>
          <w:rFonts w:cstheme="minorBidi"/>
          <w:b w:val="0"/>
          <w:bCs w:val="0"/>
        </w:rPr>
        <w:t>desferrioxamine into the stomach</w:t>
      </w:r>
      <w:r w:rsidR="00C11F18" w:rsidRPr="00DB29BA">
        <w:rPr>
          <w:rFonts w:cstheme="minorBidi"/>
          <w:b w:val="0"/>
          <w:bCs w:val="0"/>
        </w:rPr>
        <w:t>.</w:t>
      </w:r>
    </w:p>
    <w:p w14:paraId="197F64EE"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01AADFC1" w14:textId="77777777" w:rsidR="00DB29BA"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Serum iron levels should be monitored and in severe cases iv </w:t>
      </w:r>
      <w:r>
        <w:rPr>
          <w:rFonts w:cstheme="minorBidi"/>
          <w:b w:val="0"/>
          <w:bCs w:val="0"/>
        </w:rPr>
        <w:tab/>
      </w:r>
      <w:r w:rsidRPr="00DB29BA">
        <w:rPr>
          <w:rFonts w:cstheme="minorBidi"/>
          <w:b w:val="0"/>
          <w:bCs w:val="0"/>
        </w:rPr>
        <w:t xml:space="preserve">desferrioxamine should be given together with supportive and </w:t>
      </w:r>
      <w:r>
        <w:rPr>
          <w:rFonts w:cstheme="minorBidi"/>
          <w:b w:val="0"/>
          <w:bCs w:val="0"/>
        </w:rPr>
        <w:tab/>
      </w:r>
      <w:r w:rsidRPr="00DB29BA">
        <w:rPr>
          <w:rFonts w:cstheme="minorBidi"/>
          <w:b w:val="0"/>
          <w:bCs w:val="0"/>
        </w:rPr>
        <w:t>symptomatic measures as required.</w:t>
      </w:r>
    </w:p>
    <w:p w14:paraId="59B47B7A"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43606FA2" w14:textId="77777777" w:rsidR="00DB29BA"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Gastric lavage with 5% sodium bicarbonate and saline cathartics (e.g. </w:t>
      </w:r>
      <w:r>
        <w:rPr>
          <w:rFonts w:cstheme="minorBidi"/>
          <w:b w:val="0"/>
          <w:bCs w:val="0"/>
        </w:rPr>
        <w:tab/>
      </w:r>
      <w:r w:rsidRPr="00DB29BA">
        <w:rPr>
          <w:rFonts w:cstheme="minorBidi"/>
          <w:b w:val="0"/>
          <w:bCs w:val="0"/>
        </w:rPr>
        <w:t xml:space="preserve">sodium sulfate 30 g for adults); milk and eggs with 5 g bismuth carbonate </w:t>
      </w:r>
      <w:r>
        <w:rPr>
          <w:rFonts w:cstheme="minorBidi"/>
          <w:b w:val="0"/>
          <w:bCs w:val="0"/>
        </w:rPr>
        <w:tab/>
      </w:r>
      <w:r w:rsidRPr="00DB29BA">
        <w:rPr>
          <w:rFonts w:cstheme="minorBidi"/>
          <w:b w:val="0"/>
          <w:bCs w:val="0"/>
        </w:rPr>
        <w:t>every hour as demulcents.</w:t>
      </w:r>
    </w:p>
    <w:p w14:paraId="075F1EA8"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0B8A3A04" w14:textId="77777777" w:rsidR="00DB29BA"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Blood or plasma transfusion for shock, oxygen for respiratory </w:t>
      </w:r>
      <w:r>
        <w:rPr>
          <w:rFonts w:cstheme="minorBidi"/>
          <w:b w:val="0"/>
          <w:bCs w:val="0"/>
        </w:rPr>
        <w:tab/>
      </w:r>
      <w:r w:rsidRPr="00DB29BA">
        <w:rPr>
          <w:rFonts w:cstheme="minorBidi"/>
          <w:b w:val="0"/>
          <w:bCs w:val="0"/>
        </w:rPr>
        <w:t>embarrassment.</w:t>
      </w:r>
    </w:p>
    <w:p w14:paraId="7B6D411A"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1B486162" w14:textId="77777777" w:rsidR="00DB29BA"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Chelating agents (e.g. disodium calcium edetate) may be tried (500 </w:t>
      </w:r>
      <w:r>
        <w:rPr>
          <w:rFonts w:cstheme="minorBidi"/>
          <w:b w:val="0"/>
          <w:bCs w:val="0"/>
        </w:rPr>
        <w:tab/>
      </w:r>
      <w:r w:rsidRPr="00DB29BA">
        <w:rPr>
          <w:rFonts w:cstheme="minorBidi"/>
          <w:b w:val="0"/>
          <w:bCs w:val="0"/>
        </w:rPr>
        <w:t>mg/500 ml by continuous iv infusion).</w:t>
      </w:r>
    </w:p>
    <w:p w14:paraId="03E0A27C" w14:textId="77777777" w:rsidR="003E7B49" w:rsidRPr="003E7B49" w:rsidRDefault="003E7B49" w:rsidP="00C11F18">
      <w:pPr>
        <w:pStyle w:val="SubHeafingSMPC"/>
        <w:numPr>
          <w:ilvl w:val="0"/>
          <w:numId w:val="0"/>
        </w:numPr>
        <w:jc w:val="thaiDistribute"/>
        <w:rPr>
          <w:rFonts w:cstheme="minorBidi"/>
          <w:b w:val="0"/>
          <w:bCs w:val="0"/>
          <w:sz w:val="10"/>
          <w:szCs w:val="10"/>
        </w:rPr>
      </w:pPr>
    </w:p>
    <w:p w14:paraId="6BA8BBD3" w14:textId="1D25FF22" w:rsidR="00DB29BA" w:rsidRPr="00DB29BA" w:rsidRDefault="00DB29BA" w:rsidP="00C11F18">
      <w:pPr>
        <w:pStyle w:val="SubHeafingSMPC"/>
        <w:numPr>
          <w:ilvl w:val="0"/>
          <w:numId w:val="0"/>
        </w:numPr>
        <w:jc w:val="thaiDistribute"/>
        <w:rPr>
          <w:rFonts w:cstheme="minorBidi"/>
          <w:b w:val="0"/>
          <w:bCs w:val="0"/>
        </w:rPr>
      </w:pPr>
      <w:r>
        <w:rPr>
          <w:rFonts w:cstheme="minorBidi"/>
          <w:b w:val="0"/>
          <w:bCs w:val="0"/>
        </w:rPr>
        <w:tab/>
      </w:r>
      <w:r w:rsidRPr="00DB29BA">
        <w:rPr>
          <w:rFonts w:cstheme="minorBidi"/>
          <w:b w:val="0"/>
          <w:bCs w:val="0"/>
        </w:rPr>
        <w:t xml:space="preserve">Dimercaprol should not be used since it forms a toxic complex with iron. </w:t>
      </w:r>
      <w:r>
        <w:rPr>
          <w:rFonts w:cstheme="minorBidi"/>
          <w:b w:val="0"/>
          <w:bCs w:val="0"/>
        </w:rPr>
        <w:tab/>
      </w:r>
      <w:r w:rsidRPr="00DB29BA">
        <w:rPr>
          <w:rFonts w:cstheme="minorBidi"/>
          <w:b w:val="0"/>
          <w:bCs w:val="0"/>
        </w:rPr>
        <w:t xml:space="preserve">Desferrioxamine is a specific iron chelating agent and severe acute </w:t>
      </w:r>
      <w:r>
        <w:rPr>
          <w:rFonts w:cstheme="minorBidi"/>
          <w:b w:val="0"/>
          <w:bCs w:val="0"/>
        </w:rPr>
        <w:tab/>
      </w:r>
      <w:r w:rsidRPr="00DB29BA">
        <w:rPr>
          <w:rFonts w:cstheme="minorBidi"/>
          <w:b w:val="0"/>
          <w:bCs w:val="0"/>
        </w:rPr>
        <w:t xml:space="preserve">poisoning in infants should always be treated with desferrioxamine at a </w:t>
      </w:r>
      <w:r>
        <w:rPr>
          <w:rFonts w:cstheme="minorBidi"/>
          <w:b w:val="0"/>
          <w:bCs w:val="0"/>
        </w:rPr>
        <w:tab/>
      </w:r>
      <w:r w:rsidRPr="00DB29BA">
        <w:rPr>
          <w:rFonts w:cstheme="minorBidi"/>
          <w:b w:val="0"/>
          <w:bCs w:val="0"/>
        </w:rPr>
        <w:t xml:space="preserve">dose of 90 mg/kg </w:t>
      </w:r>
      <w:r w:rsidR="003E7B49">
        <w:rPr>
          <w:rFonts w:cstheme="minorBidi"/>
          <w:b w:val="0"/>
          <w:bCs w:val="0"/>
        </w:rPr>
        <w:t>IM</w:t>
      </w:r>
      <w:r w:rsidRPr="00DB29BA">
        <w:rPr>
          <w:rFonts w:cstheme="minorBidi"/>
          <w:b w:val="0"/>
          <w:bCs w:val="0"/>
        </w:rPr>
        <w:t xml:space="preserve"> followed by 15 mg/kg per hour iv until the serum </w:t>
      </w:r>
      <w:r>
        <w:rPr>
          <w:rFonts w:cstheme="minorBidi"/>
          <w:b w:val="0"/>
          <w:bCs w:val="0"/>
        </w:rPr>
        <w:tab/>
      </w:r>
      <w:r w:rsidRPr="00DB29BA">
        <w:rPr>
          <w:rFonts w:cstheme="minorBidi"/>
          <w:b w:val="0"/>
          <w:bCs w:val="0"/>
        </w:rPr>
        <w:t>iron is within the plasma binding capacity.</w:t>
      </w:r>
    </w:p>
    <w:p w14:paraId="13694AE2" w14:textId="77777777" w:rsidR="00C11F18" w:rsidRPr="008F5678" w:rsidRDefault="00C11F18" w:rsidP="00C11F18">
      <w:pPr>
        <w:pStyle w:val="HEADING1SMPC"/>
      </w:pPr>
      <w:r w:rsidRPr="008F5678">
        <w:lastRenderedPageBreak/>
        <w:t xml:space="preserve">PHARMACOLOGICAL PROPERTIES </w:t>
      </w:r>
    </w:p>
    <w:p w14:paraId="496A7394" w14:textId="77777777" w:rsidR="00C11F18" w:rsidRDefault="00C11F18" w:rsidP="00C11F18">
      <w:pPr>
        <w:pStyle w:val="SubHeafingSMPC"/>
        <w:ind w:left="57"/>
      </w:pPr>
      <w:r w:rsidRPr="008F5678">
        <w:t>Pharmacodynamic properties</w:t>
      </w:r>
    </w:p>
    <w:p w14:paraId="2AE6EF7E" w14:textId="77777777" w:rsidR="003E7B49" w:rsidRDefault="00C11F18" w:rsidP="00C11F18">
      <w:pPr>
        <w:pStyle w:val="SubHeafingSMPC"/>
        <w:numPr>
          <w:ilvl w:val="0"/>
          <w:numId w:val="0"/>
        </w:numPr>
        <w:jc w:val="thaiDistribute"/>
        <w:rPr>
          <w:b w:val="0"/>
          <w:bCs w:val="0"/>
        </w:rPr>
      </w:pPr>
      <w:r>
        <w:tab/>
      </w:r>
      <w:r w:rsidRPr="00D466B7">
        <w:rPr>
          <w:b w:val="0"/>
          <w:bCs w:val="0"/>
          <w:i/>
          <w:iCs/>
        </w:rPr>
        <w:t>Pharmacotherapeutic group:</w:t>
      </w:r>
      <w:r w:rsidR="003E7B49">
        <w:rPr>
          <w:b w:val="0"/>
          <w:bCs w:val="0"/>
          <w:i/>
          <w:iCs/>
        </w:rPr>
        <w:t xml:space="preserve"> </w:t>
      </w:r>
      <w:r w:rsidR="00DB29BA" w:rsidRPr="00DB29BA">
        <w:rPr>
          <w:b w:val="0"/>
          <w:bCs w:val="0"/>
        </w:rPr>
        <w:t>anti-anaemic preparations</w:t>
      </w:r>
    </w:p>
    <w:p w14:paraId="31299014" w14:textId="787E8791" w:rsidR="00C11F18" w:rsidRPr="00DB29BA" w:rsidRDefault="003E7B49" w:rsidP="00C11F18">
      <w:pPr>
        <w:pStyle w:val="SubHeafingSMPC"/>
        <w:numPr>
          <w:ilvl w:val="0"/>
          <w:numId w:val="0"/>
        </w:numPr>
        <w:jc w:val="thaiDistribute"/>
        <w:rPr>
          <w:b w:val="0"/>
          <w:bCs w:val="0"/>
          <w:i/>
          <w:iCs/>
        </w:rPr>
      </w:pPr>
      <w:r>
        <w:rPr>
          <w:b w:val="0"/>
          <w:bCs w:val="0"/>
        </w:rPr>
        <w:tab/>
      </w:r>
      <w:r w:rsidR="00DB29BA" w:rsidRPr="00DB29BA">
        <w:rPr>
          <w:b w:val="0"/>
          <w:bCs w:val="0"/>
        </w:rPr>
        <w:t>ATC code: B03A A07</w:t>
      </w:r>
    </w:p>
    <w:p w14:paraId="22891D7E" w14:textId="77777777" w:rsidR="00C11F18" w:rsidRPr="00D466B7" w:rsidRDefault="00C11F18" w:rsidP="00C11F18">
      <w:pPr>
        <w:pStyle w:val="SubHeafingSMPC"/>
        <w:numPr>
          <w:ilvl w:val="0"/>
          <w:numId w:val="0"/>
        </w:numPr>
        <w:jc w:val="thaiDistribute"/>
        <w:rPr>
          <w:sz w:val="10"/>
          <w:szCs w:val="10"/>
        </w:rPr>
      </w:pPr>
    </w:p>
    <w:p w14:paraId="5592F538" w14:textId="77777777" w:rsidR="00DB29BA" w:rsidRDefault="00C11F18" w:rsidP="00DB29BA">
      <w:pPr>
        <w:pStyle w:val="SubHeafingSMPC"/>
        <w:numPr>
          <w:ilvl w:val="0"/>
          <w:numId w:val="0"/>
        </w:numPr>
        <w:jc w:val="thaiDistribute"/>
        <w:rPr>
          <w:b w:val="0"/>
          <w:bCs w:val="0"/>
        </w:rPr>
      </w:pPr>
      <w:r>
        <w:rPr>
          <w:b w:val="0"/>
          <w:bCs w:val="0"/>
        </w:rPr>
        <w:tab/>
      </w:r>
      <w:r w:rsidR="00DB29BA" w:rsidRPr="00DB29BA">
        <w:rPr>
          <w:b w:val="0"/>
          <w:bCs w:val="0"/>
        </w:rPr>
        <w:t xml:space="preserve">Iron plays a central role in the metabolic process as a component of the </w:t>
      </w:r>
      <w:r w:rsidR="00DB29BA">
        <w:rPr>
          <w:b w:val="0"/>
          <w:bCs w:val="0"/>
        </w:rPr>
        <w:tab/>
      </w:r>
      <w:r w:rsidR="00DB29BA" w:rsidRPr="00DB29BA">
        <w:rPr>
          <w:b w:val="0"/>
          <w:bCs w:val="0"/>
        </w:rPr>
        <w:t xml:space="preserve">red blood dye (haemoglobin) and numerous enzymes (for example </w:t>
      </w:r>
      <w:r w:rsidR="00DB29BA">
        <w:rPr>
          <w:b w:val="0"/>
          <w:bCs w:val="0"/>
        </w:rPr>
        <w:tab/>
      </w:r>
      <w:r w:rsidR="00DB29BA" w:rsidRPr="00DB29BA">
        <w:rPr>
          <w:b w:val="0"/>
          <w:bCs w:val="0"/>
        </w:rPr>
        <w:t xml:space="preserve">cytochrome oxidase, peroxidase, catalase). Due to iron deficiency, </w:t>
      </w:r>
      <w:r w:rsidR="00DB29BA">
        <w:rPr>
          <w:b w:val="0"/>
          <w:bCs w:val="0"/>
        </w:rPr>
        <w:tab/>
      </w:r>
      <w:r w:rsidR="00DB29BA" w:rsidRPr="00DB29BA">
        <w:rPr>
          <w:b w:val="0"/>
          <w:bCs w:val="0"/>
        </w:rPr>
        <w:t xml:space="preserve">almost all cell functions are impaired, in particular the processes </w:t>
      </w:r>
      <w:r w:rsidR="00DB29BA">
        <w:rPr>
          <w:b w:val="0"/>
          <w:bCs w:val="0"/>
        </w:rPr>
        <w:tab/>
      </w:r>
      <w:r w:rsidR="00DB29BA" w:rsidRPr="00DB29BA">
        <w:rPr>
          <w:b w:val="0"/>
          <w:bCs w:val="0"/>
        </w:rPr>
        <w:t xml:space="preserve">associated with high oxygen demand, e.g. growth processes. However, </w:t>
      </w:r>
      <w:r w:rsidR="00DB29BA">
        <w:rPr>
          <w:b w:val="0"/>
          <w:bCs w:val="0"/>
        </w:rPr>
        <w:tab/>
      </w:r>
      <w:r w:rsidR="00DB29BA" w:rsidRPr="00DB29BA">
        <w:rPr>
          <w:b w:val="0"/>
          <w:bCs w:val="0"/>
        </w:rPr>
        <w:t xml:space="preserve">the amounts of iron absorbed with the food are relatively small so that </w:t>
      </w:r>
      <w:r w:rsidR="00DB29BA">
        <w:rPr>
          <w:b w:val="0"/>
          <w:bCs w:val="0"/>
        </w:rPr>
        <w:tab/>
      </w:r>
      <w:r w:rsidR="00DB29BA" w:rsidRPr="00DB29BA">
        <w:rPr>
          <w:b w:val="0"/>
          <w:bCs w:val="0"/>
        </w:rPr>
        <w:t xml:space="preserve">larger losses are hardly to be compensated for, but an oral substitution is </w:t>
      </w:r>
      <w:r w:rsidR="00DB29BA">
        <w:rPr>
          <w:b w:val="0"/>
          <w:bCs w:val="0"/>
        </w:rPr>
        <w:tab/>
      </w:r>
      <w:r w:rsidR="00DB29BA" w:rsidRPr="00DB29BA">
        <w:rPr>
          <w:b w:val="0"/>
          <w:bCs w:val="0"/>
        </w:rPr>
        <w:t>required.</w:t>
      </w:r>
    </w:p>
    <w:p w14:paraId="5AC48D6B" w14:textId="77777777" w:rsidR="003E7B49" w:rsidRPr="003E7B49" w:rsidRDefault="003E7B49" w:rsidP="00DB29BA">
      <w:pPr>
        <w:pStyle w:val="SubHeafingSMPC"/>
        <w:numPr>
          <w:ilvl w:val="0"/>
          <w:numId w:val="0"/>
        </w:numPr>
        <w:jc w:val="thaiDistribute"/>
        <w:rPr>
          <w:b w:val="0"/>
          <w:bCs w:val="0"/>
          <w:sz w:val="10"/>
          <w:szCs w:val="10"/>
        </w:rPr>
      </w:pPr>
    </w:p>
    <w:p w14:paraId="4C59A550" w14:textId="6064C618" w:rsidR="00DB29BA" w:rsidRPr="008D1D64" w:rsidRDefault="00DB29BA" w:rsidP="00DB29BA">
      <w:pPr>
        <w:pStyle w:val="SubHeafingSMPC"/>
        <w:numPr>
          <w:ilvl w:val="0"/>
          <w:numId w:val="0"/>
        </w:numPr>
        <w:jc w:val="thaiDistribute"/>
        <w:rPr>
          <w:b w:val="0"/>
          <w:bCs w:val="0"/>
        </w:rPr>
      </w:pPr>
      <w:r>
        <w:rPr>
          <w:b w:val="0"/>
          <w:bCs w:val="0"/>
        </w:rPr>
        <w:tab/>
      </w:r>
      <w:r w:rsidRPr="00DB29BA">
        <w:rPr>
          <w:b w:val="0"/>
          <w:bCs w:val="0"/>
        </w:rPr>
        <w:t xml:space="preserve">The daily requirement for men, women after the menopause, and </w:t>
      </w:r>
      <w:r>
        <w:rPr>
          <w:b w:val="0"/>
          <w:bCs w:val="0"/>
        </w:rPr>
        <w:tab/>
      </w:r>
      <w:r w:rsidRPr="00DB29BA">
        <w:rPr>
          <w:b w:val="0"/>
          <w:bCs w:val="0"/>
        </w:rPr>
        <w:t xml:space="preserve">children is about 0.5 </w:t>
      </w:r>
      <w:r>
        <w:rPr>
          <w:b w:val="0"/>
          <w:bCs w:val="0"/>
        </w:rPr>
        <w:t xml:space="preserve">- </w:t>
      </w:r>
      <w:r w:rsidRPr="00DB29BA">
        <w:rPr>
          <w:b w:val="0"/>
          <w:bCs w:val="0"/>
        </w:rPr>
        <w:t xml:space="preserve">1 mg of iron, for younger women and adolescents </w:t>
      </w:r>
      <w:r>
        <w:rPr>
          <w:b w:val="0"/>
          <w:bCs w:val="0"/>
        </w:rPr>
        <w:tab/>
      </w:r>
      <w:r w:rsidRPr="00DB29BA">
        <w:rPr>
          <w:b w:val="0"/>
          <w:bCs w:val="0"/>
        </w:rPr>
        <w:t>about 1</w:t>
      </w:r>
      <w:r>
        <w:rPr>
          <w:b w:val="0"/>
          <w:bCs w:val="0"/>
        </w:rPr>
        <w:t xml:space="preserve"> - </w:t>
      </w:r>
      <w:r w:rsidRPr="00DB29BA">
        <w:rPr>
          <w:b w:val="0"/>
          <w:bCs w:val="0"/>
        </w:rPr>
        <w:t>2 mg, for pregnant women about 2</w:t>
      </w:r>
      <w:r>
        <w:rPr>
          <w:b w:val="0"/>
          <w:bCs w:val="0"/>
        </w:rPr>
        <w:t xml:space="preserve"> - </w:t>
      </w:r>
      <w:r w:rsidRPr="00DB29BA">
        <w:rPr>
          <w:b w:val="0"/>
          <w:bCs w:val="0"/>
        </w:rPr>
        <w:t xml:space="preserve">5 mg, and for infants about </w:t>
      </w:r>
      <w:r>
        <w:rPr>
          <w:b w:val="0"/>
          <w:bCs w:val="0"/>
        </w:rPr>
        <w:tab/>
      </w:r>
      <w:r w:rsidRPr="00DB29BA">
        <w:rPr>
          <w:b w:val="0"/>
          <w:bCs w:val="0"/>
        </w:rPr>
        <w:t xml:space="preserve">0.5 </w:t>
      </w:r>
      <w:r>
        <w:rPr>
          <w:b w:val="0"/>
          <w:bCs w:val="0"/>
        </w:rPr>
        <w:t>-</w:t>
      </w:r>
      <w:r w:rsidRPr="00DB29BA">
        <w:rPr>
          <w:b w:val="0"/>
          <w:bCs w:val="0"/>
        </w:rPr>
        <w:t xml:space="preserve"> 1.5 mg. With an average absorption rate of 10%, at least 10 times </w:t>
      </w:r>
      <w:r>
        <w:rPr>
          <w:b w:val="0"/>
          <w:bCs w:val="0"/>
        </w:rPr>
        <w:tab/>
      </w:r>
      <w:r w:rsidRPr="00DB29BA">
        <w:rPr>
          <w:b w:val="0"/>
          <w:bCs w:val="0"/>
        </w:rPr>
        <w:t xml:space="preserve">the amount daily is to be administered orally, in order to cover the </w:t>
      </w:r>
      <w:r>
        <w:rPr>
          <w:b w:val="0"/>
          <w:bCs w:val="0"/>
        </w:rPr>
        <w:tab/>
      </w:r>
      <w:r w:rsidRPr="00DB29BA">
        <w:rPr>
          <w:b w:val="0"/>
          <w:bCs w:val="0"/>
        </w:rPr>
        <w:t xml:space="preserve">requirement. In the adult organism, about 2.5 g iron is to be found as </w:t>
      </w:r>
      <w:r>
        <w:rPr>
          <w:b w:val="0"/>
          <w:bCs w:val="0"/>
        </w:rPr>
        <w:tab/>
      </w:r>
      <w:r w:rsidRPr="00DB29BA">
        <w:rPr>
          <w:b w:val="0"/>
          <w:bCs w:val="0"/>
        </w:rPr>
        <w:t xml:space="preserve">haemoglobin iron, 1.5 g as storage iron, less than 0.4 g as myoglobin </w:t>
      </w:r>
      <w:r>
        <w:rPr>
          <w:b w:val="0"/>
          <w:bCs w:val="0"/>
        </w:rPr>
        <w:tab/>
      </w:r>
      <w:r w:rsidRPr="00DB29BA">
        <w:rPr>
          <w:b w:val="0"/>
          <w:bCs w:val="0"/>
        </w:rPr>
        <w:t xml:space="preserve">iron, less than 0.1 g as haem-containing enzymes and about 4 mg in </w:t>
      </w:r>
      <w:r>
        <w:rPr>
          <w:b w:val="0"/>
          <w:bCs w:val="0"/>
        </w:rPr>
        <w:tab/>
      </w:r>
      <w:r w:rsidRPr="00DB29BA">
        <w:rPr>
          <w:b w:val="0"/>
          <w:bCs w:val="0"/>
        </w:rPr>
        <w:t>plasma bound to transferrin.</w:t>
      </w:r>
    </w:p>
    <w:p w14:paraId="3756600C" w14:textId="77777777" w:rsidR="00C11F18" w:rsidRDefault="00C11F18" w:rsidP="00C11F18">
      <w:pPr>
        <w:pStyle w:val="SubHeafingSMPC"/>
        <w:ind w:left="57"/>
      </w:pPr>
      <w:r w:rsidRPr="008F5678">
        <w:t>Pharmacokinetic properties</w:t>
      </w:r>
    </w:p>
    <w:p w14:paraId="7CA57D82" w14:textId="77777777" w:rsidR="00DB29BA" w:rsidRDefault="00C11F18" w:rsidP="00DB29BA">
      <w:pPr>
        <w:pStyle w:val="SubHeafingSMPC"/>
        <w:numPr>
          <w:ilvl w:val="0"/>
          <w:numId w:val="0"/>
        </w:numPr>
        <w:jc w:val="thaiDistribute"/>
        <w:rPr>
          <w:b w:val="0"/>
          <w:bCs w:val="0"/>
        </w:rPr>
      </w:pPr>
      <w:r>
        <w:tab/>
      </w:r>
      <w:r w:rsidR="00DB29BA" w:rsidRPr="00DB29BA">
        <w:rPr>
          <w:b w:val="0"/>
          <w:bCs w:val="0"/>
        </w:rPr>
        <w:t xml:space="preserve">Iron is absorbed by the mucosal transferrin, preferably in the upper small </w:t>
      </w:r>
      <w:r w:rsidR="00DB29BA">
        <w:rPr>
          <w:b w:val="0"/>
          <w:bCs w:val="0"/>
        </w:rPr>
        <w:tab/>
      </w:r>
      <w:r w:rsidR="00DB29BA" w:rsidRPr="00DB29BA">
        <w:rPr>
          <w:b w:val="0"/>
          <w:bCs w:val="0"/>
        </w:rPr>
        <w:t xml:space="preserve">intestinal region, depending on the needs. Iron (II) salts are more ionized </w:t>
      </w:r>
      <w:r w:rsidR="00DB29BA">
        <w:rPr>
          <w:b w:val="0"/>
          <w:bCs w:val="0"/>
        </w:rPr>
        <w:tab/>
      </w:r>
      <w:r w:rsidR="00DB29BA" w:rsidRPr="00DB29BA">
        <w:rPr>
          <w:b w:val="0"/>
          <w:bCs w:val="0"/>
        </w:rPr>
        <w:t xml:space="preserve">there and more bioavailable than iron (III) salts. The resorption rate of </w:t>
      </w:r>
      <w:r w:rsidR="00DB29BA">
        <w:rPr>
          <w:b w:val="0"/>
          <w:bCs w:val="0"/>
        </w:rPr>
        <w:tab/>
      </w:r>
      <w:r w:rsidR="00DB29BA" w:rsidRPr="00DB29BA">
        <w:rPr>
          <w:b w:val="0"/>
          <w:bCs w:val="0"/>
        </w:rPr>
        <w:t xml:space="preserve">the dietary iron is on the average 5-15% (average 0.5-1.5 mg daily); it </w:t>
      </w:r>
      <w:r w:rsidR="00DB29BA">
        <w:rPr>
          <w:b w:val="0"/>
          <w:bCs w:val="0"/>
        </w:rPr>
        <w:lastRenderedPageBreak/>
        <w:tab/>
      </w:r>
      <w:r w:rsidR="00DB29BA" w:rsidRPr="00DB29BA">
        <w:rPr>
          <w:b w:val="0"/>
          <w:bCs w:val="0"/>
        </w:rPr>
        <w:t xml:space="preserve">usually increases with exhausted iron reserves and decreases with </w:t>
      </w:r>
      <w:r w:rsidR="00DB29BA">
        <w:rPr>
          <w:b w:val="0"/>
          <w:bCs w:val="0"/>
        </w:rPr>
        <w:tab/>
      </w:r>
      <w:r w:rsidR="00DB29BA" w:rsidRPr="00DB29BA">
        <w:rPr>
          <w:b w:val="0"/>
          <w:bCs w:val="0"/>
        </w:rPr>
        <w:t xml:space="preserve">increasing amount of iron. In plasma, iron is bound by plasma transferrin, </w:t>
      </w:r>
      <w:r w:rsidR="00DB29BA">
        <w:rPr>
          <w:b w:val="0"/>
          <w:bCs w:val="0"/>
        </w:rPr>
        <w:tab/>
      </w:r>
      <w:r w:rsidR="00DB29BA" w:rsidRPr="00DB29BA">
        <w:rPr>
          <w:b w:val="0"/>
          <w:bCs w:val="0"/>
        </w:rPr>
        <w:t xml:space="preserve">excess iron is stored as ferritin or hemosiderin in the reticuloendothelial </w:t>
      </w:r>
      <w:r w:rsidR="00DB29BA">
        <w:rPr>
          <w:b w:val="0"/>
          <w:bCs w:val="0"/>
        </w:rPr>
        <w:tab/>
      </w:r>
      <w:r w:rsidR="00DB29BA" w:rsidRPr="00DB29BA">
        <w:rPr>
          <w:b w:val="0"/>
          <w:bCs w:val="0"/>
        </w:rPr>
        <w:t>system and mobilised as required</w:t>
      </w:r>
      <w:r w:rsidRPr="00DB29BA">
        <w:rPr>
          <w:b w:val="0"/>
          <w:bCs w:val="0"/>
        </w:rPr>
        <w:t>.</w:t>
      </w:r>
    </w:p>
    <w:p w14:paraId="5618D330" w14:textId="77777777" w:rsidR="003E7B49" w:rsidRPr="003E7B49" w:rsidRDefault="003E7B49" w:rsidP="00DB29BA">
      <w:pPr>
        <w:pStyle w:val="SubHeafingSMPC"/>
        <w:numPr>
          <w:ilvl w:val="0"/>
          <w:numId w:val="0"/>
        </w:numPr>
        <w:jc w:val="thaiDistribute"/>
        <w:rPr>
          <w:b w:val="0"/>
          <w:bCs w:val="0"/>
          <w:sz w:val="10"/>
          <w:szCs w:val="10"/>
        </w:rPr>
      </w:pPr>
    </w:p>
    <w:p w14:paraId="4CFA68E7" w14:textId="0990DC4C" w:rsidR="00DB29BA" w:rsidRPr="00DB29BA" w:rsidRDefault="00DB29BA" w:rsidP="00DB29BA">
      <w:pPr>
        <w:pStyle w:val="SubHeafingSMPC"/>
        <w:numPr>
          <w:ilvl w:val="0"/>
          <w:numId w:val="0"/>
        </w:numPr>
        <w:jc w:val="thaiDistribute"/>
        <w:rPr>
          <w:b w:val="0"/>
          <w:bCs w:val="0"/>
        </w:rPr>
      </w:pPr>
      <w:r>
        <w:rPr>
          <w:b w:val="0"/>
          <w:bCs w:val="0"/>
        </w:rPr>
        <w:tab/>
      </w:r>
      <w:r w:rsidRPr="00DB29BA">
        <w:rPr>
          <w:b w:val="0"/>
          <w:bCs w:val="0"/>
        </w:rPr>
        <w:t xml:space="preserve">Ferrous Sulfate should be taken 1 hour before or possibly between meals </w:t>
      </w:r>
      <w:r>
        <w:rPr>
          <w:b w:val="0"/>
          <w:bCs w:val="0"/>
        </w:rPr>
        <w:tab/>
      </w:r>
      <w:r w:rsidRPr="00DB29BA">
        <w:rPr>
          <w:b w:val="0"/>
          <w:bCs w:val="0"/>
        </w:rPr>
        <w:t xml:space="preserve">as food can affect absorption. Reduced availability for resorption results </w:t>
      </w:r>
      <w:r>
        <w:rPr>
          <w:b w:val="0"/>
          <w:bCs w:val="0"/>
        </w:rPr>
        <w:tab/>
      </w:r>
      <w:r w:rsidRPr="00DB29BA">
        <w:rPr>
          <w:b w:val="0"/>
          <w:bCs w:val="0"/>
        </w:rPr>
        <w:t xml:space="preserve">from the formation of sparingly soluble iron compounds with phytates </w:t>
      </w:r>
      <w:r>
        <w:rPr>
          <w:b w:val="0"/>
          <w:bCs w:val="0"/>
        </w:rPr>
        <w:tab/>
      </w:r>
      <w:r w:rsidRPr="00DB29BA">
        <w:rPr>
          <w:b w:val="0"/>
          <w:bCs w:val="0"/>
        </w:rPr>
        <w:t>(cereals), phosphates (milk), oxalates (spinach, rhubarb), tannin (tea).</w:t>
      </w:r>
    </w:p>
    <w:p w14:paraId="280A5297" w14:textId="77777777" w:rsidR="00C11F18" w:rsidRPr="00F82D07" w:rsidRDefault="00C11F18" w:rsidP="00C11F18">
      <w:pPr>
        <w:pStyle w:val="SubHeafingSMPC"/>
        <w:ind w:left="57"/>
      </w:pPr>
      <w:r w:rsidRPr="008F5678">
        <w:t xml:space="preserve">Preclinical safety data </w:t>
      </w:r>
    </w:p>
    <w:p w14:paraId="2878AECC" w14:textId="77777777" w:rsidR="00DB29BA" w:rsidRDefault="00C11F18" w:rsidP="00C11F18">
      <w:pPr>
        <w:pStyle w:val="SubHeafingSMPC"/>
        <w:numPr>
          <w:ilvl w:val="0"/>
          <w:numId w:val="0"/>
        </w:numPr>
        <w:jc w:val="thaiDistribute"/>
        <w:rPr>
          <w:b w:val="0"/>
          <w:bCs w:val="0"/>
        </w:rPr>
      </w:pPr>
      <w:r>
        <w:rPr>
          <w:b w:val="0"/>
          <w:bCs w:val="0"/>
        </w:rPr>
        <w:tab/>
      </w:r>
      <w:r w:rsidR="00DB29BA" w:rsidRPr="00DB29BA">
        <w:rPr>
          <w:b w:val="0"/>
          <w:bCs w:val="0"/>
        </w:rPr>
        <w:t xml:space="preserve">Animal experiments with Ferrous Sulfate, which are carried out </w:t>
      </w:r>
      <w:r w:rsidR="00DB29BA">
        <w:rPr>
          <w:b w:val="0"/>
          <w:bCs w:val="0"/>
        </w:rPr>
        <w:tab/>
      </w:r>
      <w:r w:rsidR="00DB29BA" w:rsidRPr="00DB29BA">
        <w:rPr>
          <w:b w:val="0"/>
          <w:bCs w:val="0"/>
        </w:rPr>
        <w:t xml:space="preserve">according to the current standard, are not available for the possible </w:t>
      </w:r>
      <w:r w:rsidR="00DB29BA">
        <w:rPr>
          <w:b w:val="0"/>
          <w:bCs w:val="0"/>
        </w:rPr>
        <w:tab/>
      </w:r>
      <w:r w:rsidR="00DB29BA" w:rsidRPr="00DB29BA">
        <w:rPr>
          <w:b w:val="0"/>
          <w:bCs w:val="0"/>
        </w:rPr>
        <w:t>effects of iron salts on fertility, embryofetal and postnatal development</w:t>
      </w:r>
      <w:r w:rsidRPr="00D84F3B">
        <w:rPr>
          <w:b w:val="0"/>
          <w:bCs w:val="0"/>
        </w:rPr>
        <w:t>.</w:t>
      </w:r>
    </w:p>
    <w:p w14:paraId="4600F70F" w14:textId="77777777" w:rsidR="003E7B49" w:rsidRPr="003E7B49" w:rsidRDefault="003E7B49" w:rsidP="00C11F18">
      <w:pPr>
        <w:pStyle w:val="SubHeafingSMPC"/>
        <w:numPr>
          <w:ilvl w:val="0"/>
          <w:numId w:val="0"/>
        </w:numPr>
        <w:jc w:val="thaiDistribute"/>
        <w:rPr>
          <w:b w:val="0"/>
          <w:bCs w:val="0"/>
          <w:sz w:val="10"/>
          <w:szCs w:val="10"/>
        </w:rPr>
      </w:pPr>
    </w:p>
    <w:p w14:paraId="0746C77D" w14:textId="77777777" w:rsidR="00DB29BA" w:rsidRDefault="00DB29BA" w:rsidP="00C11F18">
      <w:pPr>
        <w:pStyle w:val="SubHeafingSMPC"/>
        <w:numPr>
          <w:ilvl w:val="0"/>
          <w:numId w:val="0"/>
        </w:numPr>
        <w:jc w:val="thaiDistribute"/>
        <w:rPr>
          <w:b w:val="0"/>
          <w:bCs w:val="0"/>
        </w:rPr>
      </w:pPr>
      <w:r>
        <w:rPr>
          <w:b w:val="0"/>
          <w:bCs w:val="0"/>
        </w:rPr>
        <w:tab/>
      </w:r>
      <w:r w:rsidRPr="00DB29BA">
        <w:rPr>
          <w:b w:val="0"/>
          <w:bCs w:val="0"/>
        </w:rPr>
        <w:t xml:space="preserve">There is no evidence of potential mutagenicity of iron in mammalian </w:t>
      </w:r>
      <w:r>
        <w:rPr>
          <w:b w:val="0"/>
          <w:bCs w:val="0"/>
        </w:rPr>
        <w:tab/>
      </w:r>
      <w:r w:rsidRPr="00DB29BA">
        <w:rPr>
          <w:b w:val="0"/>
          <w:bCs w:val="0"/>
        </w:rPr>
        <w:t>cells in vivo.</w:t>
      </w:r>
    </w:p>
    <w:p w14:paraId="236F8C2B" w14:textId="77777777" w:rsidR="003E7B49" w:rsidRPr="003E7B49" w:rsidRDefault="003E7B49" w:rsidP="00C11F18">
      <w:pPr>
        <w:pStyle w:val="SubHeafingSMPC"/>
        <w:numPr>
          <w:ilvl w:val="0"/>
          <w:numId w:val="0"/>
        </w:numPr>
        <w:jc w:val="thaiDistribute"/>
        <w:rPr>
          <w:b w:val="0"/>
          <w:bCs w:val="0"/>
          <w:sz w:val="10"/>
          <w:szCs w:val="10"/>
        </w:rPr>
      </w:pPr>
    </w:p>
    <w:p w14:paraId="24794982" w14:textId="415FCC65" w:rsidR="00DB29BA" w:rsidRDefault="00DB29BA" w:rsidP="00C11F18">
      <w:pPr>
        <w:pStyle w:val="SubHeafingSMPC"/>
        <w:numPr>
          <w:ilvl w:val="0"/>
          <w:numId w:val="0"/>
        </w:numPr>
        <w:jc w:val="thaiDistribute"/>
        <w:rPr>
          <w:b w:val="0"/>
          <w:bCs w:val="0"/>
        </w:rPr>
      </w:pPr>
      <w:r>
        <w:rPr>
          <w:b w:val="0"/>
          <w:bCs w:val="0"/>
        </w:rPr>
        <w:tab/>
      </w:r>
      <w:r w:rsidRPr="00DB29BA">
        <w:rPr>
          <w:b w:val="0"/>
          <w:bCs w:val="0"/>
        </w:rPr>
        <w:t>There are no long-term studies on tumour-producing potential.</w:t>
      </w:r>
    </w:p>
    <w:p w14:paraId="7275CFC3" w14:textId="77777777" w:rsidR="00C11F18" w:rsidRPr="008F5678" w:rsidRDefault="00C11F18" w:rsidP="00C11F18">
      <w:pPr>
        <w:pStyle w:val="HEADING1SMPC"/>
      </w:pPr>
      <w:r w:rsidRPr="008F5678">
        <w:t xml:space="preserve">PHARMACEUTICAL PARTICULARS </w:t>
      </w:r>
    </w:p>
    <w:p w14:paraId="2CB06C91" w14:textId="77777777" w:rsidR="00C11F18" w:rsidRPr="008F5678" w:rsidRDefault="00C11F18" w:rsidP="00C11F18">
      <w:pPr>
        <w:pStyle w:val="SubHeafingSMPC"/>
        <w:ind w:left="57"/>
        <w:rPr>
          <w:szCs w:val="48"/>
        </w:rPr>
      </w:pPr>
      <w:r w:rsidRPr="008F5678">
        <w:t>List of excipients</w:t>
      </w:r>
    </w:p>
    <w:p w14:paraId="0741D2EB" w14:textId="77777777" w:rsidR="00C11F18" w:rsidRPr="000A71B4" w:rsidRDefault="00C11F18" w:rsidP="00C11F18">
      <w:pPr>
        <w:pStyle w:val="SubHeafingSMPC"/>
        <w:numPr>
          <w:ilvl w:val="0"/>
          <w:numId w:val="0"/>
        </w:numPr>
        <w:ind w:left="57"/>
        <w:jc w:val="center"/>
      </w:pPr>
      <w:r w:rsidRPr="000A71B4">
        <w:rPr>
          <w:b w:val="0"/>
          <w:bCs w:val="0"/>
          <w:color w:val="FF0000"/>
        </w:rPr>
        <w:t>&lt;Regarding the approval&gt;</w:t>
      </w:r>
    </w:p>
    <w:p w14:paraId="0345257E" w14:textId="77777777" w:rsidR="00C11F18" w:rsidRPr="00F527B4" w:rsidRDefault="00C11F18" w:rsidP="00C11F18">
      <w:pPr>
        <w:pStyle w:val="SubHeafingSMPC"/>
        <w:ind w:left="57"/>
      </w:pPr>
      <w:r w:rsidRPr="008F5678">
        <w:t xml:space="preserve">Incompatibilities </w:t>
      </w:r>
    </w:p>
    <w:p w14:paraId="0EBBF505" w14:textId="77777777" w:rsidR="00C11F18" w:rsidRPr="000A71B4" w:rsidRDefault="00C11F18" w:rsidP="00C11F18">
      <w:pPr>
        <w:pStyle w:val="SubHeafingSMPC"/>
        <w:numPr>
          <w:ilvl w:val="0"/>
          <w:numId w:val="0"/>
        </w:numPr>
        <w:ind w:left="57"/>
        <w:jc w:val="center"/>
      </w:pPr>
      <w:r>
        <w:rPr>
          <w:b w:val="0"/>
          <w:bCs w:val="0"/>
        </w:rPr>
        <w:tab/>
      </w:r>
      <w:r w:rsidRPr="000A71B4">
        <w:rPr>
          <w:b w:val="0"/>
          <w:bCs w:val="0"/>
          <w:color w:val="FF0000"/>
        </w:rPr>
        <w:t>&lt;Regarding the approval&gt;</w:t>
      </w:r>
    </w:p>
    <w:p w14:paraId="5BB374AB" w14:textId="77777777" w:rsidR="00C11F18" w:rsidRPr="000A71B4" w:rsidRDefault="00C11F18" w:rsidP="00C11F18">
      <w:pPr>
        <w:pStyle w:val="SubHeafingSMPC"/>
        <w:ind w:left="57"/>
      </w:pPr>
      <w:r w:rsidRPr="008F5678">
        <w:t xml:space="preserve">Shelf life </w:t>
      </w:r>
    </w:p>
    <w:p w14:paraId="0E8FA947" w14:textId="77777777" w:rsidR="00C11F18" w:rsidRPr="000A71B4" w:rsidRDefault="00C11F18" w:rsidP="00C11F18">
      <w:pPr>
        <w:pStyle w:val="SubHeafingSMPC"/>
        <w:numPr>
          <w:ilvl w:val="0"/>
          <w:numId w:val="0"/>
        </w:numPr>
        <w:ind w:left="57"/>
        <w:jc w:val="center"/>
        <w:rPr>
          <w:b w:val="0"/>
          <w:bCs w:val="0"/>
          <w:color w:val="FF0000"/>
        </w:rPr>
      </w:pPr>
      <w:r w:rsidRPr="000A71B4">
        <w:rPr>
          <w:b w:val="0"/>
          <w:bCs w:val="0"/>
          <w:color w:val="FF0000"/>
        </w:rPr>
        <w:t>&lt;Regarding the approval&gt;</w:t>
      </w:r>
    </w:p>
    <w:p w14:paraId="385DC483" w14:textId="77777777" w:rsidR="00C11F18" w:rsidRPr="008F5678" w:rsidRDefault="00C11F18" w:rsidP="00C11F18">
      <w:pPr>
        <w:pStyle w:val="SubHeafingSMPC"/>
        <w:ind w:left="57"/>
      </w:pPr>
      <w:r w:rsidRPr="008F5678">
        <w:t xml:space="preserve">Special precautions for storage </w:t>
      </w:r>
    </w:p>
    <w:p w14:paraId="0048A684" w14:textId="77777777" w:rsidR="00C11F18" w:rsidRPr="000A71B4" w:rsidRDefault="00C11F18" w:rsidP="00C11F18">
      <w:pPr>
        <w:pStyle w:val="SubHeafingSMPC"/>
        <w:numPr>
          <w:ilvl w:val="0"/>
          <w:numId w:val="0"/>
        </w:numPr>
        <w:ind w:left="57"/>
        <w:jc w:val="center"/>
      </w:pPr>
      <w:r w:rsidRPr="000A71B4">
        <w:rPr>
          <w:b w:val="0"/>
          <w:bCs w:val="0"/>
          <w:color w:val="FF0000"/>
        </w:rPr>
        <w:t>&lt;Regarding the approval&gt;</w:t>
      </w:r>
    </w:p>
    <w:p w14:paraId="7E28D005" w14:textId="77777777" w:rsidR="00C11F18" w:rsidRPr="008F5678" w:rsidRDefault="00C11F18" w:rsidP="00C11F18">
      <w:pPr>
        <w:pStyle w:val="SubHeafingSMPC"/>
        <w:ind w:left="57"/>
      </w:pPr>
      <w:r w:rsidRPr="008F5678">
        <w:t xml:space="preserve">Nature and contents of container </w:t>
      </w:r>
    </w:p>
    <w:p w14:paraId="7EC14740" w14:textId="77777777" w:rsidR="00C11F18" w:rsidRPr="000A71B4" w:rsidRDefault="00C11F18" w:rsidP="00C11F18">
      <w:pPr>
        <w:pStyle w:val="SubHeafingSMPC"/>
        <w:numPr>
          <w:ilvl w:val="0"/>
          <w:numId w:val="0"/>
        </w:numPr>
        <w:ind w:left="57"/>
        <w:jc w:val="center"/>
      </w:pPr>
      <w:r w:rsidRPr="000A71B4">
        <w:rPr>
          <w:b w:val="0"/>
          <w:bCs w:val="0"/>
          <w:color w:val="FF0000"/>
        </w:rPr>
        <w:t>&lt;Regarding the approval&gt;</w:t>
      </w:r>
    </w:p>
    <w:p w14:paraId="57D75F01" w14:textId="77777777" w:rsidR="00C11F18" w:rsidRPr="000A71B4" w:rsidRDefault="00C11F18" w:rsidP="00C11F18">
      <w:pPr>
        <w:pStyle w:val="SubHeafingSMPC"/>
        <w:ind w:left="57"/>
      </w:pPr>
      <w:r w:rsidRPr="008F5678">
        <w:lastRenderedPageBreak/>
        <w:t xml:space="preserve">Special precautions for disposal </w:t>
      </w:r>
    </w:p>
    <w:p w14:paraId="7C6493D5" w14:textId="77777777" w:rsidR="00C11F18" w:rsidRPr="000A71B4" w:rsidRDefault="00C11F18" w:rsidP="00C11F18">
      <w:pPr>
        <w:pStyle w:val="SubHeafingSMPC"/>
        <w:numPr>
          <w:ilvl w:val="0"/>
          <w:numId w:val="0"/>
        </w:numPr>
        <w:ind w:left="57"/>
        <w:jc w:val="center"/>
      </w:pPr>
      <w:r w:rsidRPr="000A71B4">
        <w:rPr>
          <w:b w:val="0"/>
          <w:bCs w:val="0"/>
          <w:color w:val="FF0000"/>
        </w:rPr>
        <w:t>&lt;Regarding the approval&gt;</w:t>
      </w:r>
    </w:p>
    <w:p w14:paraId="398856DA" w14:textId="77777777" w:rsidR="00C11F18" w:rsidRDefault="00C11F18" w:rsidP="00C11F18">
      <w:pPr>
        <w:pStyle w:val="HEADING1SMPC"/>
      </w:pPr>
      <w:r w:rsidRPr="008F5678">
        <w:t xml:space="preserve">MARKETING AUTHORISATION HOLDER </w:t>
      </w:r>
    </w:p>
    <w:p w14:paraId="3E78C86E" w14:textId="77777777" w:rsidR="00C11F18" w:rsidRPr="00D741D1" w:rsidRDefault="00C11F18" w:rsidP="00C11F18">
      <w:pPr>
        <w:pStyle w:val="ae"/>
        <w:jc w:val="center"/>
        <w:rPr>
          <w:rFonts w:ascii="Times New Roman" w:hAnsi="Times New Roman" w:cs="Times New Roman"/>
          <w:color w:val="FF0000"/>
          <w:sz w:val="28"/>
        </w:rPr>
      </w:pPr>
      <w:r w:rsidRPr="00D741D1">
        <w:rPr>
          <w:rFonts w:ascii="Times New Roman" w:hAnsi="Times New Roman" w:cs="Times New Roman"/>
          <w:color w:val="FF0000"/>
          <w:sz w:val="28"/>
        </w:rPr>
        <w:t>&lt;Regarding the approval&gt;</w:t>
      </w:r>
    </w:p>
    <w:p w14:paraId="3AADF8A1" w14:textId="77777777" w:rsidR="00C11F18" w:rsidRDefault="00C11F18" w:rsidP="00C11F18">
      <w:pPr>
        <w:pStyle w:val="HEADING1SMPC"/>
        <w:rPr>
          <w:rFonts w:eastAsia="Times"/>
          <w:color w:val="000000" w:themeColor="text1"/>
        </w:rPr>
      </w:pPr>
      <w:r w:rsidRPr="008F5678">
        <w:rPr>
          <w:color w:val="000000" w:themeColor="text1"/>
        </w:rPr>
        <w:t xml:space="preserve">MARKETING AUTHORISATION NUMBER(S) </w:t>
      </w:r>
    </w:p>
    <w:p w14:paraId="3F281C11" w14:textId="77777777" w:rsidR="00C11F18" w:rsidRPr="002270FF" w:rsidRDefault="00C11F18" w:rsidP="00C11F18">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00C9A161" w14:textId="77777777" w:rsidR="00C11F18" w:rsidRDefault="00C11F18" w:rsidP="00C11F18">
      <w:pPr>
        <w:pStyle w:val="HEADING1SMPC"/>
        <w:rPr>
          <w:color w:val="000000" w:themeColor="text1"/>
        </w:rPr>
      </w:pPr>
      <w:r w:rsidRPr="008F5678">
        <w:rPr>
          <w:color w:val="000000" w:themeColor="text1"/>
        </w:rPr>
        <w:t xml:space="preserve">DATE OF FIRST AUTHORISATION/RENEWAL OF THE AUTHORISATION </w:t>
      </w:r>
    </w:p>
    <w:p w14:paraId="5240BA9D" w14:textId="77777777" w:rsidR="00C11F18" w:rsidRPr="002270FF" w:rsidRDefault="00C11F18" w:rsidP="00C11F18">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1843F19B" w14:textId="77777777" w:rsidR="00C11F18" w:rsidRPr="008F5678" w:rsidRDefault="00C11F18" w:rsidP="00C11F18">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01987AB7" w14:textId="77777777" w:rsidR="00C11F18" w:rsidRPr="002270FF" w:rsidRDefault="00C11F18" w:rsidP="00C11F18">
      <w:pPr>
        <w:jc w:val="center"/>
        <w:rPr>
          <w:rFonts w:ascii="Times New Roman" w:hAnsi="Times New Roman" w:cs="Times New Roman"/>
          <w:color w:val="FF0000"/>
          <w:sz w:val="28"/>
          <w:szCs w:val="28"/>
        </w:rPr>
      </w:pPr>
      <w:r w:rsidRPr="002270FF">
        <w:rPr>
          <w:rFonts w:ascii="Times New Roman" w:hAnsi="Times New Roman" w:cs="Times New Roman"/>
          <w:color w:val="FF0000"/>
          <w:sz w:val="28"/>
          <w:szCs w:val="28"/>
        </w:rPr>
        <w:t>&lt;Regarding the approval&gt;</w:t>
      </w:r>
    </w:p>
    <w:p w14:paraId="51A862D2" w14:textId="77777777" w:rsidR="00C11F18" w:rsidRPr="004E6B0A" w:rsidRDefault="00C11F18" w:rsidP="00C11F18">
      <w:pPr>
        <w:rPr>
          <w:rFonts w:ascii="Times New Roman" w:hAnsi="Times New Roman" w:cs="Times New Roman"/>
          <w:sz w:val="28"/>
          <w:szCs w:val="28"/>
        </w:rPr>
      </w:pPr>
    </w:p>
    <w:p w14:paraId="5C47F9E5" w14:textId="77777777" w:rsidR="00CD0A94" w:rsidRDefault="00CD0A94"/>
    <w:sectPr w:rsidR="00CD0A94" w:rsidSect="00C11F18">
      <w:footerReference w:type="even" r:id="rId7"/>
      <w:footerReference w:type="default" r:id="rId8"/>
      <w:pgSz w:w="11920" w:h="16840"/>
      <w:pgMar w:top="1418"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947A" w14:textId="77777777" w:rsidR="00F64A51" w:rsidRDefault="00F64A51" w:rsidP="00DB29BA">
      <w:pPr>
        <w:spacing w:line="240" w:lineRule="auto"/>
      </w:pPr>
      <w:r>
        <w:separator/>
      </w:r>
    </w:p>
  </w:endnote>
  <w:endnote w:type="continuationSeparator" w:id="0">
    <w:p w14:paraId="14292334" w14:textId="77777777" w:rsidR="00F64A51" w:rsidRDefault="00F64A51" w:rsidP="00DB2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cs/>
      </w:rPr>
      <w:id w:val="-645354915"/>
      <w:docPartObj>
        <w:docPartGallery w:val="Page Numbers (Bottom of Page)"/>
        <w:docPartUnique/>
      </w:docPartObj>
    </w:sdtPr>
    <w:sdtContent>
      <w:p w14:paraId="43E3EFCD" w14:textId="77777777" w:rsidR="00BA1791" w:rsidRDefault="00000000" w:rsidP="00050BE3">
        <w:pPr>
          <w:pStyle w:val="af"/>
          <w:framePr w:wrap="none" w:vAnchor="text" w:hAnchor="margin" w:xAlign="center" w:y="1"/>
          <w:rPr>
            <w:rStyle w:val="af1"/>
          </w:rPr>
        </w:pPr>
        <w:r>
          <w:rPr>
            <w:rStyle w:val="af1"/>
            <w:cs/>
          </w:rPr>
          <w:fldChar w:fldCharType="begin"/>
        </w:r>
        <w:r>
          <w:rPr>
            <w:rStyle w:val="af1"/>
          </w:rPr>
          <w:instrText xml:space="preserve"> PAGE </w:instrText>
        </w:r>
        <w:r>
          <w:rPr>
            <w:rStyle w:val="af1"/>
            <w:cs/>
          </w:rPr>
          <w:fldChar w:fldCharType="end"/>
        </w:r>
      </w:p>
    </w:sdtContent>
  </w:sdt>
  <w:p w14:paraId="1A7364CA" w14:textId="77777777" w:rsidR="00BA1791" w:rsidRDefault="00BA179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Fonts w:ascii="Times New Roman" w:hAnsi="Times New Roman" w:cs="Times New Roman"/>
        <w:sz w:val="24"/>
        <w:szCs w:val="32"/>
        <w:cs/>
      </w:rPr>
      <w:id w:val="599765865"/>
      <w:docPartObj>
        <w:docPartGallery w:val="Page Numbers (Bottom of Page)"/>
        <w:docPartUnique/>
      </w:docPartObj>
    </w:sdtPr>
    <w:sdtContent>
      <w:p w14:paraId="6EFE4373" w14:textId="77777777" w:rsidR="00BA1791" w:rsidRPr="008F5678" w:rsidRDefault="00000000" w:rsidP="007567E8">
        <w:pPr>
          <w:pStyle w:val="af"/>
          <w:framePr w:wrap="none" w:vAnchor="text" w:hAnchor="page" w:x="10396" w:y="8"/>
          <w:rPr>
            <w:rStyle w:val="af1"/>
            <w:rFonts w:ascii="Times New Roman" w:hAnsi="Times New Roman" w:cs="Times New Roman"/>
            <w:sz w:val="24"/>
            <w:szCs w:val="32"/>
          </w:rPr>
        </w:pPr>
        <w:r w:rsidRPr="007567E8">
          <w:rPr>
            <w:rStyle w:val="af1"/>
            <w:rFonts w:ascii="Times New Roman" w:hAnsi="Times New Roman" w:cs="Times New Roman"/>
            <w:sz w:val="24"/>
            <w:szCs w:val="24"/>
            <w:cs/>
          </w:rPr>
          <w:fldChar w:fldCharType="begin"/>
        </w:r>
        <w:r w:rsidRPr="007567E8">
          <w:rPr>
            <w:rStyle w:val="af1"/>
            <w:rFonts w:ascii="Times New Roman" w:hAnsi="Times New Roman" w:cs="Times New Roman"/>
            <w:sz w:val="24"/>
            <w:szCs w:val="24"/>
          </w:rPr>
          <w:instrText xml:space="preserve"> PAGE </w:instrText>
        </w:r>
        <w:r w:rsidRPr="007567E8">
          <w:rPr>
            <w:rStyle w:val="af1"/>
            <w:rFonts w:ascii="Times New Roman" w:hAnsi="Times New Roman" w:cs="Times New Roman"/>
            <w:sz w:val="24"/>
            <w:szCs w:val="24"/>
            <w:cs/>
          </w:rPr>
          <w:fldChar w:fldCharType="separate"/>
        </w:r>
        <w:r w:rsidRPr="007567E8">
          <w:rPr>
            <w:rStyle w:val="af1"/>
            <w:rFonts w:ascii="Times New Roman" w:hAnsi="Times New Roman" w:cs="Times New Roman"/>
            <w:noProof/>
            <w:sz w:val="24"/>
            <w:szCs w:val="24"/>
          </w:rPr>
          <w:t>6</w:t>
        </w:r>
        <w:r w:rsidRPr="007567E8">
          <w:rPr>
            <w:rStyle w:val="af1"/>
            <w:rFonts w:ascii="Times New Roman" w:hAnsi="Times New Roman" w:cs="Times New Roman"/>
            <w:sz w:val="24"/>
            <w:szCs w:val="24"/>
            <w:cs/>
          </w:rPr>
          <w:fldChar w:fldCharType="end"/>
        </w:r>
      </w:p>
    </w:sdtContent>
  </w:sdt>
  <w:p w14:paraId="2B6E84BF" w14:textId="3B95657D" w:rsidR="00BA1791" w:rsidRPr="00A40C77" w:rsidRDefault="00000000"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00DB29BA" w:rsidRPr="00DB29BA">
      <w:rPr>
        <w:rFonts w:ascii="Times New Roman" w:hAnsi="Times New Roman" w:cs="Times New Roman"/>
        <w:sz w:val="24"/>
        <w:szCs w:val="24"/>
      </w:rPr>
      <w:t>Ref: Ferrous Sulfate, MHRA, date 30/10/2020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72F2E" w14:textId="77777777" w:rsidR="00F64A51" w:rsidRDefault="00F64A51" w:rsidP="00DB29BA">
      <w:pPr>
        <w:spacing w:line="240" w:lineRule="auto"/>
      </w:pPr>
      <w:r>
        <w:separator/>
      </w:r>
    </w:p>
  </w:footnote>
  <w:footnote w:type="continuationSeparator" w:id="0">
    <w:p w14:paraId="273A3A14" w14:textId="77777777" w:rsidR="00F64A51" w:rsidRDefault="00F64A51" w:rsidP="00DB29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6B2B43"/>
    <w:multiLevelType w:val="hybridMultilevel"/>
    <w:tmpl w:val="8C8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A65B9"/>
    <w:multiLevelType w:val="hybridMultilevel"/>
    <w:tmpl w:val="5AA6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45D7D"/>
    <w:multiLevelType w:val="hybridMultilevel"/>
    <w:tmpl w:val="ACA60B76"/>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8729891">
    <w:abstractNumId w:val="0"/>
  </w:num>
  <w:num w:numId="2" w16cid:durableId="808284377">
    <w:abstractNumId w:val="3"/>
  </w:num>
  <w:num w:numId="3" w16cid:durableId="1444838617">
    <w:abstractNumId w:val="1"/>
  </w:num>
  <w:num w:numId="4" w16cid:durableId="148650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18"/>
    <w:rsid w:val="00051494"/>
    <w:rsid w:val="003E7B49"/>
    <w:rsid w:val="00414F29"/>
    <w:rsid w:val="00454EC5"/>
    <w:rsid w:val="00610BC8"/>
    <w:rsid w:val="007B472D"/>
    <w:rsid w:val="0083274C"/>
    <w:rsid w:val="00920590"/>
    <w:rsid w:val="009F5322"/>
    <w:rsid w:val="00A710F6"/>
    <w:rsid w:val="00AA15BD"/>
    <w:rsid w:val="00AD2ABB"/>
    <w:rsid w:val="00B06764"/>
    <w:rsid w:val="00B268E1"/>
    <w:rsid w:val="00BA1791"/>
    <w:rsid w:val="00C11F18"/>
    <w:rsid w:val="00C21BCF"/>
    <w:rsid w:val="00CD0A94"/>
    <w:rsid w:val="00D44563"/>
    <w:rsid w:val="00D807F6"/>
    <w:rsid w:val="00DB29BA"/>
    <w:rsid w:val="00F64A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3B144"/>
  <w15:chartTrackingRefBased/>
  <w15:docId w15:val="{A0B1A9D0-AA77-4811-9F6F-2F6E69C7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F18"/>
    <w:pPr>
      <w:spacing w:after="0" w:line="276" w:lineRule="auto"/>
    </w:pPr>
    <w:rPr>
      <w:rFonts w:ascii="Arial" w:eastAsia="Arial" w:hAnsi="Arial" w:cs="Arial"/>
      <w:kern w:val="0"/>
      <w:sz w:val="22"/>
      <w:szCs w:val="22"/>
      <w:lang w:eastAsia="en-US"/>
      <w14:ligatures w14:val="none"/>
    </w:rPr>
  </w:style>
  <w:style w:type="paragraph" w:styleId="1">
    <w:name w:val="heading 1"/>
    <w:basedOn w:val="a"/>
    <w:next w:val="a"/>
    <w:link w:val="10"/>
    <w:uiPriority w:val="9"/>
    <w:qFormat/>
    <w:rsid w:val="00C11F18"/>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C11F18"/>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C11F18"/>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C11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1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1F1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F1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F1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F18"/>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C11F18"/>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C11F18"/>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C11F18"/>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C11F18"/>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C11F18"/>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C11F18"/>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C11F18"/>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C11F18"/>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C11F18"/>
    <w:rPr>
      <w:rFonts w:eastAsiaTheme="majorEastAsia" w:cstheme="majorBidi"/>
      <w:color w:val="272727" w:themeColor="text1" w:themeTint="D8"/>
    </w:rPr>
  </w:style>
  <w:style w:type="paragraph" w:styleId="a3">
    <w:name w:val="Title"/>
    <w:basedOn w:val="a"/>
    <w:next w:val="a"/>
    <w:link w:val="a4"/>
    <w:uiPriority w:val="10"/>
    <w:qFormat/>
    <w:rsid w:val="00C11F18"/>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C11F18"/>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C11F18"/>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C11F18"/>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C11F18"/>
    <w:pPr>
      <w:spacing w:before="160"/>
      <w:jc w:val="center"/>
    </w:pPr>
    <w:rPr>
      <w:i/>
      <w:iCs/>
      <w:color w:val="404040" w:themeColor="text1" w:themeTint="BF"/>
    </w:rPr>
  </w:style>
  <w:style w:type="character" w:customStyle="1" w:styleId="a8">
    <w:name w:val="คำอ้างอิง อักขระ"/>
    <w:basedOn w:val="a0"/>
    <w:link w:val="a7"/>
    <w:uiPriority w:val="29"/>
    <w:rsid w:val="00C11F18"/>
    <w:rPr>
      <w:i/>
      <w:iCs/>
      <w:color w:val="404040" w:themeColor="text1" w:themeTint="BF"/>
    </w:rPr>
  </w:style>
  <w:style w:type="paragraph" w:styleId="a9">
    <w:name w:val="List Paragraph"/>
    <w:basedOn w:val="a"/>
    <w:uiPriority w:val="34"/>
    <w:qFormat/>
    <w:rsid w:val="00C11F18"/>
    <w:pPr>
      <w:ind w:left="720"/>
      <w:contextualSpacing/>
    </w:pPr>
  </w:style>
  <w:style w:type="character" w:styleId="aa">
    <w:name w:val="Intense Emphasis"/>
    <w:basedOn w:val="a0"/>
    <w:uiPriority w:val="21"/>
    <w:qFormat/>
    <w:rsid w:val="00C11F18"/>
    <w:rPr>
      <w:i/>
      <w:iCs/>
      <w:color w:val="0F4761" w:themeColor="accent1" w:themeShade="BF"/>
    </w:rPr>
  </w:style>
  <w:style w:type="paragraph" w:styleId="ab">
    <w:name w:val="Intense Quote"/>
    <w:basedOn w:val="a"/>
    <w:next w:val="a"/>
    <w:link w:val="ac"/>
    <w:uiPriority w:val="30"/>
    <w:qFormat/>
    <w:rsid w:val="00C11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C11F18"/>
    <w:rPr>
      <w:i/>
      <w:iCs/>
      <w:color w:val="0F4761" w:themeColor="accent1" w:themeShade="BF"/>
    </w:rPr>
  </w:style>
  <w:style w:type="character" w:styleId="ad">
    <w:name w:val="Intense Reference"/>
    <w:basedOn w:val="a0"/>
    <w:uiPriority w:val="32"/>
    <w:qFormat/>
    <w:rsid w:val="00C11F18"/>
    <w:rPr>
      <w:b/>
      <w:bCs/>
      <w:smallCaps/>
      <w:color w:val="0F4761" w:themeColor="accent1" w:themeShade="BF"/>
      <w:spacing w:val="5"/>
    </w:rPr>
  </w:style>
  <w:style w:type="paragraph" w:customStyle="1" w:styleId="HEADING1SMPC">
    <w:name w:val="HEADING1_SMPC"/>
    <w:basedOn w:val="1"/>
    <w:next w:val="ae"/>
    <w:qFormat/>
    <w:rsid w:val="00C11F18"/>
    <w:pPr>
      <w:numPr>
        <w:numId w:val="1"/>
      </w:numPr>
      <w:spacing w:before="240" w:after="120" w:line="360" w:lineRule="auto"/>
      <w:ind w:left="357" w:hanging="357"/>
    </w:pPr>
    <w:rPr>
      <w:rFonts w:ascii="Times New Roman" w:eastAsia="Arial" w:hAnsi="Times New Roman" w:cs="Times New Roman"/>
      <w:b/>
      <w:bCs/>
      <w:color w:val="auto"/>
      <w:sz w:val="28"/>
      <w:szCs w:val="48"/>
    </w:rPr>
  </w:style>
  <w:style w:type="paragraph" w:customStyle="1" w:styleId="SubHeafingSMPC">
    <w:name w:val="SubHeafing_SMPC"/>
    <w:basedOn w:val="a9"/>
    <w:qFormat/>
    <w:rsid w:val="00C11F18"/>
    <w:pPr>
      <w:numPr>
        <w:ilvl w:val="1"/>
        <w:numId w:val="1"/>
      </w:numPr>
      <w:spacing w:before="240" w:line="360" w:lineRule="auto"/>
      <w:ind w:left="114" w:hanging="57"/>
    </w:pPr>
    <w:rPr>
      <w:rFonts w:ascii="Times New Roman" w:hAnsi="Times New Roman" w:cs="Times New Roman"/>
      <w:b/>
      <w:bCs/>
      <w:sz w:val="28"/>
      <w:szCs w:val="28"/>
    </w:rPr>
  </w:style>
  <w:style w:type="paragraph" w:customStyle="1" w:styleId="TitleSMPC">
    <w:name w:val="Title_SMPC"/>
    <w:basedOn w:val="a"/>
    <w:qFormat/>
    <w:rsid w:val="00C11F18"/>
    <w:pPr>
      <w:spacing w:line="480" w:lineRule="auto"/>
      <w:jc w:val="center"/>
    </w:pPr>
    <w:rPr>
      <w:rFonts w:ascii="Times New Roman" w:hAnsi="Times New Roman" w:cs="Times New Roman"/>
      <w:b/>
      <w:bCs/>
      <w:sz w:val="32"/>
      <w:szCs w:val="28"/>
    </w:rPr>
  </w:style>
  <w:style w:type="paragraph" w:styleId="af">
    <w:name w:val="footer"/>
    <w:basedOn w:val="a"/>
    <w:link w:val="af0"/>
    <w:uiPriority w:val="99"/>
    <w:unhideWhenUsed/>
    <w:rsid w:val="00C11F18"/>
    <w:pPr>
      <w:tabs>
        <w:tab w:val="center" w:pos="4680"/>
        <w:tab w:val="right" w:pos="9360"/>
      </w:tabs>
      <w:spacing w:line="240" w:lineRule="auto"/>
    </w:pPr>
    <w:rPr>
      <w:rFonts w:cs="Cordia New"/>
      <w:szCs w:val="28"/>
    </w:rPr>
  </w:style>
  <w:style w:type="character" w:customStyle="1" w:styleId="af0">
    <w:name w:val="ท้ายกระดาษ อักขระ"/>
    <w:basedOn w:val="a0"/>
    <w:link w:val="af"/>
    <w:uiPriority w:val="99"/>
    <w:rsid w:val="00C11F18"/>
    <w:rPr>
      <w:rFonts w:ascii="Arial" w:eastAsia="Arial" w:hAnsi="Arial" w:cs="Cordia New"/>
      <w:kern w:val="0"/>
      <w:sz w:val="22"/>
      <w:szCs w:val="28"/>
      <w:lang w:eastAsia="en-US"/>
      <w14:ligatures w14:val="none"/>
    </w:rPr>
  </w:style>
  <w:style w:type="character" w:styleId="af1">
    <w:name w:val="page number"/>
    <w:basedOn w:val="a0"/>
    <w:uiPriority w:val="99"/>
    <w:semiHidden/>
    <w:unhideWhenUsed/>
    <w:rsid w:val="00C11F18"/>
  </w:style>
  <w:style w:type="paragraph" w:styleId="ae">
    <w:name w:val="Body Text"/>
    <w:basedOn w:val="a"/>
    <w:link w:val="af2"/>
    <w:uiPriority w:val="99"/>
    <w:unhideWhenUsed/>
    <w:rsid w:val="00C11F18"/>
    <w:pPr>
      <w:spacing w:after="120"/>
    </w:pPr>
    <w:rPr>
      <w:rFonts w:cs="Cordia New"/>
      <w:szCs w:val="28"/>
    </w:rPr>
  </w:style>
  <w:style w:type="character" w:customStyle="1" w:styleId="af2">
    <w:name w:val="เนื้อความ อักขระ"/>
    <w:basedOn w:val="a0"/>
    <w:link w:val="ae"/>
    <w:uiPriority w:val="99"/>
    <w:rsid w:val="00C11F18"/>
    <w:rPr>
      <w:rFonts w:ascii="Arial" w:eastAsia="Arial" w:hAnsi="Arial" w:cs="Cordia New"/>
      <w:kern w:val="0"/>
      <w:sz w:val="22"/>
      <w:szCs w:val="28"/>
      <w:lang w:eastAsia="en-US"/>
      <w14:ligatures w14:val="none"/>
    </w:rPr>
  </w:style>
  <w:style w:type="table" w:styleId="af3">
    <w:name w:val="Table Grid"/>
    <w:basedOn w:val="a1"/>
    <w:uiPriority w:val="39"/>
    <w:rsid w:val="00C21B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DB29BA"/>
    <w:pPr>
      <w:tabs>
        <w:tab w:val="center" w:pos="4513"/>
        <w:tab w:val="right" w:pos="9026"/>
      </w:tabs>
      <w:spacing w:line="240" w:lineRule="auto"/>
    </w:pPr>
    <w:rPr>
      <w:rFonts w:cs="Cordia New"/>
      <w:szCs w:val="28"/>
    </w:rPr>
  </w:style>
  <w:style w:type="character" w:customStyle="1" w:styleId="af5">
    <w:name w:val="หัวกระดาษ อักขระ"/>
    <w:basedOn w:val="a0"/>
    <w:link w:val="af4"/>
    <w:uiPriority w:val="99"/>
    <w:rsid w:val="00DB29BA"/>
    <w:rPr>
      <w:rFonts w:ascii="Arial" w:eastAsia="Arial" w:hAnsi="Arial" w:cs="Cordia New"/>
      <w:kern w:val="0"/>
      <w:sz w:val="22"/>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2445</Words>
  <Characters>13942</Characters>
  <Application>Microsoft Office Word</Application>
  <DocSecurity>0</DocSecurity>
  <Lines>116</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2024-08-11T15:33:00Z</dcterms:created>
  <dcterms:modified xsi:type="dcterms:W3CDTF">2024-08-15T14:37:00Z</dcterms:modified>
</cp:coreProperties>
</file>