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A1326F8" w:rsidR="00227FD4" w:rsidRPr="00E641A1" w:rsidRDefault="00702D8E" w:rsidP="00AF212D">
      <w:pPr>
        <w:pStyle w:val="BodyTextSMPC"/>
        <w:rPr>
          <w:rFonts w:cstheme="minorBidi"/>
        </w:rPr>
      </w:pPr>
      <w:r>
        <w:t>M</w:t>
      </w:r>
      <w:r w:rsidRPr="00702D8E">
        <w:t>etronidazole</w:t>
      </w:r>
      <w:r w:rsidR="00C069FE" w:rsidRPr="005574FA">
        <w:rPr>
          <w:color w:val="FF0000"/>
        </w:rPr>
        <w:t>&lt;TRADE NAME&gt; &lt;STRENGTH&gt;</w:t>
      </w:r>
      <w:r w:rsidR="00A10233">
        <w:rPr>
          <w:color w:val="FF0000"/>
        </w:rPr>
        <w:t xml:space="preserve"> </w:t>
      </w:r>
      <w:r w:rsidR="00A10233">
        <w:t>S</w:t>
      </w:r>
      <w:r w:rsidR="00A10233" w:rsidRPr="00A10233">
        <w:rPr>
          <w:rFonts w:cs="Angsana New"/>
          <w:szCs w:val="35"/>
        </w:rPr>
        <w:t>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28BADC0B" w14:textId="485BB445" w:rsidR="00A10233" w:rsidRDefault="00A10233" w:rsidP="00A10233">
      <w:pPr>
        <w:pStyle w:val="BodyTextSMPC"/>
      </w:pPr>
      <w:r>
        <w:t xml:space="preserve">Metronidazole  </w:t>
      </w:r>
      <w:r w:rsidRPr="005574FA">
        <w:rPr>
          <w:color w:val="FF0000"/>
        </w:rPr>
        <w:t>&lt;STRENGTH&gt;</w:t>
      </w:r>
      <w:r>
        <w:rPr>
          <w:color w:val="FF0000"/>
        </w:rPr>
        <w:t xml:space="preserve"> </w:t>
      </w:r>
      <w:r>
        <w:t>mg/ml</w:t>
      </w:r>
    </w:p>
    <w:p w14:paraId="0DA9DC66" w14:textId="35E4FFD5" w:rsidR="00A10233" w:rsidRDefault="00A10233" w:rsidP="00A10233">
      <w:pPr>
        <w:pStyle w:val="BodyTextSMPC"/>
      </w:pPr>
      <w:r>
        <w:t xml:space="preserve">100 ml of solution for infusion containing </w:t>
      </w:r>
      <w:r w:rsidRPr="005574FA">
        <w:rPr>
          <w:color w:val="FF0000"/>
        </w:rPr>
        <w:t>&lt;STRENGTH&gt;</w:t>
      </w:r>
      <w:r>
        <w:t xml:space="preserve"> of Metronidazole.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5FD7BAF" w:rsidR="00227FD4" w:rsidRPr="00070173" w:rsidRDefault="00A10233" w:rsidP="00AF212D">
      <w:pPr>
        <w:pStyle w:val="BodyTextSMPC"/>
        <w:rPr>
          <w:rFonts w:cs="Angsana New"/>
          <w:szCs w:val="35"/>
        </w:rPr>
      </w:pPr>
      <w:r>
        <w:t>S</w:t>
      </w:r>
      <w:r w:rsidRPr="00A10233">
        <w:rPr>
          <w:rFonts w:cs="Angsana New"/>
          <w:szCs w:val="35"/>
        </w:rPr>
        <w:t>olutions for injections or infusions</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32B56F4A" w14:textId="09003736" w:rsidR="00A10233" w:rsidRPr="00A10233" w:rsidRDefault="00A10233" w:rsidP="00A10233">
      <w:pPr>
        <w:pStyle w:val="BodyTextSMPC"/>
        <w:rPr>
          <w:rFonts w:cstheme="minorBidi"/>
        </w:rPr>
      </w:pPr>
      <w:r w:rsidRPr="00A10233">
        <w:rPr>
          <w:rFonts w:cstheme="minorBidi"/>
        </w:rPr>
        <w:t>Metronidazole 500mg/100ml Intravenous Infusion is indicated in adults and children when oral medication is not possible for the following indications:</w:t>
      </w:r>
    </w:p>
    <w:p w14:paraId="2DF3ED70" w14:textId="77777777" w:rsidR="00E32C2B" w:rsidRDefault="00A10233" w:rsidP="00E32C2B">
      <w:pPr>
        <w:pStyle w:val="BodyTextSMPC"/>
        <w:numPr>
          <w:ilvl w:val="0"/>
          <w:numId w:val="9"/>
        </w:numPr>
        <w:rPr>
          <w:rFonts w:cstheme="minorBidi"/>
        </w:rPr>
      </w:pPr>
      <w:r w:rsidRPr="00A10233">
        <w:rPr>
          <w:rFonts w:cstheme="minorBidi"/>
        </w:rPr>
        <w:t xml:space="preserve">The prophylaxis of postoperative infections due to sensitive anaerobic bacteria particularly species of Bacteroides and anaerobic Streptococci, during abdominal, </w:t>
      </w:r>
      <w:proofErr w:type="spellStart"/>
      <w:r w:rsidRPr="00A10233">
        <w:rPr>
          <w:rFonts w:cstheme="minorBidi"/>
        </w:rPr>
        <w:t>gynaecological</w:t>
      </w:r>
      <w:proofErr w:type="spellEnd"/>
      <w:r w:rsidRPr="00A10233">
        <w:rPr>
          <w:rFonts w:cstheme="minorBidi"/>
        </w:rPr>
        <w:t xml:space="preserve"> gastrointestinal or colorectal surgery which carries a high risk of occurrence of this type of infection. The solution may also be used in combination with an antibiotic active against aerobic bacteria.</w:t>
      </w:r>
    </w:p>
    <w:p w14:paraId="00BC808A" w14:textId="2CC62F1F" w:rsidR="00A10233" w:rsidRPr="00E32C2B" w:rsidRDefault="00A10233" w:rsidP="00E32C2B">
      <w:pPr>
        <w:pStyle w:val="BodyTextSMPC"/>
        <w:numPr>
          <w:ilvl w:val="0"/>
          <w:numId w:val="9"/>
        </w:numPr>
        <w:rPr>
          <w:rFonts w:cstheme="minorBidi"/>
        </w:rPr>
      </w:pPr>
      <w:r w:rsidRPr="00E32C2B">
        <w:rPr>
          <w:rFonts w:cstheme="minorBidi"/>
        </w:rPr>
        <w:t xml:space="preserve">The treatment of severe intraabdominal and </w:t>
      </w:r>
      <w:proofErr w:type="spellStart"/>
      <w:r w:rsidRPr="00E32C2B">
        <w:rPr>
          <w:rFonts w:cstheme="minorBidi"/>
        </w:rPr>
        <w:t>gynaecological</w:t>
      </w:r>
      <w:proofErr w:type="spellEnd"/>
      <w:r w:rsidRPr="00E32C2B">
        <w:rPr>
          <w:rFonts w:cstheme="minorBidi"/>
        </w:rPr>
        <w:t xml:space="preserve"> infections in which sensitive anaerobic bacteria particularly </w:t>
      </w:r>
      <w:proofErr w:type="spellStart"/>
      <w:r w:rsidRPr="00E32C2B">
        <w:rPr>
          <w:rFonts w:cstheme="minorBidi"/>
        </w:rPr>
        <w:lastRenderedPageBreak/>
        <w:t>Bacteriodes</w:t>
      </w:r>
      <w:proofErr w:type="spellEnd"/>
      <w:r w:rsidRPr="00E32C2B">
        <w:rPr>
          <w:rFonts w:cstheme="minorBidi"/>
        </w:rPr>
        <w:t xml:space="preserve"> and anaerobic Streptococci have been identified or are suspected to be the cause.</w:t>
      </w:r>
    </w:p>
    <w:p w14:paraId="13EF1B36" w14:textId="5D240C91" w:rsidR="00177864" w:rsidRPr="00982EC5" w:rsidRDefault="00A10233" w:rsidP="00E32C2B">
      <w:pPr>
        <w:pStyle w:val="BodyTextSMPC"/>
        <w:rPr>
          <w:rFonts w:cstheme="minorBidi"/>
        </w:rPr>
      </w:pPr>
      <w:r w:rsidRPr="00A10233">
        <w:rPr>
          <w:rFonts w:cstheme="minorBidi"/>
        </w:rPr>
        <w:t>Consideration should be given to official guidance on the appropriate use of antibacterial agents.</w:t>
      </w:r>
    </w:p>
    <w:p w14:paraId="1953512A" w14:textId="77777777" w:rsidR="00233A79" w:rsidRPr="008F5678" w:rsidRDefault="00000000" w:rsidP="00C21A1C">
      <w:pPr>
        <w:pStyle w:val="SubHeafingSMPC"/>
      </w:pPr>
      <w:r w:rsidRPr="008F5678">
        <w:t>Posology and method of administration</w:t>
      </w:r>
    </w:p>
    <w:p w14:paraId="21E3F90D" w14:textId="77777777" w:rsidR="00E32C2B" w:rsidRDefault="00E32C2B" w:rsidP="00C07D84">
      <w:pPr>
        <w:pStyle w:val="BodyTextSMPC"/>
      </w:pPr>
      <w:r w:rsidRPr="00E32C2B">
        <w:rPr>
          <w:b/>
          <w:bCs/>
        </w:rPr>
        <w:t xml:space="preserve">Method of Administration </w:t>
      </w:r>
    </w:p>
    <w:p w14:paraId="1CA43E8C" w14:textId="3497C532" w:rsidR="00E32C2B" w:rsidRDefault="00E32C2B" w:rsidP="00E32C2B">
      <w:pPr>
        <w:pStyle w:val="BodyTextSMPC"/>
      </w:pPr>
      <w:r>
        <w:t>Metronidazole 500mg/100ml Intravenous Infusion should be infused intravenously at an approximate rate of 5 ml/minute (or one bag infused over 20 to 60 minutes). Oral medication should be substituted as soon as feasible.</w:t>
      </w:r>
    </w:p>
    <w:p w14:paraId="77C7AEB2" w14:textId="3D74F0CC" w:rsidR="00E32C2B" w:rsidRDefault="00E32C2B" w:rsidP="00E32C2B">
      <w:pPr>
        <w:pStyle w:val="BodyTextSMPC"/>
      </w:pPr>
      <w:r w:rsidRPr="00E32C2B">
        <w:rPr>
          <w:b/>
          <w:bCs/>
        </w:rPr>
        <w:t>Prophylaxis against postoperative infections caused by anaerobic bacteria</w:t>
      </w:r>
      <w:r>
        <w:t>:</w:t>
      </w:r>
    </w:p>
    <w:p w14:paraId="2280314D" w14:textId="4A468F96" w:rsidR="00E32C2B" w:rsidRDefault="00E32C2B" w:rsidP="00E32C2B">
      <w:pPr>
        <w:pStyle w:val="BodyTextSMPC"/>
      </w:pPr>
      <w:r>
        <w:t xml:space="preserve">Primarily in the context of abdominal, (especially colorectal) and </w:t>
      </w:r>
      <w:proofErr w:type="spellStart"/>
      <w:r>
        <w:t>gynaecological</w:t>
      </w:r>
      <w:proofErr w:type="spellEnd"/>
      <w:r>
        <w:t xml:space="preserve"> surgery.</w:t>
      </w:r>
    </w:p>
    <w:p w14:paraId="57FE363B" w14:textId="0FFF404B" w:rsidR="00E32C2B" w:rsidRDefault="00E32C2B" w:rsidP="00E32C2B">
      <w:pPr>
        <w:pStyle w:val="BodyTextSMPC"/>
      </w:pPr>
      <w:r>
        <w:t>Antibiotic prophylaxis duration should be short, mostly limited to the postoperative period (24 hours but never more than 48 hours). Various schedules are possible.</w:t>
      </w:r>
    </w:p>
    <w:p w14:paraId="38F15F63" w14:textId="4E5225B5" w:rsidR="00E32C2B" w:rsidRDefault="00E32C2B" w:rsidP="00E32C2B">
      <w:pPr>
        <w:pStyle w:val="BodyTextSMPC"/>
      </w:pPr>
      <w:r w:rsidRPr="00E32C2B">
        <w:rPr>
          <w:b/>
          <w:bCs/>
        </w:rPr>
        <w:t>Adults</w:t>
      </w:r>
      <w:r>
        <w:t>: Intra-venous injection of single dose of 1000mg-1500mg, 30-60 minutes preoperatively or alternatively 500mg immediately before, during or after operation, then 500mg 8 hourly.</w:t>
      </w:r>
    </w:p>
    <w:p w14:paraId="58510C39" w14:textId="407D6DE4" w:rsidR="00E32C2B" w:rsidRDefault="00E32C2B" w:rsidP="00E32C2B">
      <w:pPr>
        <w:pStyle w:val="BodyTextSMPC"/>
      </w:pPr>
      <w:r w:rsidRPr="00E32C2B">
        <w:rPr>
          <w:b/>
          <w:bCs/>
        </w:rPr>
        <w:t>Children &lt; 12 years</w:t>
      </w:r>
      <w:r>
        <w:t>: 20-30 mg/kg as a single dose given 1-2 hours before surgery.</w:t>
      </w:r>
    </w:p>
    <w:p w14:paraId="444B3DD8" w14:textId="26ED9534" w:rsidR="00E32C2B" w:rsidRDefault="00E32C2B" w:rsidP="00E32C2B">
      <w:pPr>
        <w:pStyle w:val="BodyTextSMPC"/>
      </w:pPr>
      <w:r w:rsidRPr="00E32C2B">
        <w:rPr>
          <w:b/>
          <w:bCs/>
        </w:rPr>
        <w:t>Newborns with a gestation age &lt;40 weeks</w:t>
      </w:r>
      <w:r>
        <w:t>: 10 mg/kg body weight as a single dose before operation.</w:t>
      </w:r>
    </w:p>
    <w:p w14:paraId="60257788" w14:textId="0381A969" w:rsidR="00E32C2B" w:rsidRDefault="00E32C2B" w:rsidP="00E32C2B">
      <w:pPr>
        <w:pStyle w:val="BodyTextSMPC"/>
      </w:pPr>
      <w:r w:rsidRPr="00E32C2B">
        <w:rPr>
          <w:b/>
          <w:bCs/>
        </w:rPr>
        <w:t>Anaerobic infections</w:t>
      </w:r>
      <w:r>
        <w:t>:</w:t>
      </w:r>
    </w:p>
    <w:p w14:paraId="57075FD7" w14:textId="204CD97E" w:rsidR="00E32C2B" w:rsidRDefault="00E32C2B" w:rsidP="00E32C2B">
      <w:pPr>
        <w:pStyle w:val="BodyTextSMPC"/>
      </w:pPr>
      <w:r>
        <w:t>Intravenous route is to be used initially if patient symptoms preclude oral therapy. Various schedules are possible.</w:t>
      </w:r>
    </w:p>
    <w:p w14:paraId="50EC0621" w14:textId="3F408107" w:rsidR="00E32C2B" w:rsidRDefault="00E32C2B" w:rsidP="00E32C2B">
      <w:pPr>
        <w:pStyle w:val="BodyTextSMPC"/>
      </w:pPr>
      <w:r w:rsidRPr="00E32C2B">
        <w:rPr>
          <w:b/>
          <w:bCs/>
        </w:rPr>
        <w:t>Adults</w:t>
      </w:r>
      <w:r>
        <w:t>: 1000mg – 1500mg daily as a single dose or alternatively 500mg every 8 hours.</w:t>
      </w:r>
    </w:p>
    <w:p w14:paraId="5ADCD0A8" w14:textId="28A2C39C" w:rsidR="00E32C2B" w:rsidRDefault="00E32C2B" w:rsidP="00E32C2B">
      <w:pPr>
        <w:pStyle w:val="BodyTextSMPC"/>
      </w:pPr>
      <w:r w:rsidRPr="00E32C2B">
        <w:rPr>
          <w:b/>
          <w:bCs/>
        </w:rPr>
        <w:lastRenderedPageBreak/>
        <w:t>Children &gt; 8 weeks to 12 years of age</w:t>
      </w:r>
      <w:r>
        <w:t>: The usual daily dose is 20-30mg/kg/day as a single dose or divided into 7.5 mg/kg every 8 hours. The daily dose may be increased to 40 mg/kg, depending on the severity of the infection. Duration of treatment is usually 7 days.</w:t>
      </w:r>
    </w:p>
    <w:p w14:paraId="2CE8371F" w14:textId="0736F7E4" w:rsidR="00E32C2B" w:rsidRDefault="00E32C2B" w:rsidP="00E32C2B">
      <w:pPr>
        <w:pStyle w:val="BodyTextSMPC"/>
      </w:pPr>
      <w:r w:rsidRPr="00E32C2B">
        <w:rPr>
          <w:b/>
          <w:bCs/>
        </w:rPr>
        <w:t>Children &lt; 8 weeks of age</w:t>
      </w:r>
      <w:r>
        <w:t>: 15 mg/kg as a single dose daily or divided into 7.5 mg/kg every 12 hours.</w:t>
      </w:r>
    </w:p>
    <w:p w14:paraId="42068DB7" w14:textId="62D08C7D" w:rsidR="00E32C2B" w:rsidRDefault="00E32C2B" w:rsidP="00E32C2B">
      <w:pPr>
        <w:pStyle w:val="BodyTextSMPC"/>
      </w:pPr>
      <w:r w:rsidRPr="00E32C2B">
        <w:rPr>
          <w:b/>
          <w:bCs/>
        </w:rPr>
        <w:t>In newborns with a gestation age &lt; 40 weeks</w:t>
      </w:r>
      <w:r>
        <w:t>, accumulation of metronidazole can occur during the first week of life, therefore the concentrations of metronidazole in serum should preferably be monitored after a few days of therapy.</w:t>
      </w:r>
    </w:p>
    <w:p w14:paraId="559844B9" w14:textId="75AA8D1F" w:rsidR="00E32C2B" w:rsidRDefault="00E32C2B" w:rsidP="00E32C2B">
      <w:pPr>
        <w:pStyle w:val="BodyTextSMPC"/>
      </w:pPr>
      <w:r>
        <w:t>Oral medication could be given, at the same dose regimen. Oral medication should be substituted as soon as feasible.</w:t>
      </w:r>
    </w:p>
    <w:p w14:paraId="5CE3208D" w14:textId="2AF4C5D0" w:rsidR="00E32C2B" w:rsidRPr="00E32C2B" w:rsidRDefault="00E32C2B" w:rsidP="00E32C2B">
      <w:pPr>
        <w:pStyle w:val="BodyTextSMPC"/>
        <w:rPr>
          <w:b/>
          <w:bCs/>
        </w:rPr>
      </w:pPr>
      <w:r w:rsidRPr="00E32C2B">
        <w:rPr>
          <w:b/>
          <w:bCs/>
        </w:rPr>
        <w:t>Duration of Treatment</w:t>
      </w:r>
    </w:p>
    <w:p w14:paraId="00B70E4E" w14:textId="0B55979B" w:rsidR="00E32C2B" w:rsidRDefault="00E32C2B" w:rsidP="00E32C2B">
      <w:pPr>
        <w:pStyle w:val="BodyTextSMPC"/>
      </w:pPr>
      <w:r>
        <w:t>Treatment for seven to ten days should be satisfactory for most patients but, depending upon clinical and bacteriological assessments, the physician might decide to prolong treatment e.g.; for the eradication of infection from sites which cannot be drained or are liable to endogenous recontamination by anaerobic pathogens from the gut, oropharynx or genital tract.</w:t>
      </w:r>
    </w:p>
    <w:p w14:paraId="383758D5" w14:textId="6DA5BD05" w:rsidR="00E32C2B" w:rsidRDefault="00E32C2B" w:rsidP="00E32C2B">
      <w:pPr>
        <w:pStyle w:val="BodyTextSMPC"/>
      </w:pPr>
      <w:r w:rsidRPr="00E32C2B">
        <w:rPr>
          <w:b/>
          <w:bCs/>
        </w:rPr>
        <w:t>Bacterial vaginosis</w:t>
      </w:r>
      <w:r>
        <w:t>:</w:t>
      </w:r>
    </w:p>
    <w:p w14:paraId="45AB5E6F" w14:textId="0A514D00" w:rsidR="00E32C2B" w:rsidRDefault="00E32C2B" w:rsidP="00E32C2B">
      <w:pPr>
        <w:pStyle w:val="BodyTextSMPC"/>
      </w:pPr>
      <w:r>
        <w:t>Adolescents: 400 mg twice daily for 5-7 days or 2000 mg as a single dose</w:t>
      </w:r>
    </w:p>
    <w:p w14:paraId="2D9D0885" w14:textId="6C03A6EE" w:rsidR="00E32C2B" w:rsidRPr="00E32C2B" w:rsidRDefault="00E32C2B" w:rsidP="00E32C2B">
      <w:pPr>
        <w:pStyle w:val="BodyTextSMPC"/>
        <w:rPr>
          <w:b/>
          <w:bCs/>
        </w:rPr>
      </w:pPr>
      <w:r w:rsidRPr="00E32C2B">
        <w:rPr>
          <w:b/>
          <w:bCs/>
        </w:rPr>
        <w:t>Urogenital trichomoniasis</w:t>
      </w:r>
    </w:p>
    <w:p w14:paraId="088E9AD9" w14:textId="6327DF8F" w:rsidR="00E32C2B" w:rsidRDefault="00E32C2B" w:rsidP="00E32C2B">
      <w:pPr>
        <w:pStyle w:val="BodyTextSMPC"/>
      </w:pPr>
      <w:r w:rsidRPr="00E32C2B">
        <w:rPr>
          <w:b/>
          <w:bCs/>
        </w:rPr>
        <w:t>Adults and adolescents</w:t>
      </w:r>
      <w:r>
        <w:t>: 2000 mg as a single dose or 200 mg 3 times daily for 7 days or 400 mg twice daily for 5-7 days</w:t>
      </w:r>
    </w:p>
    <w:p w14:paraId="172B629D" w14:textId="0BB86EC2" w:rsidR="00E32C2B" w:rsidRDefault="00E32C2B" w:rsidP="00E32C2B">
      <w:pPr>
        <w:pStyle w:val="BodyTextSMPC"/>
      </w:pPr>
      <w:r w:rsidRPr="00E32C2B">
        <w:rPr>
          <w:b/>
          <w:bCs/>
        </w:rPr>
        <w:t>Children &lt; 10 years</w:t>
      </w:r>
      <w:r>
        <w:t>: 40 mg/kg orally as a single dose or 15 – 30 mg/kg/day divided in 2-3 doses for 7 days; not to exceed 2000 mg/dose</w:t>
      </w:r>
    </w:p>
    <w:p w14:paraId="316E934F" w14:textId="3D7DBAFB" w:rsidR="00E32C2B" w:rsidRDefault="00E32C2B" w:rsidP="00E32C2B">
      <w:pPr>
        <w:pStyle w:val="BodyTextSMPC"/>
      </w:pPr>
      <w:r w:rsidRPr="00E32C2B">
        <w:rPr>
          <w:b/>
          <w:bCs/>
        </w:rPr>
        <w:t>Giardiasis</w:t>
      </w:r>
      <w:r>
        <w:t>:</w:t>
      </w:r>
    </w:p>
    <w:p w14:paraId="3D49D287" w14:textId="1B7AF2FF" w:rsidR="00E32C2B" w:rsidRDefault="00E32C2B" w:rsidP="00E32C2B">
      <w:pPr>
        <w:pStyle w:val="BodyTextSMPC"/>
      </w:pPr>
      <w:r w:rsidRPr="00E32C2B">
        <w:rPr>
          <w:b/>
          <w:bCs/>
        </w:rPr>
        <w:t>&gt; 10 years</w:t>
      </w:r>
      <w:r>
        <w:t>: 2000 mg once daily for 3 days, or 400 mg three times daily for 5 days, or 500 mg twice daily for 7 to 10 days</w:t>
      </w:r>
    </w:p>
    <w:p w14:paraId="2CD74E04" w14:textId="56C8E2DF" w:rsidR="00E32C2B" w:rsidRDefault="00E32C2B" w:rsidP="00E32C2B">
      <w:pPr>
        <w:pStyle w:val="BodyTextSMPC"/>
      </w:pPr>
      <w:r w:rsidRPr="00E32C2B">
        <w:rPr>
          <w:b/>
          <w:bCs/>
        </w:rPr>
        <w:lastRenderedPageBreak/>
        <w:t>Children 7 to 10 years</w:t>
      </w:r>
      <w:r>
        <w:t>: 1000 mg once daily for 3 days</w:t>
      </w:r>
    </w:p>
    <w:p w14:paraId="470E722E" w14:textId="73B474BA" w:rsidR="00E32C2B" w:rsidRDefault="00E32C2B" w:rsidP="00E32C2B">
      <w:pPr>
        <w:pStyle w:val="BodyTextSMPC"/>
      </w:pPr>
      <w:r w:rsidRPr="00E32C2B">
        <w:rPr>
          <w:b/>
          <w:bCs/>
        </w:rPr>
        <w:t>Children 3 to 7 years</w:t>
      </w:r>
      <w:r>
        <w:t>: 600 to 800 mg once daily for 3 days</w:t>
      </w:r>
    </w:p>
    <w:p w14:paraId="62BB729E" w14:textId="6CEEFD1A" w:rsidR="00E32C2B" w:rsidRDefault="00E32C2B" w:rsidP="00E32C2B">
      <w:pPr>
        <w:pStyle w:val="BodyTextSMPC"/>
      </w:pPr>
      <w:r w:rsidRPr="00E32C2B">
        <w:rPr>
          <w:b/>
          <w:bCs/>
        </w:rPr>
        <w:t>Children 1 to 3 years</w:t>
      </w:r>
      <w:r>
        <w:t>: 500 mg once daily for 3 days</w:t>
      </w:r>
    </w:p>
    <w:p w14:paraId="5A623B54" w14:textId="2770C043" w:rsidR="00E32C2B" w:rsidRDefault="00E32C2B" w:rsidP="00E32C2B">
      <w:pPr>
        <w:pStyle w:val="BodyTextSMPC"/>
      </w:pPr>
      <w:r>
        <w:t>Alternatively, as expressed in mg per kg of body weight: 15-40 mg/kg/day divided in 2-3 doses.</w:t>
      </w:r>
    </w:p>
    <w:p w14:paraId="4002C58D" w14:textId="2B8CA0E2" w:rsidR="00E32C2B" w:rsidRDefault="00E32C2B" w:rsidP="00E32C2B">
      <w:pPr>
        <w:pStyle w:val="BodyTextSMPC"/>
      </w:pPr>
      <w:r w:rsidRPr="00E32C2B">
        <w:rPr>
          <w:b/>
          <w:bCs/>
        </w:rPr>
        <w:t>Amoebiasis</w:t>
      </w:r>
      <w:r>
        <w:t>:</w:t>
      </w:r>
    </w:p>
    <w:p w14:paraId="4C0D3F0D" w14:textId="4D04D013" w:rsidR="00E32C2B" w:rsidRDefault="00E32C2B" w:rsidP="00E32C2B">
      <w:pPr>
        <w:pStyle w:val="BodyTextSMPC"/>
      </w:pPr>
      <w:r w:rsidRPr="00E32C2B">
        <w:rPr>
          <w:b/>
          <w:bCs/>
        </w:rPr>
        <w:t>&gt; 10 years</w:t>
      </w:r>
      <w:r>
        <w:t>: 400 to 800 mg 3 times daily for 5-10 days</w:t>
      </w:r>
    </w:p>
    <w:p w14:paraId="20CAF7F4" w14:textId="4CAF37CD" w:rsidR="00E32C2B" w:rsidRDefault="00E32C2B" w:rsidP="00E32C2B">
      <w:pPr>
        <w:pStyle w:val="BodyTextSMPC"/>
      </w:pPr>
      <w:r w:rsidRPr="00E32C2B">
        <w:rPr>
          <w:b/>
          <w:bCs/>
        </w:rPr>
        <w:t>Children 7 to 10 years</w:t>
      </w:r>
      <w:r>
        <w:t>: 200 to 400 mg 3 times daily for 5-10 days</w:t>
      </w:r>
    </w:p>
    <w:p w14:paraId="2D83AB09" w14:textId="78FC9793" w:rsidR="00E32C2B" w:rsidRDefault="00E32C2B" w:rsidP="00E32C2B">
      <w:pPr>
        <w:pStyle w:val="BodyTextSMPC"/>
      </w:pPr>
      <w:r w:rsidRPr="00E32C2B">
        <w:rPr>
          <w:b/>
          <w:bCs/>
        </w:rPr>
        <w:t>Children 3 to 7 years</w:t>
      </w:r>
      <w:r>
        <w:t>: 100 to 200 mg 4 times daily for 5-10 days</w:t>
      </w:r>
    </w:p>
    <w:p w14:paraId="10D65492" w14:textId="0D4FD605" w:rsidR="00E32C2B" w:rsidRDefault="00E32C2B" w:rsidP="00E32C2B">
      <w:pPr>
        <w:pStyle w:val="BodyTextSMPC"/>
      </w:pPr>
      <w:r w:rsidRPr="00E32C2B">
        <w:rPr>
          <w:b/>
          <w:bCs/>
        </w:rPr>
        <w:t>Children 1 to 3 years</w:t>
      </w:r>
      <w:r>
        <w:t>: 100 to 200 mg 3 times daily for 5-10 days</w:t>
      </w:r>
    </w:p>
    <w:p w14:paraId="3C416B9B" w14:textId="4AD23BC8" w:rsidR="00E32C2B" w:rsidRDefault="00E32C2B" w:rsidP="00E32C2B">
      <w:pPr>
        <w:pStyle w:val="BodyTextSMPC"/>
      </w:pPr>
      <w:r>
        <w:t>Alternatively, doses may be expressed by body weight 35 to 50 mg/kg daily in 3 divided doses for 5 to 10 days, not to exceed 2400 mg/day</w:t>
      </w:r>
    </w:p>
    <w:p w14:paraId="3F17F1CB" w14:textId="7E4C49CF" w:rsidR="00E32C2B" w:rsidRDefault="00E32C2B" w:rsidP="00E32C2B">
      <w:pPr>
        <w:pStyle w:val="BodyTextSMPC"/>
      </w:pPr>
      <w:r w:rsidRPr="00E32C2B">
        <w:rPr>
          <w:b/>
          <w:bCs/>
        </w:rPr>
        <w:t xml:space="preserve">Eradication of Helicobacter pylori in </w:t>
      </w:r>
      <w:proofErr w:type="spellStart"/>
      <w:r w:rsidRPr="00E32C2B">
        <w:rPr>
          <w:b/>
          <w:bCs/>
        </w:rPr>
        <w:t>paediatric</w:t>
      </w:r>
      <w:proofErr w:type="spellEnd"/>
      <w:r w:rsidRPr="00E32C2B">
        <w:rPr>
          <w:b/>
          <w:bCs/>
        </w:rPr>
        <w:t xml:space="preserve"> patients</w:t>
      </w:r>
      <w:r>
        <w:t>:</w:t>
      </w:r>
    </w:p>
    <w:p w14:paraId="69C76DB3" w14:textId="4FB88874" w:rsidR="00E32C2B" w:rsidRDefault="00E32C2B" w:rsidP="00E32C2B">
      <w:pPr>
        <w:pStyle w:val="BodyTextSMPC"/>
      </w:pPr>
      <w:r>
        <w:t>As a part of a combination therapy, 20 mg/kg/day not to exceed 500 mg twice daily for 7-14 days.</w:t>
      </w:r>
    </w:p>
    <w:p w14:paraId="7B46839F" w14:textId="7557A686" w:rsidR="00E32C2B" w:rsidRDefault="00E32C2B" w:rsidP="00E32C2B">
      <w:pPr>
        <w:pStyle w:val="BodyTextSMPC"/>
      </w:pPr>
      <w:r>
        <w:t>Official guidelines should be consulted before initiating therapy</w:t>
      </w:r>
    </w:p>
    <w:p w14:paraId="06EC80FA" w14:textId="3E9C6175" w:rsidR="00E32C2B" w:rsidRPr="00E32C2B" w:rsidRDefault="00E32C2B" w:rsidP="00E32C2B">
      <w:pPr>
        <w:pStyle w:val="BodyTextSMPC"/>
        <w:rPr>
          <w:b/>
          <w:bCs/>
        </w:rPr>
      </w:pPr>
      <w:r w:rsidRPr="00E32C2B">
        <w:rPr>
          <w:b/>
          <w:bCs/>
        </w:rPr>
        <w:t>Elderly Population</w:t>
      </w:r>
    </w:p>
    <w:p w14:paraId="7B7E3798" w14:textId="1053AC3C" w:rsidR="00E32C2B" w:rsidRDefault="00E32C2B" w:rsidP="00E32C2B">
      <w:pPr>
        <w:pStyle w:val="BodyTextSMPC"/>
      </w:pPr>
      <w:r>
        <w:t>Caution is advised in the elderly, particularly at high doses, although there is limited information available on modification of dosage.</w:t>
      </w:r>
    </w:p>
    <w:p w14:paraId="7274B0E9" w14:textId="75032E65" w:rsidR="00E32C2B" w:rsidRPr="00E32C2B" w:rsidRDefault="00E32C2B" w:rsidP="00E32C2B">
      <w:pPr>
        <w:pStyle w:val="BodyTextSMPC"/>
        <w:rPr>
          <w:b/>
          <w:bCs/>
        </w:rPr>
      </w:pPr>
      <w:r w:rsidRPr="00E32C2B">
        <w:rPr>
          <w:b/>
          <w:bCs/>
        </w:rPr>
        <w:t>Patients with renal failure</w:t>
      </w:r>
    </w:p>
    <w:p w14:paraId="6908495F" w14:textId="1617C62A" w:rsidR="00E32C2B" w:rsidRDefault="00E32C2B" w:rsidP="00E32C2B">
      <w:pPr>
        <w:pStyle w:val="BodyTextSMPC"/>
      </w:pPr>
      <w:r>
        <w:t>Routine adjustments of the dosage of Metronidazole are not considered necessary in the presence of renal failure.</w:t>
      </w:r>
    </w:p>
    <w:p w14:paraId="08A6B154" w14:textId="2919FB45" w:rsidR="00E32C2B" w:rsidRDefault="00E32C2B" w:rsidP="00E32C2B">
      <w:pPr>
        <w:pStyle w:val="BodyTextSMPC"/>
      </w:pPr>
      <w:r>
        <w:t>No routine adjustment in the dosage of Metronidazole needs to be made in patients with renal failure undergoing intermittent peritoneal dialysis (IDP) or continuous ambulatory peritoneal dialysis (CAPD). However dosage reduction may be necessary when excessive concentrations of metabolites are found.</w:t>
      </w:r>
    </w:p>
    <w:p w14:paraId="1CB577BE" w14:textId="64C960E1" w:rsidR="00E32C2B" w:rsidRDefault="00E32C2B" w:rsidP="00E32C2B">
      <w:pPr>
        <w:pStyle w:val="BodyTextSMPC"/>
      </w:pPr>
      <w:r>
        <w:lastRenderedPageBreak/>
        <w:t xml:space="preserve">In patients undergoing </w:t>
      </w:r>
      <w:proofErr w:type="spellStart"/>
      <w:r>
        <w:t>haemodialysis</w:t>
      </w:r>
      <w:proofErr w:type="spellEnd"/>
      <w:r>
        <w:t xml:space="preserve">, Metronidazole should be re-administered immediately after </w:t>
      </w:r>
      <w:proofErr w:type="spellStart"/>
      <w:r>
        <w:t>haemodialysis</w:t>
      </w:r>
      <w:proofErr w:type="spellEnd"/>
    </w:p>
    <w:p w14:paraId="664DB8FE" w14:textId="1C967746" w:rsidR="00E32C2B" w:rsidRPr="00E32C2B" w:rsidRDefault="00E32C2B" w:rsidP="00E32C2B">
      <w:pPr>
        <w:pStyle w:val="BodyTextSMPC"/>
        <w:rPr>
          <w:b/>
          <w:bCs/>
        </w:rPr>
      </w:pPr>
      <w:r w:rsidRPr="00E32C2B">
        <w:rPr>
          <w:b/>
          <w:bCs/>
        </w:rPr>
        <w:t>Patients with advanced hepatic insufficiency</w:t>
      </w:r>
    </w:p>
    <w:p w14:paraId="102DDD5D" w14:textId="757CE2E6" w:rsidR="000F022A" w:rsidRPr="00400BAB" w:rsidRDefault="00E32C2B" w:rsidP="00E32C2B">
      <w:pPr>
        <w:pStyle w:val="BodyTextSMPC"/>
        <w:rPr>
          <w:rFonts w:cstheme="minorBidi"/>
        </w:rPr>
      </w:pPr>
      <w:r>
        <w:t xml:space="preserve">In patients with advanced hepatic insufficiency a dosage reduction with serum level monitoring is necessary. </w:t>
      </w:r>
    </w:p>
    <w:p w14:paraId="5B05A77F" w14:textId="77777777" w:rsidR="00671E86" w:rsidRPr="008F5678" w:rsidRDefault="00000000" w:rsidP="00233A79">
      <w:pPr>
        <w:pStyle w:val="SubHeafingSMPC"/>
      </w:pPr>
      <w:r w:rsidRPr="008F5678">
        <w:t>Contraindications</w:t>
      </w:r>
    </w:p>
    <w:p w14:paraId="75E5C9A7" w14:textId="7183AAB9" w:rsidR="00FF69A1" w:rsidRDefault="00400BAB" w:rsidP="00400BAB">
      <w:pPr>
        <w:pStyle w:val="BodyTextSMPC"/>
      </w:pPr>
      <w:r w:rsidRPr="00400BAB">
        <w:t xml:space="preserve">Hypersensitivity to the active substance, to other imidazole derivatives or to any of the excipients listed in section 6.1. </w:t>
      </w:r>
    </w:p>
    <w:p w14:paraId="6955ACE4" w14:textId="77777777" w:rsidR="00A144D2" w:rsidRPr="008F5678" w:rsidRDefault="00000000" w:rsidP="00671E86">
      <w:pPr>
        <w:pStyle w:val="SubHeafingSMPC"/>
      </w:pPr>
      <w:r w:rsidRPr="008F5678">
        <w:t xml:space="preserve">Special warnings and precautions for use </w:t>
      </w:r>
    </w:p>
    <w:p w14:paraId="3754C7AA" w14:textId="7C15B9F8" w:rsidR="00400BAB" w:rsidRDefault="00400BAB" w:rsidP="00400BAB">
      <w:pPr>
        <w:pStyle w:val="BodyTextSMPC"/>
      </w:pPr>
      <w:r w:rsidRPr="00400BAB">
        <w:rPr>
          <w:b/>
          <w:bCs/>
        </w:rPr>
        <w:t>Liver disease</w:t>
      </w:r>
      <w:r>
        <w:t>:</w:t>
      </w:r>
    </w:p>
    <w:p w14:paraId="281139F3" w14:textId="688C4B83" w:rsidR="00400BAB" w:rsidRDefault="00400BAB" w:rsidP="00400BAB">
      <w:pPr>
        <w:pStyle w:val="BodyTextSMPC"/>
      </w:pPr>
      <w:r>
        <w:t xml:space="preserve">Caution is needed in patients with severe hepatic impairment. The dose of metronidazole should be reduced as necessary. Metronidazole is mainly </w:t>
      </w:r>
      <w:proofErr w:type="spellStart"/>
      <w:r>
        <w:t>metabolised</w:t>
      </w:r>
      <w:proofErr w:type="spellEnd"/>
      <w:r>
        <w:t xml:space="preserve"> by hepatic oxidation. Substantial impairment of Metronidazole clearance may occur in the presence of advanced hepatic insufficiency. The risk/benefit ratio of using Metronidazole to treat trichomoniasis in such patients should be carefully considered (for dosage adjustment see section 4.2). Plasma levels of Metronidazole should be closely monitored.</w:t>
      </w:r>
    </w:p>
    <w:p w14:paraId="7AECBC24" w14:textId="6939DA7F" w:rsidR="00400BAB" w:rsidRDefault="00400BAB" w:rsidP="00400BAB">
      <w:pPr>
        <w:pStyle w:val="BodyTextSMPC"/>
      </w:pPr>
      <w:r>
        <w:t>Caution is needed in patients with hepatic encephalopathy. Patients with severe hepatic encephalopathy metabolize metronidazole slowly, with resultant accumulation of metronidazole. This may cause exacerbation of CNS adverse effects. The dose of metronidazole should be reduced as necessary.</w:t>
      </w:r>
    </w:p>
    <w:p w14:paraId="3C4753B2" w14:textId="6B802847" w:rsidR="00400BAB" w:rsidRDefault="00400BAB" w:rsidP="00400BAB">
      <w:pPr>
        <w:pStyle w:val="BodyTextSMPC"/>
      </w:pPr>
      <w:r>
        <w:t>Hepatotoxicity in patients with Cockayne Syndrome</w:t>
      </w:r>
    </w:p>
    <w:p w14:paraId="3D14BD27" w14:textId="2E962C72" w:rsidR="00400BAB" w:rsidRDefault="00400BAB" w:rsidP="00400BAB">
      <w:pPr>
        <w:pStyle w:val="BodyTextSMPC"/>
      </w:pPr>
      <w:r>
        <w:t xml:space="preserve">Cases of severe hepatotoxicity/acute hepatic failure, including cases with a fatal outcome with very rapid onset after treatment initiation in patients with Cockayne syndrome have been reported with products containing metronidazole for systemic use. In this population, metronidazole not be used unless the benefit is considered to outweigh the risk and if no alternative treatment is available. Liver function tests must be performed just prior to the start of therapy, throughout and after end of treatment until liver function is within normal ranges, or until the </w:t>
      </w:r>
      <w:r>
        <w:lastRenderedPageBreak/>
        <w:t>baseline values are reached. If the liver function tests become markedly elevated during treatment, the drug should be discontinued.</w:t>
      </w:r>
    </w:p>
    <w:p w14:paraId="7CB6A8AF" w14:textId="5233E69B" w:rsidR="00400BAB" w:rsidRDefault="00400BAB" w:rsidP="00400BAB">
      <w:pPr>
        <w:pStyle w:val="BodyTextSMPC"/>
      </w:pPr>
      <w:r>
        <w:t>Patients with Cockayne syndrome should be advised to immediately report any symptoms of potential liver injury to their physician and stop taking metronidazole (see section 4.8).</w:t>
      </w:r>
    </w:p>
    <w:p w14:paraId="66557801" w14:textId="2C22B64E" w:rsidR="00400BAB" w:rsidRDefault="00400BAB" w:rsidP="00400BAB">
      <w:pPr>
        <w:pStyle w:val="BodyTextSMPC"/>
      </w:pPr>
      <w:r w:rsidRPr="00400BAB">
        <w:rPr>
          <w:b/>
          <w:bCs/>
        </w:rPr>
        <w:t>Active Central Nervous System disease</w:t>
      </w:r>
      <w:r>
        <w:t>:</w:t>
      </w:r>
    </w:p>
    <w:p w14:paraId="599A5C61" w14:textId="4AB89AB0" w:rsidR="00400BAB" w:rsidRDefault="00400BAB" w:rsidP="00400BAB">
      <w:pPr>
        <w:pStyle w:val="BodyTextSMPC"/>
      </w:pPr>
      <w:r>
        <w:t xml:space="preserve">Metronidazole should be used with caution in patients with active disease of the Peripheral and Central Nervous System. Severe neurological disturbances (including seizures and peripheral and optic neuropathies) have been reported in patients treated with metronidazole. Stop metronidazole treatment if any abnormal neurologic symptoms occur such as ataxia, dizziness, confusion or any other CNS adverse reaction. The risk of aggravation of the neurological state should be considered in patients with fixed or progressive </w:t>
      </w:r>
      <w:proofErr w:type="spellStart"/>
      <w:r>
        <w:t>paraesthesia</w:t>
      </w:r>
      <w:proofErr w:type="spellEnd"/>
      <w:r>
        <w:t>, epilepsy and active disease of the central nervous system except for brain abscess.</w:t>
      </w:r>
    </w:p>
    <w:p w14:paraId="78434A67" w14:textId="27132F4D" w:rsidR="00400BAB" w:rsidRDefault="00400BAB" w:rsidP="00400BAB">
      <w:pPr>
        <w:pStyle w:val="BodyTextSMPC"/>
      </w:pPr>
      <w:r>
        <w:t>Encephalopathy has been reported in association with cerebellar toxicity characterized by ataxia, dizziness, dysarthria, and accompanied by CNS lesions seen on magnetic resonance imaging (MRI). CNS symptoms and CNS lesions, are generally reversible within days to weeks upon discontinuation of metronidazole.</w:t>
      </w:r>
    </w:p>
    <w:p w14:paraId="79BB3CED" w14:textId="260A5CE3" w:rsidR="00400BAB" w:rsidRDefault="00400BAB" w:rsidP="00400BAB">
      <w:pPr>
        <w:pStyle w:val="BodyTextSMPC"/>
      </w:pPr>
      <w:r>
        <w:t>Aseptic meningitis can occur with metronidazole. Symptoms can start within hours of dose administration and generally resolve after metronidazole therapy is discontinued (see section 4.8).</w:t>
      </w:r>
    </w:p>
    <w:p w14:paraId="3F31B33D" w14:textId="769A47FA" w:rsidR="00400BAB" w:rsidRPr="00400BAB" w:rsidRDefault="00400BAB" w:rsidP="00400BAB">
      <w:pPr>
        <w:pStyle w:val="BodyTextSMPC"/>
        <w:rPr>
          <w:b/>
          <w:bCs/>
        </w:rPr>
      </w:pPr>
      <w:r w:rsidRPr="00400BAB">
        <w:rPr>
          <w:b/>
          <w:bCs/>
        </w:rPr>
        <w:t>Blood Dyscrasias</w:t>
      </w:r>
    </w:p>
    <w:p w14:paraId="12943B0B" w14:textId="17C84805" w:rsidR="00400BAB" w:rsidRDefault="00400BAB" w:rsidP="00400BAB">
      <w:pPr>
        <w:pStyle w:val="BodyTextSMPC"/>
      </w:pPr>
      <w:r>
        <w:t>Metronidazole should be used with caution in patients with evidence or history of blood dyscrasia as agranulocytosis, leukopenia and neutropenia have been observed following metronidazole administration.</w:t>
      </w:r>
    </w:p>
    <w:p w14:paraId="1F3CB070" w14:textId="797FA794" w:rsidR="00400BAB" w:rsidRDefault="00400BAB" w:rsidP="00400BAB">
      <w:pPr>
        <w:pStyle w:val="BodyTextSMPC"/>
      </w:pPr>
      <w:r w:rsidRPr="00400BAB">
        <w:rPr>
          <w:b/>
          <w:bCs/>
        </w:rPr>
        <w:t>Renal Disease</w:t>
      </w:r>
      <w:r>
        <w:t>:</w:t>
      </w:r>
    </w:p>
    <w:p w14:paraId="7A6851AF" w14:textId="314CC8B6" w:rsidR="00400BAB" w:rsidRDefault="00400BAB" w:rsidP="00400BAB">
      <w:pPr>
        <w:pStyle w:val="BodyTextSMPC"/>
      </w:pPr>
      <w:r>
        <w:t xml:space="preserve">Metronidazole is removed during </w:t>
      </w:r>
      <w:proofErr w:type="spellStart"/>
      <w:r>
        <w:t>haemodialysis</w:t>
      </w:r>
      <w:proofErr w:type="spellEnd"/>
      <w:r>
        <w:t xml:space="preserve"> and should be administered after the procedure is finished.</w:t>
      </w:r>
    </w:p>
    <w:p w14:paraId="083233BB" w14:textId="01AB5CC4" w:rsidR="00400BAB" w:rsidRDefault="00400BAB" w:rsidP="00400BAB">
      <w:pPr>
        <w:pStyle w:val="BodyTextSMPC"/>
      </w:pPr>
      <w:r>
        <w:lastRenderedPageBreak/>
        <w:t>Patients with renal impairment, including patients receiving peritoneal dialysis, should be monitored for signs of toxicity due to the potential accumulation of toxic metronidazole metabolites.</w:t>
      </w:r>
    </w:p>
    <w:p w14:paraId="10C7E9CF" w14:textId="0E9F4A81" w:rsidR="00400BAB" w:rsidRDefault="00400BAB" w:rsidP="00400BAB">
      <w:pPr>
        <w:pStyle w:val="BodyTextSMPC"/>
      </w:pPr>
      <w:r w:rsidRPr="00400BAB">
        <w:rPr>
          <w:b/>
          <w:bCs/>
        </w:rPr>
        <w:t>Alcohol</w:t>
      </w:r>
      <w:r>
        <w:t>:</w:t>
      </w:r>
    </w:p>
    <w:p w14:paraId="161C3BF1" w14:textId="26126DBF" w:rsidR="00400BAB" w:rsidRDefault="00400BAB" w:rsidP="00400BAB">
      <w:pPr>
        <w:pStyle w:val="BodyTextSMPC"/>
      </w:pPr>
      <w:r>
        <w:t xml:space="preserve">Patients should be advised to discontinue consumption of alcoholic beverages or alcohol-containing products before, during, and up to 72 hours after taking metronidazole because of a </w:t>
      </w:r>
      <w:proofErr w:type="spellStart"/>
      <w:r>
        <w:t>disulfram</w:t>
      </w:r>
      <w:proofErr w:type="spellEnd"/>
      <w:r>
        <w:t>-like effect (abdominal cramps, nausea, headaches, flushing, vomiting and tachycardia). See section 4.5.</w:t>
      </w:r>
    </w:p>
    <w:p w14:paraId="724FCC4F" w14:textId="2C09081D" w:rsidR="00400BAB" w:rsidRDefault="00400BAB" w:rsidP="00400BAB">
      <w:pPr>
        <w:pStyle w:val="BodyTextSMPC"/>
      </w:pPr>
      <w:r w:rsidRPr="00400BAB">
        <w:rPr>
          <w:b/>
          <w:bCs/>
        </w:rPr>
        <w:t>Intensive or prolonged Metronidazole therapy</w:t>
      </w:r>
      <w:r>
        <w:t>:</w:t>
      </w:r>
    </w:p>
    <w:p w14:paraId="7F7ECDA2" w14:textId="71891534" w:rsidR="00400BAB" w:rsidRDefault="00400BAB" w:rsidP="00400BAB">
      <w:pPr>
        <w:pStyle w:val="BodyTextSMPC"/>
      </w:pPr>
      <w:r>
        <w:t xml:space="preserve">As a rule, the usual duration of therapy with </w:t>
      </w:r>
      <w:proofErr w:type="spellStart"/>
      <w:r>
        <w:t>i.v</w:t>
      </w:r>
      <w:proofErr w:type="spellEnd"/>
      <w:r>
        <w:t xml:space="preserve"> Metronidazole or other imidazole derivatives is usually less than 10 days. This period may only be exceeded in individual cases after a very strict benefit-risk assessment. Only in the rarest possible case should the treatment be repeated. Limiting the duration of treatment is necessary because damage to human germ cells cannot be excluded.</w:t>
      </w:r>
    </w:p>
    <w:p w14:paraId="28FAC2A1" w14:textId="32FF4F79" w:rsidR="00400BAB" w:rsidRDefault="00400BAB" w:rsidP="00400BAB">
      <w:pPr>
        <w:pStyle w:val="BodyTextSMPC"/>
      </w:pPr>
      <w:r>
        <w:t>Intensive or prolonged Metronidazole therapy should be conducted only under conditions of close surveillance for clinical and biological effects and under specialist direction. If prolonged therapy is required, the physician should bear in mind the possibility of peripheral neuropathy or leucopenia. Both effects are usually reversible.</w:t>
      </w:r>
    </w:p>
    <w:p w14:paraId="0061B076" w14:textId="079897DF" w:rsidR="00400BAB" w:rsidRDefault="00400BAB" w:rsidP="00400BAB">
      <w:pPr>
        <w:pStyle w:val="BodyTextSMPC"/>
      </w:pPr>
      <w:r>
        <w:t xml:space="preserve">In case of prolonged treatment, occurrence of undesirable effects such as </w:t>
      </w:r>
      <w:proofErr w:type="spellStart"/>
      <w:r>
        <w:t>paraesthesia</w:t>
      </w:r>
      <w:proofErr w:type="spellEnd"/>
      <w:r>
        <w:t>, ataxia, dizziness and convulsive crises should be checked. High dose regimes have been associated with transient epileptiform seizures.</w:t>
      </w:r>
    </w:p>
    <w:p w14:paraId="30A3CA8D" w14:textId="0407015C" w:rsidR="00400BAB" w:rsidRDefault="00400BAB" w:rsidP="00400BAB">
      <w:pPr>
        <w:pStyle w:val="BodyTextSMPC"/>
      </w:pPr>
      <w:r w:rsidRPr="00400BAB">
        <w:rPr>
          <w:b/>
          <w:bCs/>
        </w:rPr>
        <w:t>Monitoring</w:t>
      </w:r>
      <w:r>
        <w:t>:</w:t>
      </w:r>
    </w:p>
    <w:p w14:paraId="549B9E07" w14:textId="1BCBD481" w:rsidR="00400BAB" w:rsidRDefault="00400BAB" w:rsidP="00400BAB">
      <w:pPr>
        <w:pStyle w:val="BodyTextSMPC"/>
      </w:pPr>
      <w:r>
        <w:t>Due to increased risk for adverse reactions, regular clinical and laboratory monitoring (including blood count) are advised in cases of high-dose, prolonged or repeated treatment, in case of antecedents of blood dyscrasia, in case of severe infection and in severe hepatic insufficiency.</w:t>
      </w:r>
    </w:p>
    <w:p w14:paraId="32D380C4" w14:textId="75A42789" w:rsidR="00400BAB" w:rsidRDefault="00400BAB" w:rsidP="00400BAB">
      <w:pPr>
        <w:pStyle w:val="BodyTextSMPC"/>
      </w:pPr>
      <w:r w:rsidRPr="00400BAB">
        <w:rPr>
          <w:b/>
          <w:bCs/>
        </w:rPr>
        <w:t>General</w:t>
      </w:r>
      <w:r>
        <w:t>:</w:t>
      </w:r>
    </w:p>
    <w:p w14:paraId="7BBDAB9B" w14:textId="167F9E92" w:rsidR="001E1455" w:rsidRPr="006101D5" w:rsidRDefault="00400BAB" w:rsidP="00400BAB">
      <w:pPr>
        <w:pStyle w:val="BodyTextSMPC"/>
      </w:pPr>
      <w:r>
        <w:lastRenderedPageBreak/>
        <w:t>Patients should be warned that Metronidazole may darken urine (due to Metronidazole metabolite).</w:t>
      </w:r>
      <w:r w:rsidRPr="0073256D">
        <w:t xml:space="preserve">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22CC678A" w14:textId="678BD0DC" w:rsidR="00AD5242" w:rsidRDefault="00AD5242" w:rsidP="00AD5242">
      <w:pPr>
        <w:pStyle w:val="BodyTextSMPC"/>
      </w:pPr>
      <w:r w:rsidRPr="00AD5242">
        <w:rPr>
          <w:b/>
          <w:bCs/>
        </w:rPr>
        <w:t>Not recommended concomitant therapy</w:t>
      </w:r>
      <w:r>
        <w:t>:</w:t>
      </w:r>
    </w:p>
    <w:p w14:paraId="0193876C" w14:textId="79D87C82" w:rsidR="00AD5242" w:rsidRDefault="00AD5242" w:rsidP="00AD5242">
      <w:pPr>
        <w:pStyle w:val="BodyTextSMPC"/>
      </w:pPr>
      <w:r>
        <w:t>Disulfiram: Concurrent use of metronidazole and disulfiram may result in psychotic reactions and confusion. Metronidazole should not be given to patients who have taken disulfiram within the last two weeks.</w:t>
      </w:r>
    </w:p>
    <w:p w14:paraId="1CB567AF" w14:textId="012D7959" w:rsidR="00AD5242" w:rsidRDefault="00AD5242" w:rsidP="00AD5242">
      <w:pPr>
        <w:pStyle w:val="BodyTextSMPC"/>
      </w:pPr>
      <w:r>
        <w:t>Alcohol: Disulfiram-like effect (warmth, redness, vomiting, tachycardia).</w:t>
      </w:r>
    </w:p>
    <w:p w14:paraId="1195D86B" w14:textId="4894F105" w:rsidR="00AD5242" w:rsidRDefault="00AD5242" w:rsidP="00AD5242">
      <w:pPr>
        <w:pStyle w:val="BodyTextSMPC"/>
      </w:pPr>
      <w:r>
        <w:t xml:space="preserve">Alcohol beverage and drugs containing alcohol should be avoided. Patients should be advised not to take alcohol during Metronidazole therapy and at least 72 hours afterwards because of a </w:t>
      </w:r>
      <w:proofErr w:type="spellStart"/>
      <w:r>
        <w:t>disulfram</w:t>
      </w:r>
      <w:proofErr w:type="spellEnd"/>
      <w:r>
        <w:t>-like (</w:t>
      </w:r>
      <w:proofErr w:type="spellStart"/>
      <w:r>
        <w:t>antabuse</w:t>
      </w:r>
      <w:proofErr w:type="spellEnd"/>
      <w:r>
        <w:t xml:space="preserve"> effect) reaction (flushing, vomiting, tachycardia).</w:t>
      </w:r>
    </w:p>
    <w:p w14:paraId="4EF5D2FD" w14:textId="14EF34AC" w:rsidR="00AD5242" w:rsidRDefault="00AD5242" w:rsidP="00AD5242">
      <w:pPr>
        <w:pStyle w:val="BodyTextSMPC"/>
      </w:pPr>
      <w:r w:rsidRPr="00AD5242">
        <w:rPr>
          <w:b/>
          <w:bCs/>
        </w:rPr>
        <w:t>Concomitant therapy requiring special precautions</w:t>
      </w:r>
      <w:r>
        <w:t>:</w:t>
      </w:r>
    </w:p>
    <w:p w14:paraId="2D61DE64" w14:textId="37C45FFC" w:rsidR="00AD5242" w:rsidRDefault="00AD5242" w:rsidP="00AD5242">
      <w:pPr>
        <w:pStyle w:val="BodyTextSMPC"/>
      </w:pPr>
      <w:r>
        <w:t xml:space="preserve">Oral anticoagulants (warfarin): metronidazole may increase the anticoagulant effects of warfarin and other oral anticoagulants, resulting in a prolongation of the prothrombin time and increased risk of </w:t>
      </w:r>
      <w:proofErr w:type="spellStart"/>
      <w:r>
        <w:t>haemorrhage</w:t>
      </w:r>
      <w:proofErr w:type="spellEnd"/>
      <w:r>
        <w:t xml:space="preserve"> (decrease in its liver catabolism). Patients taking metronidazole and warfarin or other oral coumarins concomitantly should have their prothrombin time and international normalized ratio (INR) monitored more frequently. Patients should be monitored for signs and symptoms of bleeding.</w:t>
      </w:r>
    </w:p>
    <w:p w14:paraId="1855AA74" w14:textId="03A3148D" w:rsidR="00AD5242" w:rsidRDefault="00AD5242" w:rsidP="00AD5242">
      <w:pPr>
        <w:pStyle w:val="BodyTextSMPC"/>
      </w:pPr>
      <w:r>
        <w:t xml:space="preserve">A large number of patients have been reported showing an increase in oral anticoagulant activity whilst receiving concomitant antibiotic therapy. The infectious and inflammatory status of the patient, together with their age and general well-being are all risk factors in this context. However, in these circumstances it is not clear as to the part played by the disease itself or its treatment in the occurrence of prothrombin time disorders. Some classes of antibiotics are more likely to result in this </w:t>
      </w:r>
      <w:r>
        <w:lastRenderedPageBreak/>
        <w:t xml:space="preserve">interaction, notably fluoroquinolones, macrolides, </w:t>
      </w:r>
      <w:proofErr w:type="spellStart"/>
      <w:r>
        <w:t>cyclines</w:t>
      </w:r>
      <w:proofErr w:type="spellEnd"/>
      <w:r>
        <w:t>, cotrimoxazole and some cephalosporins.</w:t>
      </w:r>
    </w:p>
    <w:p w14:paraId="1F1975DD" w14:textId="22581C13" w:rsidR="00AD5242" w:rsidRDefault="00AD5242" w:rsidP="00AD5242">
      <w:pPr>
        <w:pStyle w:val="BodyTextSMPC"/>
      </w:pPr>
      <w:r>
        <w:t xml:space="preserve">Vecuronium (non </w:t>
      </w:r>
      <w:proofErr w:type="spellStart"/>
      <w:r>
        <w:t>depolarising</w:t>
      </w:r>
      <w:proofErr w:type="spellEnd"/>
      <w:r>
        <w:t xml:space="preserve"> </w:t>
      </w:r>
      <w:proofErr w:type="spellStart"/>
      <w:r>
        <w:t>curaremimetic</w:t>
      </w:r>
      <w:proofErr w:type="spellEnd"/>
      <w:r>
        <w:t xml:space="preserve">): Metronidazole can </w:t>
      </w:r>
      <w:proofErr w:type="spellStart"/>
      <w:r>
        <w:t>potentialise</w:t>
      </w:r>
      <w:proofErr w:type="spellEnd"/>
      <w:r>
        <w:t xml:space="preserve"> the effects of vecuronium.</w:t>
      </w:r>
    </w:p>
    <w:p w14:paraId="48AE9A76" w14:textId="2939B6E2" w:rsidR="00AD5242" w:rsidRDefault="00AD5242" w:rsidP="00AD5242">
      <w:pPr>
        <w:pStyle w:val="BodyTextSMPC"/>
      </w:pPr>
      <w:r w:rsidRPr="00AD5242">
        <w:rPr>
          <w:b/>
          <w:bCs/>
        </w:rPr>
        <w:t>Combinations to be considered</w:t>
      </w:r>
      <w:r>
        <w:t>:</w:t>
      </w:r>
    </w:p>
    <w:p w14:paraId="5BD0C815" w14:textId="2629B580" w:rsidR="00AD5242" w:rsidRDefault="00AD5242" w:rsidP="00AD5242">
      <w:pPr>
        <w:pStyle w:val="BodyTextSMPC"/>
      </w:pPr>
      <w:r>
        <w:t xml:space="preserve">5 </w:t>
      </w:r>
      <w:proofErr w:type="spellStart"/>
      <w:r>
        <w:t>Fluoro-uracile</w:t>
      </w:r>
      <w:proofErr w:type="spellEnd"/>
      <w:r>
        <w:t xml:space="preserve">: increase in the toxicity of 5 </w:t>
      </w:r>
      <w:proofErr w:type="spellStart"/>
      <w:r>
        <w:t>fluoro-uracile</w:t>
      </w:r>
      <w:proofErr w:type="spellEnd"/>
      <w:r>
        <w:t xml:space="preserve"> due to a decrease of its clearance.</w:t>
      </w:r>
    </w:p>
    <w:p w14:paraId="418E8194" w14:textId="2924A839" w:rsidR="00AD5242" w:rsidRDefault="00AD5242" w:rsidP="00AD5242">
      <w:pPr>
        <w:pStyle w:val="BodyTextSMPC"/>
      </w:pPr>
      <w:r>
        <w:t>Lithium: lithium retention accompanied by evidence of possible renal damage has been reported in patients treated simultaneously with lithium and Metronidazole. Lithium treatment should be tapered or withdrawn before administering Metronidazole. Plasma concentrations of lithium, creatinine and electrolytes should be monitored in patients under treatment with lithium while they receive Metronidazole.</w:t>
      </w:r>
    </w:p>
    <w:p w14:paraId="15757217" w14:textId="7E565970" w:rsidR="00AD5242" w:rsidRDefault="00AD5242" w:rsidP="00AD5242">
      <w:pPr>
        <w:pStyle w:val="BodyTextSMPC"/>
      </w:pPr>
      <w:r>
        <w:t>Cholestyramine may delay or reduce the absorption of Metronidazole.</w:t>
      </w:r>
    </w:p>
    <w:p w14:paraId="7210EE3D" w14:textId="51B20982" w:rsidR="00AD5242" w:rsidRDefault="00AD5242" w:rsidP="00AD5242">
      <w:pPr>
        <w:pStyle w:val="BodyTextSMPC"/>
      </w:pPr>
      <w:r>
        <w:t>Phenytoin, barbiturates (phenobarbital): concomitant administration of drugs that induce microsomal liver enzyme activity, such as phenytoin or phenobarbital, may accelerate the elimination of metronidazole and therefore decrease its efficacy.</w:t>
      </w:r>
    </w:p>
    <w:p w14:paraId="5987D5AC" w14:textId="3623A8C1" w:rsidR="00AD5242" w:rsidRDefault="00AD5242" w:rsidP="00AD5242">
      <w:pPr>
        <w:pStyle w:val="BodyTextSMPC"/>
      </w:pPr>
      <w:r>
        <w:t>Cimetidine: concomitant administration of drugs that decrease microsomal liver enzyme activity, such as cimetidine, may cause decreased metabolism and reduced plasma clearance of metronidazole which may result in metronidazole toxicity.</w:t>
      </w:r>
    </w:p>
    <w:p w14:paraId="35D39BC7" w14:textId="110DB681" w:rsidR="00AD5242" w:rsidRDefault="00AD5242" w:rsidP="00AD5242">
      <w:pPr>
        <w:pStyle w:val="BodyTextSMPC"/>
      </w:pPr>
      <w:r>
        <w:t>Concomitant use of metronidazole and CYP3A4 substrates (e.g., amiodarone, tacrolimus, cyclosporine, carbamazepine, and quinidine) may increase respective CYP3A4-substrate plasma levels. Monitoring of plasma concentrations of CYP3A4 substrates may be necessary.</w:t>
      </w:r>
    </w:p>
    <w:p w14:paraId="6FF9012B" w14:textId="561F23CA" w:rsidR="00AD5242" w:rsidRDefault="00AD5242" w:rsidP="00AD5242">
      <w:pPr>
        <w:pStyle w:val="BodyTextSMPC"/>
      </w:pPr>
      <w:r>
        <w:t xml:space="preserve">Busulfan: Plasma concentrations of busulfan may increase during concomitant treatment with metronidazole, which can result in serious busulfan toxicity such as sinusoidal obstruction syndrome, gastrointestinal mucositis, and hepatic </w:t>
      </w:r>
      <w:proofErr w:type="spellStart"/>
      <w:r>
        <w:t>veno</w:t>
      </w:r>
      <w:proofErr w:type="spellEnd"/>
      <w:r>
        <w:t>-occlusive disease.</w:t>
      </w:r>
    </w:p>
    <w:p w14:paraId="51D9F6A4" w14:textId="03ACEDAE" w:rsidR="00AD5242" w:rsidRDefault="00AD5242" w:rsidP="00AD5242">
      <w:pPr>
        <w:pStyle w:val="BodyTextSMPC"/>
      </w:pPr>
      <w:r w:rsidRPr="00AD5242">
        <w:rPr>
          <w:b/>
          <w:bCs/>
        </w:rPr>
        <w:t>Laboratory tests</w:t>
      </w:r>
      <w:r>
        <w:t>:</w:t>
      </w:r>
    </w:p>
    <w:p w14:paraId="3D5EC828" w14:textId="1C26D1E7" w:rsidR="00AD5242" w:rsidRDefault="00AD5242" w:rsidP="00AD5242">
      <w:pPr>
        <w:pStyle w:val="BodyTextSMPC"/>
      </w:pPr>
      <w:r>
        <w:lastRenderedPageBreak/>
        <w:t xml:space="preserve">Metronidazole may </w:t>
      </w:r>
      <w:proofErr w:type="spellStart"/>
      <w:r>
        <w:t>immobilise</w:t>
      </w:r>
      <w:proofErr w:type="spellEnd"/>
      <w:r>
        <w:t xml:space="preserve"> Treponema and thus may lead to falsely positive Nelson's test.</w:t>
      </w:r>
    </w:p>
    <w:p w14:paraId="671F337F" w14:textId="00E774BC" w:rsidR="003B51C2" w:rsidRDefault="00AD5242" w:rsidP="00AD5242">
      <w:pPr>
        <w:pStyle w:val="BodyTextSMPC"/>
      </w:pPr>
      <w:r>
        <w:t>Metronidazole may interfere with serum aspartate transaminase (AST), alanine transaminase (ALT), lactate dehydrogenase (LDH), triglycerides, and glucose hexokinase determinations. Metronidazole causes an increase in ultraviolet absorbance at 340 nm resulting in falsely decreased values.</w:t>
      </w:r>
      <w:r w:rsidRPr="001839CC">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DB4171B" w14:textId="12EDEA1F" w:rsidR="00AD5242" w:rsidRDefault="00AD5242" w:rsidP="00AD5242">
      <w:pPr>
        <w:pStyle w:val="BodyTextSMPC"/>
      </w:pPr>
      <w:r>
        <w:t>Metronidazole crosses the placental barrier.</w:t>
      </w:r>
    </w:p>
    <w:p w14:paraId="7F57F820" w14:textId="4C3B6484" w:rsidR="00AD5242" w:rsidRDefault="00AD5242" w:rsidP="00AD5242">
      <w:pPr>
        <w:pStyle w:val="BodyTextSMPC"/>
      </w:pPr>
      <w:r>
        <w:t xml:space="preserve">Clinical data on a large number of exposed pregnancies and animal data did not show a teratogenic or </w:t>
      </w:r>
      <w:proofErr w:type="spellStart"/>
      <w:r>
        <w:t>foetotoxic</w:t>
      </w:r>
      <w:proofErr w:type="spellEnd"/>
      <w:r>
        <w:t xml:space="preserve"> effect. However unrestricted administration of </w:t>
      </w:r>
      <w:proofErr w:type="spellStart"/>
      <w:r>
        <w:t>nitroimidazolene</w:t>
      </w:r>
      <w:proofErr w:type="spellEnd"/>
      <w:r>
        <w:t xml:space="preserve"> to the mother may be associated with a carcinogenic or mutagenic risk for the unborn or newborn child.</w:t>
      </w:r>
    </w:p>
    <w:p w14:paraId="7C31E3E4" w14:textId="65F71A5F" w:rsidR="00D32C40" w:rsidRDefault="001678C4" w:rsidP="001678C4">
      <w:pPr>
        <w:pStyle w:val="BodyTextSMPC"/>
      </w:pPr>
      <w:r>
        <w:t>Therefore,</w:t>
      </w:r>
      <w:r w:rsidR="00AD5242">
        <w:t xml:space="preserve"> Metronidazole should not be given during pregnancy unless clearly necessary. </w:t>
      </w:r>
    </w:p>
    <w:p w14:paraId="0F6D438F" w14:textId="21009765" w:rsidR="00D32C40" w:rsidRPr="00D32C40" w:rsidRDefault="00D32C40" w:rsidP="00D32C40">
      <w:pPr>
        <w:pStyle w:val="BodyTextSMPC"/>
        <w:rPr>
          <w:b/>
          <w:bCs/>
        </w:rPr>
      </w:pPr>
      <w:r w:rsidRPr="00D32C40">
        <w:rPr>
          <w:b/>
          <w:bCs/>
        </w:rPr>
        <w:t>Breast-feeding</w:t>
      </w:r>
    </w:p>
    <w:p w14:paraId="001B1AAC" w14:textId="12B73B8E" w:rsidR="004A5AB4" w:rsidRDefault="001678C4" w:rsidP="003B51C2">
      <w:pPr>
        <w:pStyle w:val="BodyTextSMPC"/>
      </w:pPr>
      <w:r w:rsidRPr="001678C4">
        <w:t>Metronidazole is excreted in breast milk. During lactation either breast-feeding or Metronidazole should be discontinued</w:t>
      </w:r>
      <w:r w:rsidR="00BA0700" w:rsidRPr="00BA0700">
        <w:t>.</w:t>
      </w:r>
    </w:p>
    <w:p w14:paraId="2513862B" w14:textId="2B6CC4AA" w:rsidR="001678C4" w:rsidRPr="001678C4" w:rsidRDefault="001678C4" w:rsidP="001678C4">
      <w:pPr>
        <w:pStyle w:val="BodyTextSMPC"/>
        <w:rPr>
          <w:b/>
          <w:bCs/>
        </w:rPr>
      </w:pPr>
      <w:r w:rsidRPr="001678C4">
        <w:rPr>
          <w:b/>
          <w:bCs/>
        </w:rPr>
        <w:t>Fertility</w:t>
      </w:r>
    </w:p>
    <w:p w14:paraId="4CC76996" w14:textId="06C16A14" w:rsidR="001678C4" w:rsidRDefault="001678C4" w:rsidP="001678C4">
      <w:pPr>
        <w:pStyle w:val="BodyTextSMPC"/>
      </w:pPr>
      <w:r>
        <w:t>There are no clinical data relating to the effect of metronidazole on fertility.</w:t>
      </w:r>
    </w:p>
    <w:p w14:paraId="00C7C5F6" w14:textId="192A6B8C" w:rsidR="001678C4" w:rsidRDefault="001678C4" w:rsidP="001678C4">
      <w:pPr>
        <w:pStyle w:val="BodyTextSMPC"/>
      </w:pPr>
      <w:r>
        <w:t>Animal studies demonstrated adverse effects on the male reproductive system that are wholly or partially reversible after treatment withdrawal (see section 5.3).</w:t>
      </w:r>
    </w:p>
    <w:p w14:paraId="6D62B196" w14:textId="223FFB6A" w:rsidR="00227FD4" w:rsidRPr="008F5678" w:rsidRDefault="00000000" w:rsidP="00671E86">
      <w:pPr>
        <w:pStyle w:val="SubHeafingSMPC"/>
      </w:pPr>
      <w:r w:rsidRPr="008F5678">
        <w:t xml:space="preserve">Effects on ability to drive and use machines </w:t>
      </w:r>
    </w:p>
    <w:p w14:paraId="7E43B901" w14:textId="679B71E8" w:rsidR="00227FD4" w:rsidRPr="009D6FFD" w:rsidRDefault="001678C4" w:rsidP="003B51C2">
      <w:pPr>
        <w:pStyle w:val="BodyTextSMPC"/>
      </w:pPr>
      <w:r w:rsidRPr="001678C4">
        <w:t xml:space="preserve">No studies have been performed following intravenous treatment with Metronidazole on the ability to drive and use machines. Some adverse reactions to metronidazole such as seizure, dizziness, optic neuropathy, may impair the ability to drive or operate machines (see section 4.8). </w:t>
      </w:r>
      <w:r w:rsidRPr="001678C4">
        <w:lastRenderedPageBreak/>
        <w:t>Therefore it is recommended that patients should not drive or use machines</w:t>
      </w:r>
      <w:r w:rsidR="003B51C2">
        <w:t>.</w:t>
      </w:r>
    </w:p>
    <w:p w14:paraId="071D62C3" w14:textId="1176E362" w:rsidR="00227FD4" w:rsidRPr="008F5678" w:rsidRDefault="00000000" w:rsidP="00671E86">
      <w:pPr>
        <w:pStyle w:val="SubHeafingSMPC"/>
      </w:pPr>
      <w:r w:rsidRPr="008F5678">
        <w:t xml:space="preserve">Undesirable effects </w:t>
      </w:r>
    </w:p>
    <w:p w14:paraId="2187DD32" w14:textId="56A1796B" w:rsidR="001678C4" w:rsidRDefault="001678C4" w:rsidP="001678C4">
      <w:pPr>
        <w:pStyle w:val="BodyTextSMPC"/>
      </w:pPr>
      <w:r>
        <w:t>There are no data available on adverse reactions from Baxter-sponsored clinical trials conducted with Metronidazole. The following adverse reactions have been reported with Metronidazole, listed by MedDRA System Organ Class (SOC), Preferred Term and frequency. The following frequency groupings are used: very common (≥ 1/10); common (≥ 1/100 and &lt;1/10); uncommon (≥ 1/1,000 and &lt;1/100); rare (≥ 1/10,000 and &lt;1/1,000); very rare (&lt;1/10,000) and not known (cannot be estimated from the available data).</w:t>
      </w:r>
    </w:p>
    <w:p w14:paraId="1999B3F5" w14:textId="41E4808E" w:rsidR="00DF0DD2" w:rsidRDefault="001678C4" w:rsidP="001678C4">
      <w:pPr>
        <w:pStyle w:val="BodyTextSMPC"/>
      </w:pPr>
      <w:r>
        <w:t xml:space="preserve">Frequency, type and severity of adverse reactions in children are the same as in adults. </w:t>
      </w:r>
    </w:p>
    <w:tbl>
      <w:tblPr>
        <w:tblW w:w="8364" w:type="dxa"/>
        <w:tblCellSpacing w:w="0" w:type="dxa"/>
        <w:tblInd w:w="5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77"/>
        <w:gridCol w:w="3259"/>
        <w:gridCol w:w="2128"/>
      </w:tblGrid>
      <w:tr w:rsidR="00AF5BF6" w:rsidRPr="00AF5BF6" w14:paraId="7D6442E4"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22F2792B" w14:textId="77777777" w:rsidR="00AF5BF6" w:rsidRPr="00AF5BF6" w:rsidRDefault="00AF5BF6" w:rsidP="00AF5BF6">
            <w:pPr>
              <w:pStyle w:val="BodyTextSMPC"/>
              <w:spacing w:after="0"/>
              <w:ind w:left="0"/>
              <w:jc w:val="center"/>
              <w:rPr>
                <w:sz w:val="24"/>
                <w:szCs w:val="24"/>
              </w:rPr>
            </w:pPr>
            <w:r w:rsidRPr="00AF5BF6">
              <w:rPr>
                <w:b/>
                <w:bCs/>
                <w:sz w:val="24"/>
                <w:szCs w:val="24"/>
              </w:rPr>
              <w:t>System Organ Class (SOC)</w:t>
            </w:r>
          </w:p>
        </w:tc>
        <w:tc>
          <w:tcPr>
            <w:tcW w:w="1948" w:type="pct"/>
            <w:tcBorders>
              <w:top w:val="outset" w:sz="6" w:space="0" w:color="auto"/>
              <w:left w:val="outset" w:sz="6" w:space="0" w:color="auto"/>
              <w:bottom w:val="outset" w:sz="6" w:space="0" w:color="auto"/>
              <w:right w:val="outset" w:sz="6" w:space="0" w:color="auto"/>
            </w:tcBorders>
            <w:hideMark/>
          </w:tcPr>
          <w:p w14:paraId="4B1F38AB" w14:textId="77777777" w:rsidR="00AF5BF6" w:rsidRPr="00AF5BF6" w:rsidRDefault="00AF5BF6" w:rsidP="00AF5BF6">
            <w:pPr>
              <w:pStyle w:val="BodyTextSMPC"/>
              <w:spacing w:after="0"/>
              <w:ind w:left="0"/>
              <w:jc w:val="center"/>
              <w:rPr>
                <w:sz w:val="24"/>
                <w:szCs w:val="24"/>
              </w:rPr>
            </w:pPr>
            <w:r w:rsidRPr="00AF5BF6">
              <w:rPr>
                <w:b/>
                <w:bCs/>
                <w:sz w:val="24"/>
                <w:szCs w:val="24"/>
              </w:rPr>
              <w:t>Preferred MedDRA Term</w:t>
            </w:r>
          </w:p>
        </w:tc>
        <w:tc>
          <w:tcPr>
            <w:tcW w:w="1272" w:type="pct"/>
            <w:tcBorders>
              <w:top w:val="outset" w:sz="6" w:space="0" w:color="auto"/>
              <w:left w:val="outset" w:sz="6" w:space="0" w:color="auto"/>
              <w:bottom w:val="outset" w:sz="6" w:space="0" w:color="auto"/>
              <w:right w:val="outset" w:sz="6" w:space="0" w:color="auto"/>
            </w:tcBorders>
            <w:hideMark/>
          </w:tcPr>
          <w:p w14:paraId="07CDCDFE" w14:textId="77777777" w:rsidR="00AF5BF6" w:rsidRPr="00AF5BF6" w:rsidRDefault="00AF5BF6" w:rsidP="00AF5BF6">
            <w:pPr>
              <w:pStyle w:val="BodyTextSMPC"/>
              <w:spacing w:after="0"/>
              <w:ind w:left="0"/>
              <w:jc w:val="center"/>
              <w:rPr>
                <w:sz w:val="24"/>
                <w:szCs w:val="24"/>
              </w:rPr>
            </w:pPr>
            <w:r w:rsidRPr="00AF5BF6">
              <w:rPr>
                <w:b/>
                <w:bCs/>
                <w:sz w:val="24"/>
                <w:szCs w:val="24"/>
              </w:rPr>
              <w:t>Frequency</w:t>
            </w:r>
          </w:p>
        </w:tc>
      </w:tr>
      <w:tr w:rsidR="00AF5BF6" w:rsidRPr="00AF5BF6" w14:paraId="2B0A787C"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0A6718D2" w14:textId="77777777" w:rsidR="00AF5BF6" w:rsidRPr="00AF5BF6" w:rsidRDefault="00AF5BF6" w:rsidP="00AF5BF6">
            <w:pPr>
              <w:pStyle w:val="BodyTextSMPC"/>
              <w:spacing w:after="0"/>
              <w:ind w:left="0"/>
              <w:jc w:val="left"/>
              <w:rPr>
                <w:sz w:val="24"/>
                <w:szCs w:val="24"/>
              </w:rPr>
            </w:pPr>
            <w:r w:rsidRPr="00AF5BF6">
              <w:rPr>
                <w:sz w:val="24"/>
                <w:szCs w:val="24"/>
              </w:rPr>
              <w:t>Blood and Lymphatic System Disorders</w:t>
            </w:r>
          </w:p>
        </w:tc>
        <w:tc>
          <w:tcPr>
            <w:tcW w:w="1948" w:type="pct"/>
            <w:tcBorders>
              <w:top w:val="outset" w:sz="6" w:space="0" w:color="auto"/>
              <w:left w:val="outset" w:sz="6" w:space="0" w:color="auto"/>
              <w:bottom w:val="outset" w:sz="6" w:space="0" w:color="auto"/>
              <w:right w:val="outset" w:sz="6" w:space="0" w:color="auto"/>
            </w:tcBorders>
            <w:hideMark/>
          </w:tcPr>
          <w:p w14:paraId="302FEAA9" w14:textId="77777777" w:rsidR="00AF5BF6" w:rsidRPr="00AF5BF6" w:rsidRDefault="00AF5BF6" w:rsidP="00AF5BF6">
            <w:pPr>
              <w:pStyle w:val="BodyTextSMPC"/>
              <w:spacing w:after="0"/>
              <w:ind w:left="0"/>
              <w:jc w:val="left"/>
              <w:rPr>
                <w:sz w:val="24"/>
                <w:szCs w:val="24"/>
              </w:rPr>
            </w:pPr>
            <w:r w:rsidRPr="00AF5BF6">
              <w:rPr>
                <w:sz w:val="24"/>
                <w:szCs w:val="24"/>
              </w:rPr>
              <w:t>Leukopenia</w:t>
            </w:r>
          </w:p>
          <w:p w14:paraId="394A1BFA" w14:textId="77777777" w:rsidR="00AF5BF6" w:rsidRPr="00AF5BF6" w:rsidRDefault="00AF5BF6" w:rsidP="00AF5BF6">
            <w:pPr>
              <w:pStyle w:val="BodyTextSMPC"/>
              <w:spacing w:after="0"/>
              <w:ind w:left="0"/>
              <w:jc w:val="left"/>
              <w:rPr>
                <w:sz w:val="24"/>
                <w:szCs w:val="24"/>
              </w:rPr>
            </w:pPr>
            <w:r w:rsidRPr="00AF5BF6">
              <w:rPr>
                <w:sz w:val="24"/>
                <w:szCs w:val="24"/>
              </w:rPr>
              <w:t>Agranulocytosis</w:t>
            </w:r>
          </w:p>
          <w:p w14:paraId="6B2023B4" w14:textId="77777777" w:rsidR="00AF5BF6" w:rsidRPr="00AF5BF6" w:rsidRDefault="00AF5BF6" w:rsidP="00AF5BF6">
            <w:pPr>
              <w:pStyle w:val="BodyTextSMPC"/>
              <w:spacing w:after="0"/>
              <w:ind w:left="0"/>
              <w:jc w:val="left"/>
              <w:rPr>
                <w:sz w:val="24"/>
                <w:szCs w:val="24"/>
              </w:rPr>
            </w:pPr>
            <w:r w:rsidRPr="00AF5BF6">
              <w:rPr>
                <w:sz w:val="24"/>
                <w:szCs w:val="24"/>
              </w:rPr>
              <w:t>Pancytopenia</w:t>
            </w:r>
          </w:p>
          <w:p w14:paraId="4B06A115" w14:textId="77777777" w:rsidR="00AF5BF6" w:rsidRPr="00AF5BF6" w:rsidRDefault="00AF5BF6" w:rsidP="00AF5BF6">
            <w:pPr>
              <w:pStyle w:val="BodyTextSMPC"/>
              <w:spacing w:after="0"/>
              <w:ind w:left="0"/>
              <w:jc w:val="left"/>
              <w:rPr>
                <w:sz w:val="24"/>
                <w:szCs w:val="24"/>
              </w:rPr>
            </w:pPr>
            <w:r w:rsidRPr="00AF5BF6">
              <w:rPr>
                <w:sz w:val="24"/>
                <w:szCs w:val="24"/>
              </w:rPr>
              <w:t>Neutropenia</w:t>
            </w:r>
          </w:p>
          <w:p w14:paraId="585E83A9" w14:textId="77777777" w:rsidR="00AF5BF6" w:rsidRPr="00AF5BF6" w:rsidRDefault="00AF5BF6" w:rsidP="00AF5BF6">
            <w:pPr>
              <w:pStyle w:val="BodyTextSMPC"/>
              <w:spacing w:after="0"/>
              <w:ind w:left="0"/>
              <w:jc w:val="left"/>
              <w:rPr>
                <w:sz w:val="24"/>
                <w:szCs w:val="24"/>
              </w:rPr>
            </w:pPr>
            <w:r w:rsidRPr="00AF5BF6">
              <w:rPr>
                <w:sz w:val="24"/>
                <w:szCs w:val="24"/>
              </w:rPr>
              <w:t>Thrombocytopenia</w:t>
            </w:r>
          </w:p>
          <w:p w14:paraId="3CEDCCDA" w14:textId="77777777" w:rsidR="00AF5BF6" w:rsidRPr="00AF5BF6" w:rsidRDefault="00AF5BF6" w:rsidP="00AF5BF6">
            <w:pPr>
              <w:pStyle w:val="BodyTextSMPC"/>
              <w:spacing w:after="0"/>
              <w:ind w:left="0"/>
              <w:jc w:val="left"/>
              <w:rPr>
                <w:sz w:val="24"/>
                <w:szCs w:val="24"/>
              </w:rPr>
            </w:pPr>
            <w:r w:rsidRPr="00AF5BF6">
              <w:rPr>
                <w:sz w:val="24"/>
                <w:szCs w:val="24"/>
              </w:rPr>
              <w:t>Eosinophilia</w:t>
            </w:r>
          </w:p>
        </w:tc>
        <w:tc>
          <w:tcPr>
            <w:tcW w:w="1272" w:type="pct"/>
            <w:tcBorders>
              <w:top w:val="outset" w:sz="6" w:space="0" w:color="auto"/>
              <w:left w:val="outset" w:sz="6" w:space="0" w:color="auto"/>
              <w:bottom w:val="outset" w:sz="6" w:space="0" w:color="auto"/>
              <w:right w:val="outset" w:sz="6" w:space="0" w:color="auto"/>
            </w:tcBorders>
            <w:hideMark/>
          </w:tcPr>
          <w:p w14:paraId="09D8949A" w14:textId="77777777" w:rsidR="00AF5BF6" w:rsidRPr="00AF5BF6" w:rsidRDefault="00AF5BF6" w:rsidP="00AF5BF6">
            <w:pPr>
              <w:pStyle w:val="BodyTextSMPC"/>
              <w:spacing w:after="0"/>
              <w:ind w:left="0"/>
              <w:jc w:val="left"/>
              <w:rPr>
                <w:sz w:val="24"/>
                <w:szCs w:val="24"/>
              </w:rPr>
            </w:pPr>
            <w:r w:rsidRPr="00AF5BF6">
              <w:rPr>
                <w:sz w:val="24"/>
                <w:szCs w:val="24"/>
              </w:rPr>
              <w:t>uncommon</w:t>
            </w:r>
          </w:p>
          <w:p w14:paraId="54C97D69"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50DCF817"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826671E"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044EBECC"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5BFA43DE"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1CB907F4"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4BBD08E9" w14:textId="77777777" w:rsidR="00AF5BF6" w:rsidRPr="00AF5BF6" w:rsidRDefault="00AF5BF6" w:rsidP="00AF5BF6">
            <w:pPr>
              <w:pStyle w:val="BodyTextSMPC"/>
              <w:spacing w:after="0"/>
              <w:ind w:left="0"/>
              <w:jc w:val="left"/>
              <w:rPr>
                <w:sz w:val="24"/>
                <w:szCs w:val="24"/>
              </w:rPr>
            </w:pPr>
            <w:r w:rsidRPr="00AF5BF6">
              <w:rPr>
                <w:sz w:val="24"/>
                <w:szCs w:val="24"/>
              </w:rPr>
              <w:t>Immune System Disorder</w:t>
            </w:r>
          </w:p>
        </w:tc>
        <w:tc>
          <w:tcPr>
            <w:tcW w:w="1948" w:type="pct"/>
            <w:tcBorders>
              <w:top w:val="outset" w:sz="6" w:space="0" w:color="auto"/>
              <w:left w:val="outset" w:sz="6" w:space="0" w:color="auto"/>
              <w:bottom w:val="outset" w:sz="6" w:space="0" w:color="auto"/>
              <w:right w:val="outset" w:sz="6" w:space="0" w:color="auto"/>
            </w:tcBorders>
            <w:hideMark/>
          </w:tcPr>
          <w:p w14:paraId="2E0BA0A5" w14:textId="77777777" w:rsidR="00AF5BF6" w:rsidRPr="00AF5BF6" w:rsidRDefault="00AF5BF6" w:rsidP="00AF5BF6">
            <w:pPr>
              <w:pStyle w:val="BodyTextSMPC"/>
              <w:spacing w:after="0"/>
              <w:ind w:left="0"/>
              <w:jc w:val="left"/>
              <w:rPr>
                <w:sz w:val="24"/>
                <w:szCs w:val="24"/>
              </w:rPr>
            </w:pPr>
            <w:r w:rsidRPr="00AF5BF6">
              <w:rPr>
                <w:sz w:val="24"/>
                <w:szCs w:val="24"/>
              </w:rPr>
              <w:t>Anaphylactic shock</w:t>
            </w:r>
          </w:p>
          <w:p w14:paraId="0F1EB728" w14:textId="77777777" w:rsidR="00AF5BF6" w:rsidRPr="00AF5BF6" w:rsidRDefault="00AF5BF6" w:rsidP="00AF5BF6">
            <w:pPr>
              <w:pStyle w:val="BodyTextSMPC"/>
              <w:spacing w:after="0"/>
              <w:ind w:left="0"/>
              <w:jc w:val="left"/>
              <w:rPr>
                <w:sz w:val="24"/>
                <w:szCs w:val="24"/>
              </w:rPr>
            </w:pPr>
            <w:proofErr w:type="spellStart"/>
            <w:r w:rsidRPr="00AF5BF6">
              <w:rPr>
                <w:sz w:val="24"/>
                <w:szCs w:val="24"/>
              </w:rPr>
              <w:t>Jarisch</w:t>
            </w:r>
            <w:proofErr w:type="spellEnd"/>
            <w:r w:rsidRPr="00AF5BF6">
              <w:rPr>
                <w:sz w:val="24"/>
                <w:szCs w:val="24"/>
              </w:rPr>
              <w:t>-Herxheimer reaction</w:t>
            </w:r>
          </w:p>
          <w:p w14:paraId="28652B83" w14:textId="77777777" w:rsidR="00AF5BF6" w:rsidRPr="00AF5BF6" w:rsidRDefault="00AF5BF6" w:rsidP="00AF5BF6">
            <w:pPr>
              <w:pStyle w:val="BodyTextSMPC"/>
              <w:spacing w:after="0"/>
              <w:ind w:left="0"/>
              <w:jc w:val="left"/>
              <w:rPr>
                <w:sz w:val="24"/>
                <w:szCs w:val="24"/>
              </w:rPr>
            </w:pPr>
            <w:r w:rsidRPr="00AF5BF6">
              <w:rPr>
                <w:sz w:val="24"/>
                <w:szCs w:val="24"/>
              </w:rPr>
              <w:t>Hypersensitivity</w:t>
            </w:r>
          </w:p>
        </w:tc>
        <w:tc>
          <w:tcPr>
            <w:tcW w:w="1272" w:type="pct"/>
            <w:tcBorders>
              <w:top w:val="outset" w:sz="6" w:space="0" w:color="auto"/>
              <w:left w:val="outset" w:sz="6" w:space="0" w:color="auto"/>
              <w:bottom w:val="outset" w:sz="6" w:space="0" w:color="auto"/>
              <w:right w:val="outset" w:sz="6" w:space="0" w:color="auto"/>
            </w:tcBorders>
            <w:hideMark/>
          </w:tcPr>
          <w:p w14:paraId="4C42F9FC"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07D17A2"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1A006896"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3015DA3A"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0172DDBB" w14:textId="77777777" w:rsidR="00AF5BF6" w:rsidRPr="00AF5BF6" w:rsidRDefault="00AF5BF6" w:rsidP="00AF5BF6">
            <w:pPr>
              <w:pStyle w:val="BodyTextSMPC"/>
              <w:spacing w:after="0"/>
              <w:ind w:left="0"/>
              <w:jc w:val="left"/>
              <w:rPr>
                <w:sz w:val="24"/>
                <w:szCs w:val="24"/>
              </w:rPr>
            </w:pPr>
            <w:r w:rsidRPr="00AF5BF6">
              <w:rPr>
                <w:sz w:val="24"/>
                <w:szCs w:val="24"/>
              </w:rPr>
              <w:t>Metabolism and Nutrition Disorders</w:t>
            </w:r>
          </w:p>
        </w:tc>
        <w:tc>
          <w:tcPr>
            <w:tcW w:w="1948" w:type="pct"/>
            <w:tcBorders>
              <w:top w:val="outset" w:sz="6" w:space="0" w:color="auto"/>
              <w:left w:val="outset" w:sz="6" w:space="0" w:color="auto"/>
              <w:bottom w:val="outset" w:sz="6" w:space="0" w:color="auto"/>
              <w:right w:val="outset" w:sz="6" w:space="0" w:color="auto"/>
            </w:tcBorders>
            <w:hideMark/>
          </w:tcPr>
          <w:p w14:paraId="2EB10A5A" w14:textId="77777777" w:rsidR="00AF5BF6" w:rsidRPr="00AF5BF6" w:rsidRDefault="00AF5BF6" w:rsidP="00AF5BF6">
            <w:pPr>
              <w:pStyle w:val="BodyTextSMPC"/>
              <w:spacing w:after="0"/>
              <w:ind w:left="0"/>
              <w:jc w:val="left"/>
              <w:rPr>
                <w:sz w:val="24"/>
                <w:szCs w:val="24"/>
              </w:rPr>
            </w:pPr>
            <w:r w:rsidRPr="00AF5BF6">
              <w:rPr>
                <w:sz w:val="24"/>
                <w:szCs w:val="24"/>
              </w:rPr>
              <w:t>Decreased appetite</w:t>
            </w:r>
          </w:p>
        </w:tc>
        <w:tc>
          <w:tcPr>
            <w:tcW w:w="1272" w:type="pct"/>
            <w:tcBorders>
              <w:top w:val="outset" w:sz="6" w:space="0" w:color="auto"/>
              <w:left w:val="outset" w:sz="6" w:space="0" w:color="auto"/>
              <w:bottom w:val="outset" w:sz="6" w:space="0" w:color="auto"/>
              <w:right w:val="outset" w:sz="6" w:space="0" w:color="auto"/>
            </w:tcBorders>
            <w:hideMark/>
          </w:tcPr>
          <w:p w14:paraId="58E6FA1C"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646D0A7E"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5161C154" w14:textId="77777777" w:rsidR="00AF5BF6" w:rsidRPr="00AF5BF6" w:rsidRDefault="00AF5BF6" w:rsidP="00AF5BF6">
            <w:pPr>
              <w:pStyle w:val="BodyTextSMPC"/>
              <w:spacing w:after="0"/>
              <w:ind w:left="0"/>
              <w:jc w:val="left"/>
              <w:rPr>
                <w:sz w:val="24"/>
                <w:szCs w:val="24"/>
              </w:rPr>
            </w:pPr>
            <w:r w:rsidRPr="00AF5BF6">
              <w:rPr>
                <w:sz w:val="24"/>
                <w:szCs w:val="24"/>
              </w:rPr>
              <w:t>Psychiatric Disorders</w:t>
            </w:r>
          </w:p>
        </w:tc>
        <w:tc>
          <w:tcPr>
            <w:tcW w:w="1948" w:type="pct"/>
            <w:tcBorders>
              <w:top w:val="outset" w:sz="6" w:space="0" w:color="auto"/>
              <w:left w:val="outset" w:sz="6" w:space="0" w:color="auto"/>
              <w:bottom w:val="outset" w:sz="6" w:space="0" w:color="auto"/>
              <w:right w:val="outset" w:sz="6" w:space="0" w:color="auto"/>
            </w:tcBorders>
            <w:hideMark/>
          </w:tcPr>
          <w:p w14:paraId="2E42A0B0" w14:textId="77777777" w:rsidR="00AF5BF6" w:rsidRPr="00AF5BF6" w:rsidRDefault="00AF5BF6" w:rsidP="00AF5BF6">
            <w:pPr>
              <w:pStyle w:val="BodyTextSMPC"/>
              <w:spacing w:after="0"/>
              <w:ind w:left="0"/>
              <w:jc w:val="left"/>
              <w:rPr>
                <w:sz w:val="24"/>
                <w:szCs w:val="24"/>
              </w:rPr>
            </w:pPr>
            <w:r w:rsidRPr="00AF5BF6">
              <w:rPr>
                <w:sz w:val="24"/>
                <w:szCs w:val="24"/>
              </w:rPr>
              <w:t>Hallucinations</w:t>
            </w:r>
          </w:p>
          <w:p w14:paraId="4D1B4C5D" w14:textId="77777777" w:rsidR="00AF5BF6" w:rsidRPr="00AF5BF6" w:rsidRDefault="00AF5BF6" w:rsidP="00AF5BF6">
            <w:pPr>
              <w:pStyle w:val="BodyTextSMPC"/>
              <w:spacing w:after="0"/>
              <w:ind w:left="0"/>
              <w:jc w:val="left"/>
              <w:rPr>
                <w:sz w:val="24"/>
                <w:szCs w:val="24"/>
              </w:rPr>
            </w:pPr>
            <w:r w:rsidRPr="00AF5BF6">
              <w:rPr>
                <w:sz w:val="24"/>
                <w:szCs w:val="24"/>
              </w:rPr>
              <w:t>Depression</w:t>
            </w:r>
          </w:p>
          <w:p w14:paraId="2B4D701E" w14:textId="77777777" w:rsidR="00AF5BF6" w:rsidRPr="00AF5BF6" w:rsidRDefault="00AF5BF6" w:rsidP="00AF5BF6">
            <w:pPr>
              <w:pStyle w:val="BodyTextSMPC"/>
              <w:spacing w:after="0"/>
              <w:ind w:left="0"/>
              <w:jc w:val="left"/>
              <w:rPr>
                <w:sz w:val="24"/>
                <w:szCs w:val="24"/>
              </w:rPr>
            </w:pPr>
            <w:r w:rsidRPr="00AF5BF6">
              <w:rPr>
                <w:sz w:val="24"/>
                <w:szCs w:val="24"/>
              </w:rPr>
              <w:t>Confusional state</w:t>
            </w:r>
          </w:p>
          <w:p w14:paraId="54D2EAB1" w14:textId="77777777" w:rsidR="00AF5BF6" w:rsidRPr="00AF5BF6" w:rsidRDefault="00AF5BF6" w:rsidP="00AF5BF6">
            <w:pPr>
              <w:pStyle w:val="BodyTextSMPC"/>
              <w:spacing w:after="0"/>
              <w:ind w:left="0"/>
              <w:jc w:val="left"/>
              <w:rPr>
                <w:sz w:val="24"/>
                <w:szCs w:val="24"/>
              </w:rPr>
            </w:pPr>
            <w:r w:rsidRPr="00AF5BF6">
              <w:rPr>
                <w:sz w:val="24"/>
                <w:szCs w:val="24"/>
              </w:rPr>
              <w:t>Insomnia</w:t>
            </w:r>
          </w:p>
        </w:tc>
        <w:tc>
          <w:tcPr>
            <w:tcW w:w="1272" w:type="pct"/>
            <w:tcBorders>
              <w:top w:val="outset" w:sz="6" w:space="0" w:color="auto"/>
              <w:left w:val="outset" w:sz="6" w:space="0" w:color="auto"/>
              <w:bottom w:val="outset" w:sz="6" w:space="0" w:color="auto"/>
              <w:right w:val="outset" w:sz="6" w:space="0" w:color="auto"/>
            </w:tcBorders>
            <w:hideMark/>
          </w:tcPr>
          <w:p w14:paraId="3A826031"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36B1141D"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425D6DFB"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15512109"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3458109D"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463874C4" w14:textId="77777777" w:rsidR="00AF5BF6" w:rsidRPr="00AF5BF6" w:rsidRDefault="00AF5BF6" w:rsidP="00AF5BF6">
            <w:pPr>
              <w:pStyle w:val="BodyTextSMPC"/>
              <w:spacing w:after="0"/>
              <w:ind w:left="0"/>
              <w:jc w:val="left"/>
              <w:rPr>
                <w:sz w:val="24"/>
                <w:szCs w:val="24"/>
              </w:rPr>
            </w:pPr>
            <w:r w:rsidRPr="00AF5BF6">
              <w:rPr>
                <w:sz w:val="24"/>
                <w:szCs w:val="24"/>
              </w:rPr>
              <w:t>Nervous System Disorders</w:t>
            </w:r>
          </w:p>
        </w:tc>
        <w:tc>
          <w:tcPr>
            <w:tcW w:w="1948" w:type="pct"/>
            <w:tcBorders>
              <w:top w:val="outset" w:sz="6" w:space="0" w:color="auto"/>
              <w:left w:val="outset" w:sz="6" w:space="0" w:color="auto"/>
              <w:bottom w:val="outset" w:sz="6" w:space="0" w:color="auto"/>
              <w:right w:val="outset" w:sz="6" w:space="0" w:color="auto"/>
            </w:tcBorders>
            <w:hideMark/>
          </w:tcPr>
          <w:p w14:paraId="7EE459BE" w14:textId="77777777" w:rsidR="00AF5BF6" w:rsidRPr="00AF5BF6" w:rsidRDefault="00AF5BF6" w:rsidP="00AF5BF6">
            <w:pPr>
              <w:pStyle w:val="BodyTextSMPC"/>
              <w:spacing w:after="0"/>
              <w:ind w:left="0"/>
              <w:jc w:val="left"/>
              <w:rPr>
                <w:sz w:val="24"/>
                <w:szCs w:val="24"/>
              </w:rPr>
            </w:pPr>
            <w:r w:rsidRPr="00AF5BF6">
              <w:rPr>
                <w:sz w:val="24"/>
                <w:szCs w:val="24"/>
              </w:rPr>
              <w:t>Dysgeusia</w:t>
            </w:r>
          </w:p>
          <w:p w14:paraId="1953C65C" w14:textId="77777777" w:rsidR="00AF5BF6" w:rsidRPr="00AF5BF6" w:rsidRDefault="00AF5BF6" w:rsidP="00AF5BF6">
            <w:pPr>
              <w:pStyle w:val="BodyTextSMPC"/>
              <w:spacing w:after="0"/>
              <w:ind w:left="0"/>
              <w:jc w:val="left"/>
              <w:rPr>
                <w:sz w:val="24"/>
                <w:szCs w:val="24"/>
              </w:rPr>
            </w:pPr>
            <w:r w:rsidRPr="00AF5BF6">
              <w:rPr>
                <w:sz w:val="24"/>
                <w:szCs w:val="24"/>
              </w:rPr>
              <w:t>Headache</w:t>
            </w:r>
          </w:p>
          <w:p w14:paraId="3DED8679" w14:textId="77777777" w:rsidR="00AF5BF6" w:rsidRPr="00AF5BF6" w:rsidRDefault="00AF5BF6" w:rsidP="00AF5BF6">
            <w:pPr>
              <w:pStyle w:val="BodyTextSMPC"/>
              <w:spacing w:after="0"/>
              <w:ind w:left="0"/>
              <w:jc w:val="left"/>
              <w:rPr>
                <w:sz w:val="24"/>
                <w:szCs w:val="24"/>
              </w:rPr>
            </w:pPr>
            <w:r w:rsidRPr="00AF5BF6">
              <w:rPr>
                <w:sz w:val="24"/>
                <w:szCs w:val="24"/>
              </w:rPr>
              <w:t>Encephalopathy</w:t>
            </w:r>
          </w:p>
          <w:p w14:paraId="5C4C9BA2" w14:textId="77777777" w:rsidR="00AF5BF6" w:rsidRPr="00AF5BF6" w:rsidRDefault="00AF5BF6" w:rsidP="00AF5BF6">
            <w:pPr>
              <w:pStyle w:val="BodyTextSMPC"/>
              <w:spacing w:after="0"/>
              <w:ind w:left="0"/>
              <w:jc w:val="left"/>
              <w:rPr>
                <w:sz w:val="24"/>
                <w:szCs w:val="24"/>
              </w:rPr>
            </w:pPr>
            <w:r w:rsidRPr="00AF5BF6">
              <w:rPr>
                <w:sz w:val="24"/>
                <w:szCs w:val="24"/>
              </w:rPr>
              <w:t>Meningitis aseptic</w:t>
            </w:r>
          </w:p>
          <w:p w14:paraId="01FB813A" w14:textId="77777777" w:rsidR="00AF5BF6" w:rsidRPr="00AF5BF6" w:rsidRDefault="00AF5BF6" w:rsidP="00AF5BF6">
            <w:pPr>
              <w:pStyle w:val="BodyTextSMPC"/>
              <w:spacing w:after="0"/>
              <w:ind w:left="0"/>
              <w:jc w:val="left"/>
              <w:rPr>
                <w:sz w:val="24"/>
                <w:szCs w:val="24"/>
              </w:rPr>
            </w:pPr>
            <w:r w:rsidRPr="00AF5BF6">
              <w:rPr>
                <w:sz w:val="24"/>
                <w:szCs w:val="24"/>
              </w:rPr>
              <w:t>Seizure</w:t>
            </w:r>
          </w:p>
          <w:p w14:paraId="28994CB6" w14:textId="77777777" w:rsidR="00AF5BF6" w:rsidRPr="00AF5BF6" w:rsidRDefault="00AF5BF6" w:rsidP="00AF5BF6">
            <w:pPr>
              <w:pStyle w:val="BodyTextSMPC"/>
              <w:spacing w:after="0"/>
              <w:ind w:left="0"/>
              <w:jc w:val="left"/>
              <w:rPr>
                <w:sz w:val="24"/>
                <w:szCs w:val="24"/>
              </w:rPr>
            </w:pPr>
            <w:r w:rsidRPr="00AF5BF6">
              <w:rPr>
                <w:sz w:val="24"/>
                <w:szCs w:val="24"/>
              </w:rPr>
              <w:t>Somnolence</w:t>
            </w:r>
          </w:p>
          <w:p w14:paraId="1C20B644" w14:textId="77777777" w:rsidR="00AF5BF6" w:rsidRPr="00AF5BF6" w:rsidRDefault="00AF5BF6" w:rsidP="00AF5BF6">
            <w:pPr>
              <w:pStyle w:val="BodyTextSMPC"/>
              <w:spacing w:after="0"/>
              <w:ind w:left="0"/>
              <w:jc w:val="left"/>
              <w:rPr>
                <w:sz w:val="24"/>
                <w:szCs w:val="24"/>
              </w:rPr>
            </w:pPr>
            <w:r w:rsidRPr="00AF5BF6">
              <w:rPr>
                <w:sz w:val="24"/>
                <w:szCs w:val="24"/>
              </w:rPr>
              <w:t>Neuropathy peripheral</w:t>
            </w:r>
          </w:p>
          <w:p w14:paraId="2DFD1882" w14:textId="77777777" w:rsidR="00AF5BF6" w:rsidRPr="00AF5BF6" w:rsidRDefault="00AF5BF6" w:rsidP="00AF5BF6">
            <w:pPr>
              <w:pStyle w:val="BodyTextSMPC"/>
              <w:spacing w:after="0"/>
              <w:ind w:left="0"/>
              <w:jc w:val="left"/>
              <w:rPr>
                <w:sz w:val="24"/>
                <w:szCs w:val="24"/>
              </w:rPr>
            </w:pPr>
            <w:r w:rsidRPr="00AF5BF6">
              <w:rPr>
                <w:sz w:val="24"/>
                <w:szCs w:val="24"/>
              </w:rPr>
              <w:t>Ataxia</w:t>
            </w:r>
          </w:p>
          <w:p w14:paraId="61A209D8" w14:textId="77777777" w:rsidR="00AF5BF6" w:rsidRPr="00AF5BF6" w:rsidRDefault="00AF5BF6" w:rsidP="00AF5BF6">
            <w:pPr>
              <w:pStyle w:val="BodyTextSMPC"/>
              <w:spacing w:after="0"/>
              <w:ind w:left="0"/>
              <w:jc w:val="left"/>
              <w:rPr>
                <w:sz w:val="24"/>
                <w:szCs w:val="24"/>
              </w:rPr>
            </w:pPr>
            <w:r w:rsidRPr="00AF5BF6">
              <w:rPr>
                <w:sz w:val="24"/>
                <w:szCs w:val="24"/>
              </w:rPr>
              <w:t>Dizziness</w:t>
            </w:r>
          </w:p>
          <w:p w14:paraId="20607C69" w14:textId="77777777" w:rsidR="00AF5BF6" w:rsidRPr="00AF5BF6" w:rsidRDefault="00AF5BF6" w:rsidP="00AF5BF6">
            <w:pPr>
              <w:pStyle w:val="BodyTextSMPC"/>
              <w:spacing w:after="0"/>
              <w:ind w:left="0"/>
              <w:jc w:val="left"/>
              <w:rPr>
                <w:sz w:val="24"/>
                <w:szCs w:val="24"/>
              </w:rPr>
            </w:pPr>
            <w:r w:rsidRPr="00AF5BF6">
              <w:rPr>
                <w:sz w:val="24"/>
                <w:szCs w:val="24"/>
              </w:rPr>
              <w:t>Dysarthria</w:t>
            </w:r>
          </w:p>
          <w:p w14:paraId="309192ED" w14:textId="77777777" w:rsidR="00AF5BF6" w:rsidRPr="00AF5BF6" w:rsidRDefault="00AF5BF6" w:rsidP="00AF5BF6">
            <w:pPr>
              <w:pStyle w:val="BodyTextSMPC"/>
              <w:spacing w:after="0"/>
              <w:ind w:left="0"/>
              <w:jc w:val="left"/>
              <w:rPr>
                <w:sz w:val="24"/>
                <w:szCs w:val="24"/>
              </w:rPr>
            </w:pPr>
            <w:proofErr w:type="spellStart"/>
            <w:r w:rsidRPr="00AF5BF6">
              <w:rPr>
                <w:sz w:val="24"/>
                <w:szCs w:val="24"/>
              </w:rPr>
              <w:lastRenderedPageBreak/>
              <w:t>Hypoaesthesia</w:t>
            </w:r>
            <w:proofErr w:type="spellEnd"/>
          </w:p>
          <w:p w14:paraId="5BBE4C36" w14:textId="77777777" w:rsidR="00AF5BF6" w:rsidRPr="00AF5BF6" w:rsidRDefault="00AF5BF6" w:rsidP="00AF5BF6">
            <w:pPr>
              <w:pStyle w:val="BodyTextSMPC"/>
              <w:spacing w:after="0"/>
              <w:ind w:left="0"/>
              <w:jc w:val="left"/>
              <w:rPr>
                <w:sz w:val="24"/>
                <w:szCs w:val="24"/>
              </w:rPr>
            </w:pPr>
            <w:proofErr w:type="spellStart"/>
            <w:r w:rsidRPr="00AF5BF6">
              <w:rPr>
                <w:sz w:val="24"/>
                <w:szCs w:val="24"/>
              </w:rPr>
              <w:t>Paraesthesia</w:t>
            </w:r>
            <w:proofErr w:type="spellEnd"/>
          </w:p>
        </w:tc>
        <w:tc>
          <w:tcPr>
            <w:tcW w:w="1272" w:type="pct"/>
            <w:tcBorders>
              <w:top w:val="outset" w:sz="6" w:space="0" w:color="auto"/>
              <w:left w:val="outset" w:sz="6" w:space="0" w:color="auto"/>
              <w:bottom w:val="outset" w:sz="6" w:space="0" w:color="auto"/>
              <w:right w:val="outset" w:sz="6" w:space="0" w:color="auto"/>
            </w:tcBorders>
            <w:hideMark/>
          </w:tcPr>
          <w:p w14:paraId="2E7EA3B6" w14:textId="77777777" w:rsidR="00AF5BF6" w:rsidRPr="00AF5BF6" w:rsidRDefault="00AF5BF6" w:rsidP="00AF5BF6">
            <w:pPr>
              <w:pStyle w:val="BodyTextSMPC"/>
              <w:spacing w:after="0"/>
              <w:ind w:left="0"/>
              <w:jc w:val="left"/>
              <w:rPr>
                <w:sz w:val="24"/>
                <w:szCs w:val="24"/>
              </w:rPr>
            </w:pPr>
            <w:r w:rsidRPr="00AF5BF6">
              <w:rPr>
                <w:sz w:val="24"/>
                <w:szCs w:val="24"/>
              </w:rPr>
              <w:lastRenderedPageBreak/>
              <w:t>common</w:t>
            </w:r>
          </w:p>
          <w:p w14:paraId="4B5B4CC4" w14:textId="77777777" w:rsidR="00AF5BF6" w:rsidRPr="00AF5BF6" w:rsidRDefault="00AF5BF6" w:rsidP="00AF5BF6">
            <w:pPr>
              <w:pStyle w:val="BodyTextSMPC"/>
              <w:spacing w:after="0"/>
              <w:ind w:left="0"/>
              <w:jc w:val="left"/>
              <w:rPr>
                <w:sz w:val="24"/>
                <w:szCs w:val="24"/>
              </w:rPr>
            </w:pPr>
            <w:r w:rsidRPr="00AF5BF6">
              <w:rPr>
                <w:sz w:val="24"/>
                <w:szCs w:val="24"/>
              </w:rPr>
              <w:t>uncommon</w:t>
            </w:r>
          </w:p>
          <w:p w14:paraId="089CD845"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0421731C"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1249BAD0"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31907589"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0DF9D68C"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4A8812A"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0F700CF7"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58AE1800"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29DBA1A7" w14:textId="77777777" w:rsidR="00AF5BF6" w:rsidRPr="00AF5BF6" w:rsidRDefault="00AF5BF6" w:rsidP="00AF5BF6">
            <w:pPr>
              <w:pStyle w:val="BodyTextSMPC"/>
              <w:spacing w:after="0"/>
              <w:ind w:left="0"/>
              <w:jc w:val="left"/>
              <w:rPr>
                <w:sz w:val="24"/>
                <w:szCs w:val="24"/>
              </w:rPr>
            </w:pPr>
            <w:r w:rsidRPr="00AF5BF6">
              <w:rPr>
                <w:sz w:val="24"/>
                <w:szCs w:val="24"/>
              </w:rPr>
              <w:lastRenderedPageBreak/>
              <w:t>not known</w:t>
            </w:r>
          </w:p>
          <w:p w14:paraId="69D53B7D"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0B1B8D52"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31822796" w14:textId="77777777" w:rsidR="00AF5BF6" w:rsidRPr="00AF5BF6" w:rsidRDefault="00AF5BF6" w:rsidP="00AF5BF6">
            <w:pPr>
              <w:pStyle w:val="BodyTextSMPC"/>
              <w:spacing w:after="0"/>
              <w:ind w:left="0"/>
              <w:jc w:val="left"/>
              <w:rPr>
                <w:sz w:val="24"/>
                <w:szCs w:val="24"/>
              </w:rPr>
            </w:pPr>
            <w:r w:rsidRPr="00AF5BF6">
              <w:rPr>
                <w:sz w:val="24"/>
                <w:szCs w:val="24"/>
              </w:rPr>
              <w:lastRenderedPageBreak/>
              <w:t>Eye Disorders</w:t>
            </w:r>
          </w:p>
        </w:tc>
        <w:tc>
          <w:tcPr>
            <w:tcW w:w="1948" w:type="pct"/>
            <w:tcBorders>
              <w:top w:val="outset" w:sz="6" w:space="0" w:color="auto"/>
              <w:left w:val="outset" w:sz="6" w:space="0" w:color="auto"/>
              <w:bottom w:val="outset" w:sz="6" w:space="0" w:color="auto"/>
              <w:right w:val="outset" w:sz="6" w:space="0" w:color="auto"/>
            </w:tcBorders>
            <w:hideMark/>
          </w:tcPr>
          <w:p w14:paraId="69356315" w14:textId="77777777" w:rsidR="00AF5BF6" w:rsidRPr="00AF5BF6" w:rsidRDefault="00AF5BF6" w:rsidP="00AF5BF6">
            <w:pPr>
              <w:pStyle w:val="BodyTextSMPC"/>
              <w:spacing w:after="0"/>
              <w:ind w:left="0"/>
              <w:jc w:val="left"/>
              <w:rPr>
                <w:sz w:val="24"/>
                <w:szCs w:val="24"/>
              </w:rPr>
            </w:pPr>
            <w:r w:rsidRPr="00AF5BF6">
              <w:rPr>
                <w:sz w:val="24"/>
                <w:szCs w:val="24"/>
              </w:rPr>
              <w:t>Optic neuropathy</w:t>
            </w:r>
          </w:p>
          <w:p w14:paraId="4027024F" w14:textId="77777777" w:rsidR="00AF5BF6" w:rsidRPr="00AF5BF6" w:rsidRDefault="00AF5BF6" w:rsidP="00AF5BF6">
            <w:pPr>
              <w:pStyle w:val="BodyTextSMPC"/>
              <w:spacing w:after="0"/>
              <w:ind w:left="0"/>
              <w:jc w:val="left"/>
              <w:rPr>
                <w:sz w:val="24"/>
                <w:szCs w:val="24"/>
              </w:rPr>
            </w:pPr>
            <w:r w:rsidRPr="00AF5BF6">
              <w:rPr>
                <w:sz w:val="24"/>
                <w:szCs w:val="24"/>
              </w:rPr>
              <w:t>Diplopia</w:t>
            </w:r>
          </w:p>
          <w:p w14:paraId="339056D5" w14:textId="77777777" w:rsidR="00AF5BF6" w:rsidRPr="00AF5BF6" w:rsidRDefault="00AF5BF6" w:rsidP="00AF5BF6">
            <w:pPr>
              <w:pStyle w:val="BodyTextSMPC"/>
              <w:spacing w:after="0"/>
              <w:ind w:left="0"/>
              <w:jc w:val="left"/>
              <w:rPr>
                <w:sz w:val="24"/>
                <w:szCs w:val="24"/>
              </w:rPr>
            </w:pPr>
            <w:r w:rsidRPr="00AF5BF6">
              <w:rPr>
                <w:sz w:val="24"/>
                <w:szCs w:val="24"/>
              </w:rPr>
              <w:t>Myopia</w:t>
            </w:r>
          </w:p>
        </w:tc>
        <w:tc>
          <w:tcPr>
            <w:tcW w:w="1272" w:type="pct"/>
            <w:tcBorders>
              <w:top w:val="outset" w:sz="6" w:space="0" w:color="auto"/>
              <w:left w:val="outset" w:sz="6" w:space="0" w:color="auto"/>
              <w:bottom w:val="outset" w:sz="6" w:space="0" w:color="auto"/>
              <w:right w:val="outset" w:sz="6" w:space="0" w:color="auto"/>
            </w:tcBorders>
            <w:hideMark/>
          </w:tcPr>
          <w:p w14:paraId="436003D1"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557F4BFB"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0F92BAF9" w14:textId="77777777" w:rsidR="00AF5BF6" w:rsidRPr="00AF5BF6" w:rsidRDefault="00AF5BF6" w:rsidP="00AF5BF6">
            <w:pPr>
              <w:pStyle w:val="BodyTextSMPC"/>
              <w:spacing w:after="0"/>
              <w:ind w:left="0"/>
              <w:jc w:val="left"/>
              <w:rPr>
                <w:sz w:val="24"/>
                <w:szCs w:val="24"/>
              </w:rPr>
            </w:pPr>
            <w:r w:rsidRPr="00AF5BF6">
              <w:rPr>
                <w:sz w:val="24"/>
                <w:szCs w:val="24"/>
              </w:rPr>
              <w:t>rare</w:t>
            </w:r>
          </w:p>
        </w:tc>
      </w:tr>
      <w:tr w:rsidR="00AF5BF6" w:rsidRPr="00AF5BF6" w14:paraId="2875F4B7"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3B09325F" w14:textId="77777777" w:rsidR="00AF5BF6" w:rsidRPr="00AF5BF6" w:rsidRDefault="00AF5BF6" w:rsidP="00AF5BF6">
            <w:pPr>
              <w:pStyle w:val="BodyTextSMPC"/>
              <w:spacing w:after="0"/>
              <w:ind w:left="0"/>
              <w:jc w:val="left"/>
              <w:rPr>
                <w:sz w:val="24"/>
                <w:szCs w:val="24"/>
              </w:rPr>
            </w:pPr>
            <w:r w:rsidRPr="00AF5BF6">
              <w:rPr>
                <w:sz w:val="24"/>
                <w:szCs w:val="24"/>
              </w:rPr>
              <w:t>Cardiac Disorders</w:t>
            </w:r>
          </w:p>
        </w:tc>
        <w:tc>
          <w:tcPr>
            <w:tcW w:w="1948" w:type="pct"/>
            <w:tcBorders>
              <w:top w:val="outset" w:sz="6" w:space="0" w:color="auto"/>
              <w:left w:val="outset" w:sz="6" w:space="0" w:color="auto"/>
              <w:bottom w:val="outset" w:sz="6" w:space="0" w:color="auto"/>
              <w:right w:val="outset" w:sz="6" w:space="0" w:color="auto"/>
            </w:tcBorders>
            <w:hideMark/>
          </w:tcPr>
          <w:p w14:paraId="6ADE2719" w14:textId="77777777" w:rsidR="00AF5BF6" w:rsidRPr="00AF5BF6" w:rsidRDefault="00AF5BF6" w:rsidP="00AF5BF6">
            <w:pPr>
              <w:pStyle w:val="BodyTextSMPC"/>
              <w:spacing w:after="0"/>
              <w:ind w:left="0"/>
              <w:jc w:val="left"/>
              <w:rPr>
                <w:sz w:val="24"/>
                <w:szCs w:val="24"/>
              </w:rPr>
            </w:pPr>
            <w:r w:rsidRPr="00AF5BF6">
              <w:rPr>
                <w:sz w:val="24"/>
                <w:szCs w:val="24"/>
              </w:rPr>
              <w:t>Tachycardia</w:t>
            </w:r>
          </w:p>
          <w:p w14:paraId="678ED9F3" w14:textId="77777777" w:rsidR="00AF5BF6" w:rsidRPr="00AF5BF6" w:rsidRDefault="00AF5BF6" w:rsidP="00AF5BF6">
            <w:pPr>
              <w:pStyle w:val="BodyTextSMPC"/>
              <w:spacing w:after="0"/>
              <w:ind w:left="0"/>
              <w:jc w:val="left"/>
              <w:rPr>
                <w:sz w:val="24"/>
                <w:szCs w:val="24"/>
              </w:rPr>
            </w:pPr>
            <w:r w:rsidRPr="00AF5BF6">
              <w:rPr>
                <w:sz w:val="24"/>
                <w:szCs w:val="24"/>
              </w:rPr>
              <w:t>Palpitations</w:t>
            </w:r>
          </w:p>
        </w:tc>
        <w:tc>
          <w:tcPr>
            <w:tcW w:w="1272" w:type="pct"/>
            <w:tcBorders>
              <w:top w:val="outset" w:sz="6" w:space="0" w:color="auto"/>
              <w:left w:val="outset" w:sz="6" w:space="0" w:color="auto"/>
              <w:bottom w:val="outset" w:sz="6" w:space="0" w:color="auto"/>
              <w:right w:val="outset" w:sz="6" w:space="0" w:color="auto"/>
            </w:tcBorders>
            <w:hideMark/>
          </w:tcPr>
          <w:p w14:paraId="6E4C2075"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798618E5"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5B7DBB83"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5039DD22" w14:textId="77777777" w:rsidR="00AF5BF6" w:rsidRPr="00AF5BF6" w:rsidRDefault="00AF5BF6" w:rsidP="00AF5BF6">
            <w:pPr>
              <w:pStyle w:val="BodyTextSMPC"/>
              <w:spacing w:after="0"/>
              <w:ind w:left="0"/>
              <w:jc w:val="left"/>
              <w:rPr>
                <w:sz w:val="24"/>
                <w:szCs w:val="24"/>
              </w:rPr>
            </w:pPr>
            <w:r w:rsidRPr="00AF5BF6">
              <w:rPr>
                <w:sz w:val="24"/>
                <w:szCs w:val="24"/>
              </w:rPr>
              <w:t>Respiratory, Thoracic and Mediastinal Disorders</w:t>
            </w:r>
          </w:p>
        </w:tc>
        <w:tc>
          <w:tcPr>
            <w:tcW w:w="1948" w:type="pct"/>
            <w:tcBorders>
              <w:top w:val="outset" w:sz="6" w:space="0" w:color="auto"/>
              <w:left w:val="outset" w:sz="6" w:space="0" w:color="auto"/>
              <w:bottom w:val="outset" w:sz="6" w:space="0" w:color="auto"/>
              <w:right w:val="outset" w:sz="6" w:space="0" w:color="auto"/>
            </w:tcBorders>
            <w:hideMark/>
          </w:tcPr>
          <w:p w14:paraId="56E53439" w14:textId="77777777" w:rsidR="00AF5BF6" w:rsidRPr="00AF5BF6" w:rsidRDefault="00AF5BF6" w:rsidP="00AF5BF6">
            <w:pPr>
              <w:pStyle w:val="BodyTextSMPC"/>
              <w:spacing w:after="0"/>
              <w:ind w:left="0"/>
              <w:jc w:val="left"/>
              <w:rPr>
                <w:sz w:val="24"/>
                <w:szCs w:val="24"/>
              </w:rPr>
            </w:pPr>
            <w:proofErr w:type="spellStart"/>
            <w:r w:rsidRPr="00AF5BF6">
              <w:rPr>
                <w:sz w:val="24"/>
                <w:szCs w:val="24"/>
              </w:rPr>
              <w:t>Dyspnoea</w:t>
            </w:r>
            <w:proofErr w:type="spellEnd"/>
          </w:p>
        </w:tc>
        <w:tc>
          <w:tcPr>
            <w:tcW w:w="1272" w:type="pct"/>
            <w:tcBorders>
              <w:top w:val="outset" w:sz="6" w:space="0" w:color="auto"/>
              <w:left w:val="outset" w:sz="6" w:space="0" w:color="auto"/>
              <w:bottom w:val="outset" w:sz="6" w:space="0" w:color="auto"/>
              <w:right w:val="outset" w:sz="6" w:space="0" w:color="auto"/>
            </w:tcBorders>
            <w:hideMark/>
          </w:tcPr>
          <w:p w14:paraId="32114480"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0A49B573"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018F88B4" w14:textId="77777777" w:rsidR="00AF5BF6" w:rsidRPr="00AF5BF6" w:rsidRDefault="00AF5BF6" w:rsidP="00AF5BF6">
            <w:pPr>
              <w:pStyle w:val="BodyTextSMPC"/>
              <w:spacing w:after="0"/>
              <w:ind w:left="0"/>
              <w:jc w:val="left"/>
              <w:rPr>
                <w:sz w:val="24"/>
                <w:szCs w:val="24"/>
              </w:rPr>
            </w:pPr>
            <w:r w:rsidRPr="00AF5BF6">
              <w:rPr>
                <w:sz w:val="24"/>
                <w:szCs w:val="24"/>
              </w:rPr>
              <w:t>Gastrointestinal Disorders</w:t>
            </w:r>
          </w:p>
        </w:tc>
        <w:tc>
          <w:tcPr>
            <w:tcW w:w="1948" w:type="pct"/>
            <w:tcBorders>
              <w:top w:val="outset" w:sz="6" w:space="0" w:color="auto"/>
              <w:left w:val="outset" w:sz="6" w:space="0" w:color="auto"/>
              <w:bottom w:val="outset" w:sz="6" w:space="0" w:color="auto"/>
              <w:right w:val="outset" w:sz="6" w:space="0" w:color="auto"/>
            </w:tcBorders>
            <w:hideMark/>
          </w:tcPr>
          <w:p w14:paraId="7A7C1B62" w14:textId="77777777" w:rsidR="00AF5BF6" w:rsidRPr="00AF5BF6" w:rsidRDefault="00AF5BF6" w:rsidP="00AF5BF6">
            <w:pPr>
              <w:pStyle w:val="BodyTextSMPC"/>
              <w:spacing w:after="0"/>
              <w:ind w:left="0"/>
              <w:jc w:val="left"/>
              <w:rPr>
                <w:sz w:val="24"/>
                <w:szCs w:val="24"/>
              </w:rPr>
            </w:pPr>
            <w:r w:rsidRPr="00AF5BF6">
              <w:rPr>
                <w:sz w:val="24"/>
                <w:szCs w:val="24"/>
              </w:rPr>
              <w:t>Glossitis</w:t>
            </w:r>
          </w:p>
          <w:p w14:paraId="06336F13" w14:textId="77777777" w:rsidR="00AF5BF6" w:rsidRPr="00AF5BF6" w:rsidRDefault="00AF5BF6" w:rsidP="00AF5BF6">
            <w:pPr>
              <w:pStyle w:val="BodyTextSMPC"/>
              <w:spacing w:after="0"/>
              <w:ind w:left="0"/>
              <w:jc w:val="left"/>
              <w:rPr>
                <w:sz w:val="24"/>
                <w:szCs w:val="24"/>
              </w:rPr>
            </w:pPr>
            <w:r w:rsidRPr="00AF5BF6">
              <w:rPr>
                <w:sz w:val="24"/>
                <w:szCs w:val="24"/>
              </w:rPr>
              <w:t>Stomatitis</w:t>
            </w:r>
          </w:p>
          <w:p w14:paraId="7E38DD47" w14:textId="77777777" w:rsidR="00AF5BF6" w:rsidRPr="00AF5BF6" w:rsidRDefault="00AF5BF6" w:rsidP="00AF5BF6">
            <w:pPr>
              <w:pStyle w:val="BodyTextSMPC"/>
              <w:spacing w:after="0"/>
              <w:ind w:left="0"/>
              <w:jc w:val="left"/>
              <w:rPr>
                <w:sz w:val="24"/>
                <w:szCs w:val="24"/>
              </w:rPr>
            </w:pPr>
            <w:r w:rsidRPr="00AF5BF6">
              <w:rPr>
                <w:sz w:val="24"/>
                <w:szCs w:val="24"/>
              </w:rPr>
              <w:t>Dry mouth</w:t>
            </w:r>
          </w:p>
          <w:p w14:paraId="668DE187" w14:textId="77777777" w:rsidR="00AF5BF6" w:rsidRPr="00AF5BF6" w:rsidRDefault="00AF5BF6" w:rsidP="00AF5BF6">
            <w:pPr>
              <w:pStyle w:val="BodyTextSMPC"/>
              <w:spacing w:after="0"/>
              <w:ind w:left="0"/>
              <w:jc w:val="left"/>
              <w:rPr>
                <w:sz w:val="24"/>
                <w:szCs w:val="24"/>
              </w:rPr>
            </w:pPr>
            <w:r w:rsidRPr="00AF5BF6">
              <w:rPr>
                <w:sz w:val="24"/>
                <w:szCs w:val="24"/>
              </w:rPr>
              <w:t>Pancreatitis</w:t>
            </w:r>
          </w:p>
          <w:p w14:paraId="6C11F83E" w14:textId="77777777" w:rsidR="00AF5BF6" w:rsidRPr="00AF5BF6" w:rsidRDefault="00AF5BF6" w:rsidP="00AF5BF6">
            <w:pPr>
              <w:pStyle w:val="BodyTextSMPC"/>
              <w:spacing w:after="0"/>
              <w:ind w:left="0"/>
              <w:jc w:val="left"/>
              <w:rPr>
                <w:sz w:val="24"/>
                <w:szCs w:val="24"/>
              </w:rPr>
            </w:pPr>
            <w:r w:rsidRPr="00AF5BF6">
              <w:rPr>
                <w:sz w:val="24"/>
                <w:szCs w:val="24"/>
              </w:rPr>
              <w:t>Abdominal pain upper</w:t>
            </w:r>
          </w:p>
          <w:p w14:paraId="086D5A90" w14:textId="77777777" w:rsidR="00AF5BF6" w:rsidRPr="00AF5BF6" w:rsidRDefault="00AF5BF6" w:rsidP="00AF5BF6">
            <w:pPr>
              <w:pStyle w:val="BodyTextSMPC"/>
              <w:spacing w:after="0"/>
              <w:ind w:left="0"/>
              <w:jc w:val="left"/>
              <w:rPr>
                <w:sz w:val="24"/>
                <w:szCs w:val="24"/>
              </w:rPr>
            </w:pPr>
            <w:proofErr w:type="spellStart"/>
            <w:r w:rsidRPr="00AF5BF6">
              <w:rPr>
                <w:sz w:val="24"/>
                <w:szCs w:val="24"/>
              </w:rPr>
              <w:t>Diarrhoea</w:t>
            </w:r>
            <w:proofErr w:type="spellEnd"/>
          </w:p>
          <w:p w14:paraId="6637F97D" w14:textId="77777777" w:rsidR="00AF5BF6" w:rsidRPr="00AF5BF6" w:rsidRDefault="00AF5BF6" w:rsidP="00AF5BF6">
            <w:pPr>
              <w:pStyle w:val="BodyTextSMPC"/>
              <w:spacing w:after="0"/>
              <w:ind w:left="0"/>
              <w:jc w:val="left"/>
              <w:rPr>
                <w:sz w:val="24"/>
                <w:szCs w:val="24"/>
              </w:rPr>
            </w:pPr>
            <w:r w:rsidRPr="00AF5BF6">
              <w:rPr>
                <w:sz w:val="24"/>
                <w:szCs w:val="24"/>
              </w:rPr>
              <w:t>Nausea</w:t>
            </w:r>
          </w:p>
          <w:p w14:paraId="0C6B0C93" w14:textId="77777777" w:rsidR="00AF5BF6" w:rsidRPr="00AF5BF6" w:rsidRDefault="00AF5BF6" w:rsidP="00AF5BF6">
            <w:pPr>
              <w:pStyle w:val="BodyTextSMPC"/>
              <w:spacing w:after="0"/>
              <w:ind w:left="0"/>
              <w:jc w:val="left"/>
              <w:rPr>
                <w:sz w:val="24"/>
                <w:szCs w:val="24"/>
              </w:rPr>
            </w:pPr>
            <w:r w:rsidRPr="00AF5BF6">
              <w:rPr>
                <w:sz w:val="24"/>
                <w:szCs w:val="24"/>
              </w:rPr>
              <w:t>Vomiting</w:t>
            </w:r>
          </w:p>
          <w:p w14:paraId="01CE26EB" w14:textId="77777777" w:rsidR="00AF5BF6" w:rsidRPr="00AF5BF6" w:rsidRDefault="00AF5BF6" w:rsidP="00AF5BF6">
            <w:pPr>
              <w:pStyle w:val="BodyTextSMPC"/>
              <w:spacing w:after="0"/>
              <w:ind w:left="0"/>
              <w:jc w:val="left"/>
              <w:rPr>
                <w:sz w:val="24"/>
                <w:szCs w:val="24"/>
              </w:rPr>
            </w:pPr>
            <w:r w:rsidRPr="00AF5BF6">
              <w:rPr>
                <w:sz w:val="24"/>
                <w:szCs w:val="24"/>
              </w:rPr>
              <w:t>Constipation</w:t>
            </w:r>
          </w:p>
          <w:p w14:paraId="5CB7ABBC" w14:textId="77777777" w:rsidR="00AF5BF6" w:rsidRPr="00AF5BF6" w:rsidRDefault="00AF5BF6" w:rsidP="00AF5BF6">
            <w:pPr>
              <w:pStyle w:val="BodyTextSMPC"/>
              <w:spacing w:after="0"/>
              <w:ind w:left="0"/>
              <w:jc w:val="left"/>
              <w:rPr>
                <w:sz w:val="24"/>
                <w:szCs w:val="24"/>
              </w:rPr>
            </w:pPr>
            <w:r w:rsidRPr="00AF5BF6">
              <w:rPr>
                <w:sz w:val="24"/>
                <w:szCs w:val="24"/>
              </w:rPr>
              <w:t>Tongue discoloration</w:t>
            </w:r>
          </w:p>
        </w:tc>
        <w:tc>
          <w:tcPr>
            <w:tcW w:w="1272" w:type="pct"/>
            <w:tcBorders>
              <w:top w:val="outset" w:sz="6" w:space="0" w:color="auto"/>
              <w:left w:val="outset" w:sz="6" w:space="0" w:color="auto"/>
              <w:bottom w:val="outset" w:sz="6" w:space="0" w:color="auto"/>
              <w:right w:val="outset" w:sz="6" w:space="0" w:color="auto"/>
            </w:tcBorders>
            <w:hideMark/>
          </w:tcPr>
          <w:p w14:paraId="0D442524" w14:textId="77777777" w:rsidR="00AF5BF6" w:rsidRPr="00AF5BF6" w:rsidRDefault="00AF5BF6" w:rsidP="00AF5BF6">
            <w:pPr>
              <w:pStyle w:val="BodyTextSMPC"/>
              <w:spacing w:after="0"/>
              <w:ind w:left="0"/>
              <w:jc w:val="left"/>
              <w:rPr>
                <w:sz w:val="24"/>
                <w:szCs w:val="24"/>
              </w:rPr>
            </w:pPr>
            <w:r w:rsidRPr="00AF5BF6">
              <w:rPr>
                <w:sz w:val="24"/>
                <w:szCs w:val="24"/>
              </w:rPr>
              <w:t>common</w:t>
            </w:r>
          </w:p>
          <w:p w14:paraId="0A519865" w14:textId="77777777" w:rsidR="00AF5BF6" w:rsidRPr="00AF5BF6" w:rsidRDefault="00AF5BF6" w:rsidP="00AF5BF6">
            <w:pPr>
              <w:pStyle w:val="BodyTextSMPC"/>
              <w:spacing w:after="0"/>
              <w:ind w:left="0"/>
              <w:jc w:val="left"/>
              <w:rPr>
                <w:sz w:val="24"/>
                <w:szCs w:val="24"/>
              </w:rPr>
            </w:pPr>
            <w:r w:rsidRPr="00AF5BF6">
              <w:rPr>
                <w:sz w:val="24"/>
                <w:szCs w:val="24"/>
              </w:rPr>
              <w:t>common</w:t>
            </w:r>
          </w:p>
          <w:p w14:paraId="775004A6" w14:textId="77777777" w:rsidR="00AF5BF6" w:rsidRPr="00AF5BF6" w:rsidRDefault="00AF5BF6" w:rsidP="00AF5BF6">
            <w:pPr>
              <w:pStyle w:val="BodyTextSMPC"/>
              <w:spacing w:after="0"/>
              <w:ind w:left="0"/>
              <w:jc w:val="left"/>
              <w:rPr>
                <w:sz w:val="24"/>
                <w:szCs w:val="24"/>
              </w:rPr>
            </w:pPr>
            <w:r w:rsidRPr="00AF5BF6">
              <w:rPr>
                <w:sz w:val="24"/>
                <w:szCs w:val="24"/>
              </w:rPr>
              <w:t>common</w:t>
            </w:r>
          </w:p>
          <w:p w14:paraId="53CF49B7"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524BE398"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467308F"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5BEBED5"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1ABC5E6"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75D3DE32"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5C00159B"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10A6DA33"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48C2C3F6" w14:textId="77777777" w:rsidR="00AF5BF6" w:rsidRPr="00AF5BF6" w:rsidRDefault="00AF5BF6" w:rsidP="00AF5BF6">
            <w:pPr>
              <w:pStyle w:val="BodyTextSMPC"/>
              <w:spacing w:after="0"/>
              <w:ind w:left="0"/>
              <w:jc w:val="left"/>
              <w:rPr>
                <w:sz w:val="24"/>
                <w:szCs w:val="24"/>
              </w:rPr>
            </w:pPr>
            <w:r w:rsidRPr="00AF5BF6">
              <w:rPr>
                <w:sz w:val="24"/>
                <w:szCs w:val="24"/>
              </w:rPr>
              <w:t>Hepatobiliary disorders</w:t>
            </w:r>
          </w:p>
        </w:tc>
        <w:tc>
          <w:tcPr>
            <w:tcW w:w="1948" w:type="pct"/>
            <w:tcBorders>
              <w:top w:val="outset" w:sz="6" w:space="0" w:color="auto"/>
              <w:left w:val="outset" w:sz="6" w:space="0" w:color="auto"/>
              <w:bottom w:val="outset" w:sz="6" w:space="0" w:color="auto"/>
              <w:right w:val="outset" w:sz="6" w:space="0" w:color="auto"/>
            </w:tcBorders>
            <w:hideMark/>
          </w:tcPr>
          <w:p w14:paraId="72E47D45" w14:textId="77777777" w:rsidR="00AF5BF6" w:rsidRPr="00AF5BF6" w:rsidRDefault="00AF5BF6" w:rsidP="00AF5BF6">
            <w:pPr>
              <w:pStyle w:val="BodyTextSMPC"/>
              <w:spacing w:after="0"/>
              <w:ind w:left="0"/>
              <w:jc w:val="left"/>
              <w:rPr>
                <w:sz w:val="24"/>
                <w:szCs w:val="24"/>
              </w:rPr>
            </w:pPr>
            <w:r w:rsidRPr="00AF5BF6">
              <w:rPr>
                <w:sz w:val="24"/>
                <w:szCs w:val="24"/>
              </w:rPr>
              <w:t>Jaundice cholestatic</w:t>
            </w:r>
          </w:p>
        </w:tc>
        <w:tc>
          <w:tcPr>
            <w:tcW w:w="1272" w:type="pct"/>
            <w:tcBorders>
              <w:top w:val="outset" w:sz="6" w:space="0" w:color="auto"/>
              <w:left w:val="outset" w:sz="6" w:space="0" w:color="auto"/>
              <w:bottom w:val="outset" w:sz="6" w:space="0" w:color="auto"/>
              <w:right w:val="outset" w:sz="6" w:space="0" w:color="auto"/>
            </w:tcBorders>
            <w:hideMark/>
          </w:tcPr>
          <w:p w14:paraId="42A6B627" w14:textId="77777777" w:rsidR="00AF5BF6" w:rsidRPr="00AF5BF6" w:rsidRDefault="00AF5BF6" w:rsidP="00AF5BF6">
            <w:pPr>
              <w:pStyle w:val="BodyTextSMPC"/>
              <w:spacing w:after="0"/>
              <w:ind w:left="0"/>
              <w:jc w:val="left"/>
              <w:rPr>
                <w:sz w:val="24"/>
                <w:szCs w:val="24"/>
              </w:rPr>
            </w:pPr>
            <w:r w:rsidRPr="00AF5BF6">
              <w:rPr>
                <w:sz w:val="24"/>
                <w:szCs w:val="24"/>
              </w:rPr>
              <w:t>rare</w:t>
            </w:r>
          </w:p>
        </w:tc>
      </w:tr>
      <w:tr w:rsidR="00AF5BF6" w:rsidRPr="00AF5BF6" w14:paraId="1792FB66"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6C0D9CCF" w14:textId="77777777" w:rsidR="00AF5BF6" w:rsidRPr="00AF5BF6" w:rsidRDefault="00AF5BF6" w:rsidP="00AF5BF6">
            <w:pPr>
              <w:pStyle w:val="BodyTextSMPC"/>
              <w:spacing w:after="0"/>
              <w:ind w:left="0"/>
              <w:jc w:val="left"/>
              <w:rPr>
                <w:sz w:val="24"/>
                <w:szCs w:val="24"/>
              </w:rPr>
            </w:pPr>
            <w:r w:rsidRPr="00AF5BF6">
              <w:rPr>
                <w:sz w:val="24"/>
                <w:szCs w:val="24"/>
              </w:rPr>
              <w:t>Skin and Subcutaneous Disorders</w:t>
            </w:r>
          </w:p>
        </w:tc>
        <w:tc>
          <w:tcPr>
            <w:tcW w:w="1948" w:type="pct"/>
            <w:tcBorders>
              <w:top w:val="outset" w:sz="6" w:space="0" w:color="auto"/>
              <w:left w:val="outset" w:sz="6" w:space="0" w:color="auto"/>
              <w:bottom w:val="outset" w:sz="6" w:space="0" w:color="auto"/>
              <w:right w:val="outset" w:sz="6" w:space="0" w:color="auto"/>
            </w:tcBorders>
            <w:hideMark/>
          </w:tcPr>
          <w:p w14:paraId="61459993" w14:textId="77777777" w:rsidR="00AF5BF6" w:rsidRPr="00AF5BF6" w:rsidRDefault="00AF5BF6" w:rsidP="00AF5BF6">
            <w:pPr>
              <w:pStyle w:val="BodyTextSMPC"/>
              <w:spacing w:after="0"/>
              <w:ind w:left="0"/>
              <w:jc w:val="left"/>
              <w:rPr>
                <w:sz w:val="24"/>
                <w:szCs w:val="24"/>
              </w:rPr>
            </w:pPr>
            <w:r w:rsidRPr="00AF5BF6">
              <w:rPr>
                <w:sz w:val="24"/>
                <w:szCs w:val="24"/>
              </w:rPr>
              <w:t>Stevens-Johnson syndrome</w:t>
            </w:r>
          </w:p>
          <w:p w14:paraId="4621774A" w14:textId="77777777" w:rsidR="00AF5BF6" w:rsidRPr="00AF5BF6" w:rsidRDefault="00AF5BF6" w:rsidP="00AF5BF6">
            <w:pPr>
              <w:pStyle w:val="BodyTextSMPC"/>
              <w:spacing w:after="0"/>
              <w:ind w:left="0"/>
              <w:jc w:val="left"/>
              <w:rPr>
                <w:sz w:val="24"/>
                <w:szCs w:val="24"/>
              </w:rPr>
            </w:pPr>
            <w:r w:rsidRPr="00AF5BF6">
              <w:rPr>
                <w:sz w:val="24"/>
                <w:szCs w:val="24"/>
              </w:rPr>
              <w:t>Toxic epidermal necrolysis</w:t>
            </w:r>
          </w:p>
          <w:p w14:paraId="0CEA3863" w14:textId="77777777" w:rsidR="00AF5BF6" w:rsidRPr="00AF5BF6" w:rsidRDefault="00AF5BF6" w:rsidP="00AF5BF6">
            <w:pPr>
              <w:pStyle w:val="BodyTextSMPC"/>
              <w:spacing w:after="0"/>
              <w:ind w:left="0"/>
              <w:jc w:val="left"/>
              <w:rPr>
                <w:sz w:val="24"/>
                <w:szCs w:val="24"/>
              </w:rPr>
            </w:pPr>
            <w:r w:rsidRPr="00AF5BF6">
              <w:rPr>
                <w:sz w:val="24"/>
                <w:szCs w:val="24"/>
              </w:rPr>
              <w:t>Angioedema</w:t>
            </w:r>
          </w:p>
          <w:p w14:paraId="1081F407" w14:textId="77777777" w:rsidR="00AF5BF6" w:rsidRPr="00AF5BF6" w:rsidRDefault="00AF5BF6" w:rsidP="00AF5BF6">
            <w:pPr>
              <w:pStyle w:val="BodyTextSMPC"/>
              <w:spacing w:after="0"/>
              <w:ind w:left="0"/>
              <w:jc w:val="left"/>
              <w:rPr>
                <w:sz w:val="24"/>
                <w:szCs w:val="24"/>
              </w:rPr>
            </w:pPr>
            <w:r w:rsidRPr="00AF5BF6">
              <w:rPr>
                <w:sz w:val="24"/>
                <w:szCs w:val="24"/>
              </w:rPr>
              <w:t>Erythema multiforme</w:t>
            </w:r>
          </w:p>
          <w:p w14:paraId="647B5DA6" w14:textId="77777777" w:rsidR="00AF5BF6" w:rsidRPr="00AF5BF6" w:rsidRDefault="00AF5BF6" w:rsidP="00AF5BF6">
            <w:pPr>
              <w:pStyle w:val="BodyTextSMPC"/>
              <w:spacing w:after="0"/>
              <w:ind w:left="0"/>
              <w:jc w:val="left"/>
              <w:rPr>
                <w:sz w:val="24"/>
                <w:szCs w:val="24"/>
              </w:rPr>
            </w:pPr>
            <w:r w:rsidRPr="00AF5BF6">
              <w:rPr>
                <w:sz w:val="24"/>
                <w:szCs w:val="24"/>
              </w:rPr>
              <w:t>Pruritus</w:t>
            </w:r>
          </w:p>
          <w:p w14:paraId="6BC4907B" w14:textId="77777777" w:rsidR="00AF5BF6" w:rsidRPr="00AF5BF6" w:rsidRDefault="00AF5BF6" w:rsidP="00AF5BF6">
            <w:pPr>
              <w:pStyle w:val="BodyTextSMPC"/>
              <w:spacing w:after="0"/>
              <w:ind w:left="0"/>
              <w:jc w:val="left"/>
              <w:rPr>
                <w:sz w:val="24"/>
                <w:szCs w:val="24"/>
              </w:rPr>
            </w:pPr>
            <w:r w:rsidRPr="00AF5BF6">
              <w:rPr>
                <w:sz w:val="24"/>
                <w:szCs w:val="24"/>
              </w:rPr>
              <w:t>Swelling face</w:t>
            </w:r>
          </w:p>
          <w:p w14:paraId="6EE79D17" w14:textId="77777777" w:rsidR="00AF5BF6" w:rsidRPr="00AF5BF6" w:rsidRDefault="00AF5BF6" w:rsidP="00AF5BF6">
            <w:pPr>
              <w:pStyle w:val="BodyTextSMPC"/>
              <w:spacing w:after="0"/>
              <w:ind w:left="0"/>
              <w:jc w:val="left"/>
              <w:rPr>
                <w:sz w:val="24"/>
                <w:szCs w:val="24"/>
              </w:rPr>
            </w:pPr>
            <w:r w:rsidRPr="00AF5BF6">
              <w:rPr>
                <w:sz w:val="24"/>
                <w:szCs w:val="24"/>
              </w:rPr>
              <w:t>Urticaria</w:t>
            </w:r>
          </w:p>
          <w:p w14:paraId="46827676" w14:textId="77777777" w:rsidR="00AF5BF6" w:rsidRPr="00AF5BF6" w:rsidRDefault="00AF5BF6" w:rsidP="00AF5BF6">
            <w:pPr>
              <w:pStyle w:val="BodyTextSMPC"/>
              <w:spacing w:after="0"/>
              <w:ind w:left="0"/>
              <w:jc w:val="left"/>
              <w:rPr>
                <w:sz w:val="24"/>
                <w:szCs w:val="24"/>
              </w:rPr>
            </w:pPr>
            <w:r w:rsidRPr="00AF5BF6">
              <w:rPr>
                <w:sz w:val="24"/>
                <w:szCs w:val="24"/>
              </w:rPr>
              <w:t>Hyperhidrosis</w:t>
            </w:r>
          </w:p>
          <w:p w14:paraId="1607777E" w14:textId="77777777" w:rsidR="00AF5BF6" w:rsidRPr="00AF5BF6" w:rsidRDefault="00AF5BF6" w:rsidP="00AF5BF6">
            <w:pPr>
              <w:pStyle w:val="BodyTextSMPC"/>
              <w:spacing w:after="0"/>
              <w:ind w:left="0"/>
              <w:jc w:val="left"/>
              <w:rPr>
                <w:sz w:val="24"/>
                <w:szCs w:val="24"/>
              </w:rPr>
            </w:pPr>
            <w:r w:rsidRPr="00AF5BF6">
              <w:rPr>
                <w:sz w:val="24"/>
                <w:szCs w:val="24"/>
              </w:rPr>
              <w:t>Rash</w:t>
            </w:r>
          </w:p>
        </w:tc>
        <w:tc>
          <w:tcPr>
            <w:tcW w:w="1272" w:type="pct"/>
            <w:tcBorders>
              <w:top w:val="outset" w:sz="6" w:space="0" w:color="auto"/>
              <w:left w:val="outset" w:sz="6" w:space="0" w:color="auto"/>
              <w:bottom w:val="outset" w:sz="6" w:space="0" w:color="auto"/>
              <w:right w:val="outset" w:sz="6" w:space="0" w:color="auto"/>
            </w:tcBorders>
            <w:hideMark/>
          </w:tcPr>
          <w:p w14:paraId="377FE275"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01F797F"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1284D28F"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0C8E6E20"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4F23819D"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20304286"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7674C407"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789126F8"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7390DD9E"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16297113"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7CC33B69" w14:textId="77777777" w:rsidR="00AF5BF6" w:rsidRPr="00AF5BF6" w:rsidRDefault="00AF5BF6" w:rsidP="00AF5BF6">
            <w:pPr>
              <w:pStyle w:val="BodyTextSMPC"/>
              <w:spacing w:after="0"/>
              <w:ind w:left="0"/>
              <w:jc w:val="left"/>
              <w:rPr>
                <w:sz w:val="24"/>
                <w:szCs w:val="24"/>
              </w:rPr>
            </w:pPr>
            <w:r w:rsidRPr="00AF5BF6">
              <w:rPr>
                <w:sz w:val="24"/>
                <w:szCs w:val="24"/>
              </w:rPr>
              <w:t>Musculoskeletal and Connective Tissue Disorders</w:t>
            </w:r>
          </w:p>
        </w:tc>
        <w:tc>
          <w:tcPr>
            <w:tcW w:w="1948" w:type="pct"/>
            <w:tcBorders>
              <w:top w:val="outset" w:sz="6" w:space="0" w:color="auto"/>
              <w:left w:val="outset" w:sz="6" w:space="0" w:color="auto"/>
              <w:bottom w:val="outset" w:sz="6" w:space="0" w:color="auto"/>
              <w:right w:val="outset" w:sz="6" w:space="0" w:color="auto"/>
            </w:tcBorders>
            <w:hideMark/>
          </w:tcPr>
          <w:p w14:paraId="68CB36A9" w14:textId="77777777" w:rsidR="00AF5BF6" w:rsidRPr="00AF5BF6" w:rsidRDefault="00AF5BF6" w:rsidP="00AF5BF6">
            <w:pPr>
              <w:pStyle w:val="BodyTextSMPC"/>
              <w:spacing w:after="0"/>
              <w:ind w:left="0"/>
              <w:jc w:val="left"/>
              <w:rPr>
                <w:sz w:val="24"/>
                <w:szCs w:val="24"/>
              </w:rPr>
            </w:pPr>
            <w:r w:rsidRPr="00AF5BF6">
              <w:rPr>
                <w:sz w:val="24"/>
                <w:szCs w:val="24"/>
              </w:rPr>
              <w:t>Myalgia</w:t>
            </w:r>
          </w:p>
          <w:p w14:paraId="56FCD3A0" w14:textId="77777777" w:rsidR="00AF5BF6" w:rsidRPr="00AF5BF6" w:rsidRDefault="00AF5BF6" w:rsidP="00AF5BF6">
            <w:pPr>
              <w:pStyle w:val="BodyTextSMPC"/>
              <w:spacing w:after="0"/>
              <w:ind w:left="0"/>
              <w:jc w:val="left"/>
              <w:rPr>
                <w:sz w:val="24"/>
                <w:szCs w:val="24"/>
              </w:rPr>
            </w:pPr>
            <w:r w:rsidRPr="00AF5BF6">
              <w:rPr>
                <w:sz w:val="24"/>
                <w:szCs w:val="24"/>
              </w:rPr>
              <w:t>Muscle spasms</w:t>
            </w:r>
          </w:p>
          <w:p w14:paraId="3C4F7FFC" w14:textId="77777777" w:rsidR="00AF5BF6" w:rsidRPr="00AF5BF6" w:rsidRDefault="00AF5BF6" w:rsidP="00AF5BF6">
            <w:pPr>
              <w:pStyle w:val="BodyTextSMPC"/>
              <w:spacing w:after="0"/>
              <w:ind w:left="0"/>
              <w:jc w:val="left"/>
              <w:rPr>
                <w:sz w:val="24"/>
                <w:szCs w:val="24"/>
              </w:rPr>
            </w:pPr>
            <w:r w:rsidRPr="00AF5BF6">
              <w:rPr>
                <w:sz w:val="24"/>
                <w:szCs w:val="24"/>
              </w:rPr>
              <w:t>Arthralgia</w:t>
            </w:r>
          </w:p>
        </w:tc>
        <w:tc>
          <w:tcPr>
            <w:tcW w:w="1272" w:type="pct"/>
            <w:tcBorders>
              <w:top w:val="outset" w:sz="6" w:space="0" w:color="auto"/>
              <w:left w:val="outset" w:sz="6" w:space="0" w:color="auto"/>
              <w:bottom w:val="outset" w:sz="6" w:space="0" w:color="auto"/>
              <w:right w:val="outset" w:sz="6" w:space="0" w:color="auto"/>
            </w:tcBorders>
            <w:hideMark/>
          </w:tcPr>
          <w:p w14:paraId="50EDBEBD" w14:textId="77777777" w:rsidR="00AF5BF6" w:rsidRPr="00AF5BF6" w:rsidRDefault="00AF5BF6" w:rsidP="00AF5BF6">
            <w:pPr>
              <w:pStyle w:val="BodyTextSMPC"/>
              <w:spacing w:after="0"/>
              <w:ind w:left="0"/>
              <w:jc w:val="left"/>
              <w:rPr>
                <w:sz w:val="24"/>
                <w:szCs w:val="24"/>
              </w:rPr>
            </w:pPr>
            <w:r w:rsidRPr="00AF5BF6">
              <w:rPr>
                <w:sz w:val="24"/>
                <w:szCs w:val="24"/>
              </w:rPr>
              <w:t>common</w:t>
            </w:r>
          </w:p>
          <w:p w14:paraId="4BBB2A7B"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66599802"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610D918F"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4EE3B267" w14:textId="77777777" w:rsidR="00AF5BF6" w:rsidRPr="00AF5BF6" w:rsidRDefault="00AF5BF6" w:rsidP="00AF5BF6">
            <w:pPr>
              <w:pStyle w:val="BodyTextSMPC"/>
              <w:spacing w:after="0"/>
              <w:ind w:left="0"/>
              <w:jc w:val="left"/>
              <w:rPr>
                <w:sz w:val="24"/>
                <w:szCs w:val="24"/>
              </w:rPr>
            </w:pPr>
            <w:r w:rsidRPr="00AF5BF6">
              <w:rPr>
                <w:sz w:val="24"/>
                <w:szCs w:val="24"/>
              </w:rPr>
              <w:t>Renal and urinary disorders</w:t>
            </w:r>
          </w:p>
        </w:tc>
        <w:tc>
          <w:tcPr>
            <w:tcW w:w="1948" w:type="pct"/>
            <w:tcBorders>
              <w:top w:val="outset" w:sz="6" w:space="0" w:color="auto"/>
              <w:left w:val="outset" w:sz="6" w:space="0" w:color="auto"/>
              <w:bottom w:val="outset" w:sz="6" w:space="0" w:color="auto"/>
              <w:right w:val="outset" w:sz="6" w:space="0" w:color="auto"/>
            </w:tcBorders>
            <w:hideMark/>
          </w:tcPr>
          <w:p w14:paraId="104004B8" w14:textId="77777777" w:rsidR="00AF5BF6" w:rsidRPr="00AF5BF6" w:rsidRDefault="00AF5BF6" w:rsidP="00AF5BF6">
            <w:pPr>
              <w:pStyle w:val="BodyTextSMPC"/>
              <w:spacing w:after="0"/>
              <w:ind w:left="0"/>
              <w:jc w:val="left"/>
              <w:rPr>
                <w:sz w:val="24"/>
                <w:szCs w:val="24"/>
              </w:rPr>
            </w:pPr>
            <w:r w:rsidRPr="00AF5BF6">
              <w:rPr>
                <w:sz w:val="24"/>
                <w:szCs w:val="24"/>
              </w:rPr>
              <w:t>Chromaturia</w:t>
            </w:r>
          </w:p>
          <w:p w14:paraId="0301BE85" w14:textId="77777777" w:rsidR="00AF5BF6" w:rsidRPr="00AF5BF6" w:rsidRDefault="00AF5BF6" w:rsidP="00AF5BF6">
            <w:pPr>
              <w:pStyle w:val="BodyTextSMPC"/>
              <w:spacing w:after="0"/>
              <w:ind w:left="0"/>
              <w:jc w:val="left"/>
              <w:rPr>
                <w:sz w:val="24"/>
                <w:szCs w:val="24"/>
              </w:rPr>
            </w:pPr>
            <w:r w:rsidRPr="00AF5BF6">
              <w:rPr>
                <w:sz w:val="24"/>
                <w:szCs w:val="24"/>
              </w:rPr>
              <w:t>Dysuria</w:t>
            </w:r>
          </w:p>
        </w:tc>
        <w:tc>
          <w:tcPr>
            <w:tcW w:w="1272" w:type="pct"/>
            <w:tcBorders>
              <w:top w:val="outset" w:sz="6" w:space="0" w:color="auto"/>
              <w:left w:val="outset" w:sz="6" w:space="0" w:color="auto"/>
              <w:bottom w:val="outset" w:sz="6" w:space="0" w:color="auto"/>
              <w:right w:val="outset" w:sz="6" w:space="0" w:color="auto"/>
            </w:tcBorders>
            <w:hideMark/>
          </w:tcPr>
          <w:p w14:paraId="74F6A637"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35538B23"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5C7D758B"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6095FE9A" w14:textId="77777777" w:rsidR="00AF5BF6" w:rsidRPr="00AF5BF6" w:rsidRDefault="00AF5BF6" w:rsidP="00AF5BF6">
            <w:pPr>
              <w:pStyle w:val="BodyTextSMPC"/>
              <w:spacing w:after="0"/>
              <w:ind w:left="0"/>
              <w:jc w:val="left"/>
              <w:rPr>
                <w:sz w:val="24"/>
                <w:szCs w:val="24"/>
              </w:rPr>
            </w:pPr>
            <w:r w:rsidRPr="00AF5BF6">
              <w:rPr>
                <w:sz w:val="24"/>
                <w:szCs w:val="24"/>
              </w:rPr>
              <w:t>General and Administration Site Conditions</w:t>
            </w:r>
          </w:p>
        </w:tc>
        <w:tc>
          <w:tcPr>
            <w:tcW w:w="1948" w:type="pct"/>
            <w:tcBorders>
              <w:top w:val="outset" w:sz="6" w:space="0" w:color="auto"/>
              <w:left w:val="outset" w:sz="6" w:space="0" w:color="auto"/>
              <w:bottom w:val="outset" w:sz="6" w:space="0" w:color="auto"/>
              <w:right w:val="outset" w:sz="6" w:space="0" w:color="auto"/>
            </w:tcBorders>
            <w:hideMark/>
          </w:tcPr>
          <w:p w14:paraId="75554A1C" w14:textId="77777777" w:rsidR="00AF5BF6" w:rsidRPr="00AF5BF6" w:rsidRDefault="00AF5BF6" w:rsidP="00AF5BF6">
            <w:pPr>
              <w:pStyle w:val="BodyTextSMPC"/>
              <w:spacing w:after="0"/>
              <w:ind w:left="0"/>
              <w:jc w:val="left"/>
              <w:rPr>
                <w:sz w:val="24"/>
                <w:szCs w:val="24"/>
              </w:rPr>
            </w:pPr>
            <w:r w:rsidRPr="00AF5BF6">
              <w:rPr>
                <w:sz w:val="24"/>
                <w:szCs w:val="24"/>
              </w:rPr>
              <w:t>Asthenia</w:t>
            </w:r>
          </w:p>
          <w:p w14:paraId="64091126" w14:textId="77777777" w:rsidR="00AF5BF6" w:rsidRPr="00AF5BF6" w:rsidRDefault="00AF5BF6" w:rsidP="00AF5BF6">
            <w:pPr>
              <w:pStyle w:val="BodyTextSMPC"/>
              <w:spacing w:after="0"/>
              <w:ind w:left="0"/>
              <w:jc w:val="left"/>
              <w:rPr>
                <w:sz w:val="24"/>
                <w:szCs w:val="24"/>
              </w:rPr>
            </w:pPr>
            <w:r w:rsidRPr="00AF5BF6">
              <w:rPr>
                <w:sz w:val="24"/>
                <w:szCs w:val="24"/>
              </w:rPr>
              <w:t>Mucosal inflammation</w:t>
            </w:r>
          </w:p>
          <w:p w14:paraId="4AE3DE1C" w14:textId="77777777" w:rsidR="00AF5BF6" w:rsidRPr="00AF5BF6" w:rsidRDefault="00AF5BF6" w:rsidP="00AF5BF6">
            <w:pPr>
              <w:pStyle w:val="BodyTextSMPC"/>
              <w:spacing w:after="0"/>
              <w:ind w:left="0"/>
              <w:jc w:val="left"/>
              <w:rPr>
                <w:sz w:val="24"/>
                <w:szCs w:val="24"/>
              </w:rPr>
            </w:pPr>
            <w:r w:rsidRPr="00AF5BF6">
              <w:rPr>
                <w:sz w:val="24"/>
                <w:szCs w:val="24"/>
              </w:rPr>
              <w:t>Pyrexia</w:t>
            </w:r>
          </w:p>
          <w:p w14:paraId="22CCA2F4" w14:textId="77777777" w:rsidR="00AF5BF6" w:rsidRPr="00AF5BF6" w:rsidRDefault="00AF5BF6" w:rsidP="00AF5BF6">
            <w:pPr>
              <w:pStyle w:val="BodyTextSMPC"/>
              <w:spacing w:after="0"/>
              <w:ind w:left="0"/>
              <w:jc w:val="left"/>
              <w:rPr>
                <w:sz w:val="24"/>
                <w:szCs w:val="24"/>
              </w:rPr>
            </w:pPr>
            <w:r w:rsidRPr="00AF5BF6">
              <w:rPr>
                <w:sz w:val="24"/>
                <w:szCs w:val="24"/>
              </w:rPr>
              <w:t>Injection site reaction</w:t>
            </w:r>
          </w:p>
          <w:p w14:paraId="1F9428C2" w14:textId="77777777" w:rsidR="00AF5BF6" w:rsidRPr="00AF5BF6" w:rsidRDefault="00AF5BF6" w:rsidP="00AF5BF6">
            <w:pPr>
              <w:pStyle w:val="BodyTextSMPC"/>
              <w:spacing w:after="0"/>
              <w:ind w:left="0"/>
              <w:jc w:val="left"/>
              <w:rPr>
                <w:sz w:val="24"/>
                <w:szCs w:val="24"/>
              </w:rPr>
            </w:pPr>
            <w:r w:rsidRPr="00AF5BF6">
              <w:rPr>
                <w:sz w:val="24"/>
                <w:szCs w:val="24"/>
              </w:rPr>
              <w:t>Malaise</w:t>
            </w:r>
          </w:p>
          <w:p w14:paraId="11EC6436" w14:textId="77777777" w:rsidR="00AF5BF6" w:rsidRPr="00AF5BF6" w:rsidRDefault="00AF5BF6" w:rsidP="00AF5BF6">
            <w:pPr>
              <w:pStyle w:val="BodyTextSMPC"/>
              <w:spacing w:after="0"/>
              <w:ind w:left="0"/>
              <w:jc w:val="left"/>
              <w:rPr>
                <w:sz w:val="24"/>
                <w:szCs w:val="24"/>
              </w:rPr>
            </w:pPr>
            <w:r w:rsidRPr="00AF5BF6">
              <w:rPr>
                <w:sz w:val="24"/>
                <w:szCs w:val="24"/>
              </w:rPr>
              <w:t>Face oedema</w:t>
            </w:r>
          </w:p>
          <w:p w14:paraId="34CD14E7" w14:textId="77777777" w:rsidR="00AF5BF6" w:rsidRPr="00AF5BF6" w:rsidRDefault="00AF5BF6" w:rsidP="00AF5BF6">
            <w:pPr>
              <w:pStyle w:val="BodyTextSMPC"/>
              <w:spacing w:after="0"/>
              <w:ind w:left="0"/>
              <w:jc w:val="left"/>
              <w:rPr>
                <w:sz w:val="24"/>
                <w:szCs w:val="24"/>
              </w:rPr>
            </w:pPr>
            <w:r w:rsidRPr="00AF5BF6">
              <w:rPr>
                <w:sz w:val="24"/>
                <w:szCs w:val="24"/>
              </w:rPr>
              <w:t>Oedema peripheral</w:t>
            </w:r>
          </w:p>
          <w:p w14:paraId="3AA7BEFB" w14:textId="77777777" w:rsidR="00AF5BF6" w:rsidRPr="00AF5BF6" w:rsidRDefault="00AF5BF6" w:rsidP="00AF5BF6">
            <w:pPr>
              <w:pStyle w:val="BodyTextSMPC"/>
              <w:spacing w:after="0"/>
              <w:ind w:left="0"/>
              <w:jc w:val="left"/>
              <w:rPr>
                <w:sz w:val="24"/>
                <w:szCs w:val="24"/>
              </w:rPr>
            </w:pPr>
            <w:r w:rsidRPr="00AF5BF6">
              <w:rPr>
                <w:sz w:val="24"/>
                <w:szCs w:val="24"/>
              </w:rPr>
              <w:t>Chest pain</w:t>
            </w:r>
          </w:p>
          <w:p w14:paraId="50566D96" w14:textId="77777777" w:rsidR="00AF5BF6" w:rsidRPr="00AF5BF6" w:rsidRDefault="00AF5BF6" w:rsidP="00AF5BF6">
            <w:pPr>
              <w:pStyle w:val="BodyTextSMPC"/>
              <w:spacing w:after="0"/>
              <w:ind w:left="0"/>
              <w:jc w:val="left"/>
              <w:rPr>
                <w:sz w:val="24"/>
                <w:szCs w:val="24"/>
              </w:rPr>
            </w:pPr>
            <w:r w:rsidRPr="00AF5BF6">
              <w:rPr>
                <w:sz w:val="24"/>
                <w:szCs w:val="24"/>
              </w:rPr>
              <w:t>Chills</w:t>
            </w:r>
          </w:p>
        </w:tc>
        <w:tc>
          <w:tcPr>
            <w:tcW w:w="1272" w:type="pct"/>
            <w:tcBorders>
              <w:top w:val="outset" w:sz="6" w:space="0" w:color="auto"/>
              <w:left w:val="outset" w:sz="6" w:space="0" w:color="auto"/>
              <w:bottom w:val="outset" w:sz="6" w:space="0" w:color="auto"/>
              <w:right w:val="outset" w:sz="6" w:space="0" w:color="auto"/>
            </w:tcBorders>
            <w:hideMark/>
          </w:tcPr>
          <w:p w14:paraId="1EB6FB7F" w14:textId="77777777" w:rsidR="00AF5BF6" w:rsidRPr="00AF5BF6" w:rsidRDefault="00AF5BF6" w:rsidP="00AF5BF6">
            <w:pPr>
              <w:pStyle w:val="BodyTextSMPC"/>
              <w:spacing w:after="0"/>
              <w:ind w:left="0"/>
              <w:jc w:val="left"/>
              <w:rPr>
                <w:sz w:val="24"/>
                <w:szCs w:val="24"/>
              </w:rPr>
            </w:pPr>
            <w:r w:rsidRPr="00AF5BF6">
              <w:rPr>
                <w:sz w:val="24"/>
                <w:szCs w:val="24"/>
              </w:rPr>
              <w:t>uncommon</w:t>
            </w:r>
          </w:p>
          <w:p w14:paraId="6CDAEF1B"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2613D2F3" w14:textId="77777777" w:rsidR="00AF5BF6" w:rsidRPr="00AF5BF6" w:rsidRDefault="00AF5BF6" w:rsidP="00AF5BF6">
            <w:pPr>
              <w:pStyle w:val="BodyTextSMPC"/>
              <w:spacing w:after="0"/>
              <w:ind w:left="0"/>
              <w:jc w:val="left"/>
              <w:rPr>
                <w:sz w:val="24"/>
                <w:szCs w:val="24"/>
              </w:rPr>
            </w:pPr>
            <w:r w:rsidRPr="00AF5BF6">
              <w:rPr>
                <w:sz w:val="24"/>
                <w:szCs w:val="24"/>
              </w:rPr>
              <w:t>rare</w:t>
            </w:r>
          </w:p>
          <w:p w14:paraId="61907CBB"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7F0E0492"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57D251CB"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3A98C338"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11861975" w14:textId="77777777" w:rsidR="00AF5BF6" w:rsidRPr="00AF5BF6" w:rsidRDefault="00AF5BF6" w:rsidP="00AF5BF6">
            <w:pPr>
              <w:pStyle w:val="BodyTextSMPC"/>
              <w:spacing w:after="0"/>
              <w:ind w:left="0"/>
              <w:jc w:val="left"/>
              <w:rPr>
                <w:sz w:val="24"/>
                <w:szCs w:val="24"/>
              </w:rPr>
            </w:pPr>
            <w:r w:rsidRPr="00AF5BF6">
              <w:rPr>
                <w:sz w:val="24"/>
                <w:szCs w:val="24"/>
              </w:rPr>
              <w:t>not known</w:t>
            </w:r>
          </w:p>
          <w:p w14:paraId="608B565F"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r w:rsidR="00AF5BF6" w:rsidRPr="00AF5BF6" w14:paraId="302B12A4" w14:textId="77777777" w:rsidTr="00F17745">
        <w:trPr>
          <w:tblCellSpacing w:w="0" w:type="dxa"/>
        </w:trPr>
        <w:tc>
          <w:tcPr>
            <w:tcW w:w="1780" w:type="pct"/>
            <w:tcBorders>
              <w:top w:val="outset" w:sz="6" w:space="0" w:color="auto"/>
              <w:left w:val="outset" w:sz="6" w:space="0" w:color="auto"/>
              <w:bottom w:val="outset" w:sz="6" w:space="0" w:color="auto"/>
              <w:right w:val="outset" w:sz="6" w:space="0" w:color="auto"/>
            </w:tcBorders>
            <w:hideMark/>
          </w:tcPr>
          <w:p w14:paraId="54133913" w14:textId="77777777" w:rsidR="00AF5BF6" w:rsidRPr="00AF5BF6" w:rsidRDefault="00AF5BF6" w:rsidP="00AF5BF6">
            <w:pPr>
              <w:pStyle w:val="BodyTextSMPC"/>
              <w:spacing w:after="0"/>
              <w:ind w:left="0"/>
              <w:jc w:val="left"/>
              <w:rPr>
                <w:sz w:val="24"/>
                <w:szCs w:val="24"/>
              </w:rPr>
            </w:pPr>
            <w:r w:rsidRPr="00AF5BF6">
              <w:rPr>
                <w:sz w:val="24"/>
                <w:szCs w:val="24"/>
              </w:rPr>
              <w:lastRenderedPageBreak/>
              <w:t>Investigations</w:t>
            </w:r>
          </w:p>
        </w:tc>
        <w:tc>
          <w:tcPr>
            <w:tcW w:w="1948" w:type="pct"/>
            <w:tcBorders>
              <w:top w:val="outset" w:sz="6" w:space="0" w:color="auto"/>
              <w:left w:val="outset" w:sz="6" w:space="0" w:color="auto"/>
              <w:bottom w:val="outset" w:sz="6" w:space="0" w:color="auto"/>
              <w:right w:val="outset" w:sz="6" w:space="0" w:color="auto"/>
            </w:tcBorders>
            <w:hideMark/>
          </w:tcPr>
          <w:p w14:paraId="0081771B" w14:textId="77777777" w:rsidR="00AF5BF6" w:rsidRPr="00AF5BF6" w:rsidRDefault="00AF5BF6" w:rsidP="00AF5BF6">
            <w:pPr>
              <w:pStyle w:val="BodyTextSMPC"/>
              <w:spacing w:after="0"/>
              <w:ind w:left="0"/>
              <w:jc w:val="left"/>
              <w:rPr>
                <w:sz w:val="24"/>
                <w:szCs w:val="24"/>
              </w:rPr>
            </w:pPr>
            <w:r w:rsidRPr="00AF5BF6">
              <w:rPr>
                <w:sz w:val="24"/>
                <w:szCs w:val="24"/>
              </w:rPr>
              <w:t>Hepatic enzyme increased</w:t>
            </w:r>
          </w:p>
        </w:tc>
        <w:tc>
          <w:tcPr>
            <w:tcW w:w="1272" w:type="pct"/>
            <w:tcBorders>
              <w:top w:val="outset" w:sz="6" w:space="0" w:color="auto"/>
              <w:left w:val="outset" w:sz="6" w:space="0" w:color="auto"/>
              <w:bottom w:val="outset" w:sz="6" w:space="0" w:color="auto"/>
              <w:right w:val="outset" w:sz="6" w:space="0" w:color="auto"/>
            </w:tcBorders>
            <w:hideMark/>
          </w:tcPr>
          <w:p w14:paraId="01C2FB30" w14:textId="77777777" w:rsidR="00AF5BF6" w:rsidRPr="00AF5BF6" w:rsidRDefault="00AF5BF6" w:rsidP="00AF5BF6">
            <w:pPr>
              <w:pStyle w:val="BodyTextSMPC"/>
              <w:spacing w:after="0"/>
              <w:ind w:left="0"/>
              <w:jc w:val="left"/>
              <w:rPr>
                <w:sz w:val="24"/>
                <w:szCs w:val="24"/>
              </w:rPr>
            </w:pPr>
            <w:r w:rsidRPr="00AF5BF6">
              <w:rPr>
                <w:sz w:val="24"/>
                <w:szCs w:val="24"/>
              </w:rPr>
              <w:t>not known</w:t>
            </w:r>
          </w:p>
        </w:tc>
      </w:tr>
    </w:tbl>
    <w:p w14:paraId="0510A93B" w14:textId="19B46E34" w:rsidR="00AF5BF6" w:rsidRDefault="00F17745" w:rsidP="00F17745">
      <w:pPr>
        <w:pStyle w:val="BodyTextSMPC"/>
        <w:spacing w:before="240"/>
      </w:pPr>
      <w:r w:rsidRPr="00F17745">
        <w:t>Cases of severe irreversible hepatotoxicity/acute liver failure, including cases with fatal outcomes with very rapid onset after initiation of systemic use of metronidazole, have been reported in patients with Cockayne Syndrome (see section 4.4).</w:t>
      </w:r>
    </w:p>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AA05A64" w14:textId="1F3E5528" w:rsidR="00CA4A4A" w:rsidRPr="00CA4A4A" w:rsidRDefault="00CA4A4A" w:rsidP="00CA4A4A">
      <w:pPr>
        <w:pStyle w:val="BodyTextSMPC"/>
        <w:rPr>
          <w:b/>
          <w:bCs/>
        </w:rPr>
      </w:pPr>
      <w:r w:rsidRPr="00CA4A4A">
        <w:rPr>
          <w:b/>
          <w:bCs/>
        </w:rPr>
        <w:t>Symptoms</w:t>
      </w:r>
    </w:p>
    <w:p w14:paraId="7161A3EF" w14:textId="35559050" w:rsidR="00CA4A4A" w:rsidRDefault="00CA4A4A" w:rsidP="00CA4A4A">
      <w:pPr>
        <w:pStyle w:val="BodyTextSMPC"/>
      </w:pPr>
      <w:r>
        <w:t xml:space="preserve">In cases of overdose in adults, the clinical symptoms are usually limited to nausea, vomiting and neurotoxic effects, including ataxia, slight disorientation, confusion, seizures and peripheral </w:t>
      </w:r>
      <w:proofErr w:type="spellStart"/>
      <w:r>
        <w:t>neurophathy</w:t>
      </w:r>
      <w:proofErr w:type="spellEnd"/>
      <w:r>
        <w:t>.</w:t>
      </w:r>
    </w:p>
    <w:p w14:paraId="730943B3" w14:textId="2E8E0A0E" w:rsidR="00CA4A4A" w:rsidRPr="00CA4A4A" w:rsidRDefault="00CA4A4A" w:rsidP="00CA4A4A">
      <w:pPr>
        <w:pStyle w:val="BodyTextSMPC"/>
        <w:rPr>
          <w:b/>
          <w:bCs/>
        </w:rPr>
      </w:pPr>
      <w:r w:rsidRPr="00CA4A4A">
        <w:rPr>
          <w:b/>
          <w:bCs/>
        </w:rPr>
        <w:t>Treatment</w:t>
      </w:r>
    </w:p>
    <w:p w14:paraId="779748E9" w14:textId="3BF8D80C" w:rsidR="00227FD4" w:rsidRPr="001D7E5E" w:rsidRDefault="00CA4A4A" w:rsidP="00CA4A4A">
      <w:pPr>
        <w:pStyle w:val="BodyTextSMPC"/>
      </w:pPr>
      <w:r>
        <w:t>There is no specific treatment for Metronidazole overdose, Metronidazole infusion should be discontinued. Patients should be treated symptomatically.</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E26C7C5" w14:textId="04EB0BA9" w:rsidR="00CA4A4A" w:rsidRDefault="00CA4A4A" w:rsidP="00CA4A4A">
      <w:pPr>
        <w:pStyle w:val="BodyTextSMPC"/>
      </w:pPr>
      <w:r>
        <w:t>Metronidazole is an anti-infectious drug belonging to the pharmacotherapeutic group of nitroimidazole derivatives, which have effect mainly on strict anaerobes. This effect is probably caused by interaction with DNS and different metabolites.</w:t>
      </w:r>
    </w:p>
    <w:p w14:paraId="1796C4DF" w14:textId="482B0C3D" w:rsidR="00CA4A4A" w:rsidRDefault="00CA4A4A" w:rsidP="00CA4A4A">
      <w:pPr>
        <w:pStyle w:val="BodyTextSMPC"/>
      </w:pPr>
      <w:r>
        <w:t>Pharmacotherapeutic group: Antibacterials for systemic use: imidazole derivatives</w:t>
      </w:r>
    </w:p>
    <w:p w14:paraId="3426EB61" w14:textId="77777777" w:rsidR="00CA4A4A" w:rsidRDefault="00CA4A4A" w:rsidP="00CA4A4A">
      <w:pPr>
        <w:pStyle w:val="BodyTextSMPC"/>
      </w:pPr>
      <w:r>
        <w:t>ATC Code: J01XD01</w:t>
      </w:r>
    </w:p>
    <w:p w14:paraId="4A27E6DE" w14:textId="0F5DBED6" w:rsidR="00CA4A4A" w:rsidRDefault="00CA4A4A" w:rsidP="00CA4A4A">
      <w:pPr>
        <w:pStyle w:val="BodyTextSMPC"/>
      </w:pPr>
      <w:r>
        <w:lastRenderedPageBreak/>
        <w:t>and</w:t>
      </w:r>
    </w:p>
    <w:p w14:paraId="1D0E36B8" w14:textId="1A6EE226" w:rsidR="00CA4A4A" w:rsidRDefault="00CA4A4A" w:rsidP="00CA4A4A">
      <w:pPr>
        <w:pStyle w:val="BodyTextSMPC"/>
      </w:pPr>
      <w:r>
        <w:t>Pharmacotherapeutic group: Antiprotozoals: nitroimidazole derivatives</w:t>
      </w:r>
    </w:p>
    <w:p w14:paraId="3EBE3231" w14:textId="4556007E" w:rsidR="00CA4A4A" w:rsidRDefault="00CA4A4A" w:rsidP="00CA4A4A">
      <w:pPr>
        <w:pStyle w:val="BodyTextSMPC"/>
      </w:pPr>
      <w:r>
        <w:t>ATC Code: P01AB01.</w:t>
      </w:r>
    </w:p>
    <w:p w14:paraId="47221BFB" w14:textId="6169B159" w:rsidR="00CA4A4A" w:rsidRDefault="00CA4A4A" w:rsidP="00CA4A4A">
      <w:pPr>
        <w:pStyle w:val="BodyTextSMPC"/>
      </w:pPr>
      <w:r>
        <w:t>Metronidazole has antibacterial and antiprotozoal actions and is effective against anaerobic bacteria and against Trichomonas vaginalis and other protozoa including Entamoeba histolytica and Giardia lamblia.</w:t>
      </w:r>
    </w:p>
    <w:p w14:paraId="2980864C" w14:textId="2EC5814B" w:rsidR="00CA4A4A" w:rsidRDefault="00CA4A4A" w:rsidP="00CA4A4A">
      <w:pPr>
        <w:pStyle w:val="BodyTextSMPC"/>
      </w:pPr>
      <w:r>
        <w:t>Anti-Microbial Spectrum:</w:t>
      </w:r>
    </w:p>
    <w:p w14:paraId="7D89D231" w14:textId="69FDEB8B" w:rsidR="00CA4A4A" w:rsidRDefault="00CA4A4A" w:rsidP="00CA4A4A">
      <w:pPr>
        <w:pStyle w:val="BodyTextSMPC"/>
      </w:pPr>
      <w:r>
        <w:t>The MIC breakpoints separating susceptible from intermediately susceptible and intermediately susceptible from resistant organisms are as following:</w:t>
      </w:r>
    </w:p>
    <w:p w14:paraId="75BDF250" w14:textId="4D421068" w:rsidR="00CA4A4A" w:rsidRDefault="00CA4A4A" w:rsidP="00CA4A4A">
      <w:pPr>
        <w:pStyle w:val="BodyTextSMPC"/>
      </w:pPr>
      <w:r>
        <w:t>S ≤ 4 mg/l and R &gt; 4 mg/l</w:t>
      </w:r>
    </w:p>
    <w:p w14:paraId="4F3B96E5" w14:textId="1305D283" w:rsidR="001D7E5E" w:rsidRDefault="00CA4A4A" w:rsidP="00CA4A4A">
      <w:pPr>
        <w:pStyle w:val="BodyTextSMPC"/>
      </w:pPr>
      <w:r>
        <w:t>The prevalence of acquired resistance may vary geographically and with time for selected species and local information is desirable, particularly when treating severe infections. This information gives only approximate guidance on probabilities whether microorganisms will be susceptible to Metronidazole or not.</w:t>
      </w:r>
    </w:p>
    <w:tbl>
      <w:tblPr>
        <w:tblW w:w="7796" w:type="dxa"/>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796"/>
      </w:tblGrid>
      <w:tr w:rsidR="00CA4A4A" w:rsidRPr="00CA4A4A" w14:paraId="51E84BAF"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C793B63" w14:textId="77777777" w:rsidR="00CA4A4A" w:rsidRPr="00CA4A4A" w:rsidRDefault="00CA4A4A" w:rsidP="00CA4A4A">
            <w:pPr>
              <w:pStyle w:val="BodyTextSMPC"/>
              <w:spacing w:after="0"/>
              <w:ind w:left="0"/>
            </w:pPr>
            <w:r w:rsidRPr="00CA4A4A">
              <w:t>Categories</w:t>
            </w:r>
          </w:p>
        </w:tc>
      </w:tr>
      <w:tr w:rsidR="00CA4A4A" w:rsidRPr="00CA4A4A" w14:paraId="0C4C56DE"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7AC6931" w14:textId="77777777" w:rsidR="00CA4A4A" w:rsidRPr="00CA4A4A" w:rsidRDefault="00CA4A4A" w:rsidP="00CA4A4A">
            <w:pPr>
              <w:pStyle w:val="BodyTextSMPC"/>
              <w:spacing w:after="0"/>
              <w:ind w:left="0"/>
            </w:pPr>
            <w:r w:rsidRPr="00CA4A4A">
              <w:rPr>
                <w:b/>
                <w:bCs/>
              </w:rPr>
              <w:t>SUSCEPTIBLE</w:t>
            </w:r>
          </w:p>
        </w:tc>
      </w:tr>
      <w:tr w:rsidR="00CA4A4A" w:rsidRPr="00CA4A4A" w14:paraId="7CEAE54F"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7AD42DC" w14:textId="77777777" w:rsidR="00CA4A4A" w:rsidRPr="00CA4A4A" w:rsidRDefault="00CA4A4A" w:rsidP="00CA4A4A">
            <w:pPr>
              <w:pStyle w:val="BodyTextSMPC"/>
              <w:spacing w:after="0"/>
              <w:ind w:left="0"/>
            </w:pPr>
            <w:r w:rsidRPr="00CA4A4A">
              <w:rPr>
                <w:i/>
                <w:iCs/>
              </w:rPr>
              <w:t>Gram negative aerobes</w:t>
            </w:r>
          </w:p>
        </w:tc>
      </w:tr>
      <w:tr w:rsidR="00CA4A4A" w:rsidRPr="00CA4A4A" w14:paraId="7BE58CC4"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A6BFD69" w14:textId="77777777" w:rsidR="00CA4A4A" w:rsidRPr="00CA4A4A" w:rsidRDefault="00CA4A4A" w:rsidP="00CA4A4A">
            <w:pPr>
              <w:pStyle w:val="BodyTextSMPC"/>
              <w:spacing w:after="0"/>
              <w:ind w:left="0"/>
            </w:pPr>
            <w:r w:rsidRPr="00CA4A4A">
              <w:rPr>
                <w:i/>
                <w:iCs/>
              </w:rPr>
              <w:t>Helicobacter pylori</w:t>
            </w:r>
          </w:p>
        </w:tc>
      </w:tr>
      <w:tr w:rsidR="00CA4A4A" w:rsidRPr="00CA4A4A" w14:paraId="786568C3"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056436D" w14:textId="77777777" w:rsidR="00CA4A4A" w:rsidRPr="00CA4A4A" w:rsidRDefault="00CA4A4A" w:rsidP="00CA4A4A">
            <w:pPr>
              <w:pStyle w:val="BodyTextSMPC"/>
              <w:spacing w:after="0"/>
              <w:ind w:left="0"/>
            </w:pPr>
            <w:r w:rsidRPr="00CA4A4A">
              <w:rPr>
                <w:i/>
                <w:iCs/>
              </w:rPr>
              <w:t>Anaerobes</w:t>
            </w:r>
          </w:p>
        </w:tc>
      </w:tr>
      <w:tr w:rsidR="00CA4A4A" w:rsidRPr="00CA4A4A" w14:paraId="3A6FFE42"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570FB92" w14:textId="77777777" w:rsidR="00CA4A4A" w:rsidRPr="00CA4A4A" w:rsidRDefault="00CA4A4A" w:rsidP="00CA4A4A">
            <w:pPr>
              <w:pStyle w:val="BodyTextSMPC"/>
              <w:spacing w:after="0"/>
              <w:ind w:left="0"/>
            </w:pPr>
            <w:r w:rsidRPr="00CA4A4A">
              <w:rPr>
                <w:i/>
                <w:iCs/>
              </w:rPr>
              <w:t>Bacteroides fragilis</w:t>
            </w:r>
          </w:p>
        </w:tc>
      </w:tr>
      <w:tr w:rsidR="00CA4A4A" w:rsidRPr="00CA4A4A" w14:paraId="660DCDCB"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57A0B3B" w14:textId="77777777" w:rsidR="00CA4A4A" w:rsidRPr="00CA4A4A" w:rsidRDefault="00CA4A4A" w:rsidP="00CA4A4A">
            <w:pPr>
              <w:pStyle w:val="BodyTextSMPC"/>
              <w:spacing w:after="0"/>
              <w:ind w:left="0"/>
            </w:pPr>
            <w:r w:rsidRPr="00CA4A4A">
              <w:rPr>
                <w:i/>
                <w:iCs/>
              </w:rPr>
              <w:t>Bifidobacterium&gt;&gt;resistant (70%)</w:t>
            </w:r>
          </w:p>
        </w:tc>
      </w:tr>
      <w:tr w:rsidR="00CA4A4A" w:rsidRPr="00CA4A4A" w14:paraId="2C537AA1"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A9CCC39" w14:textId="77777777" w:rsidR="00CA4A4A" w:rsidRPr="00CA4A4A" w:rsidRDefault="00CA4A4A" w:rsidP="00CA4A4A">
            <w:pPr>
              <w:pStyle w:val="BodyTextSMPC"/>
              <w:spacing w:after="0"/>
              <w:ind w:left="0"/>
            </w:pPr>
            <w:proofErr w:type="spellStart"/>
            <w:r w:rsidRPr="00CA4A4A">
              <w:rPr>
                <w:i/>
                <w:iCs/>
              </w:rPr>
              <w:t>Bilophila</w:t>
            </w:r>
            <w:proofErr w:type="spellEnd"/>
          </w:p>
        </w:tc>
      </w:tr>
      <w:tr w:rsidR="00CA4A4A" w:rsidRPr="00CA4A4A" w14:paraId="6605296E"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99436C0" w14:textId="77777777" w:rsidR="00CA4A4A" w:rsidRPr="00CA4A4A" w:rsidRDefault="00CA4A4A" w:rsidP="00CA4A4A">
            <w:pPr>
              <w:pStyle w:val="BodyTextSMPC"/>
              <w:spacing w:after="0"/>
              <w:ind w:left="0"/>
            </w:pPr>
            <w:r w:rsidRPr="00CA4A4A">
              <w:rPr>
                <w:i/>
                <w:iCs/>
              </w:rPr>
              <w:t>Clostridium</w:t>
            </w:r>
          </w:p>
        </w:tc>
      </w:tr>
      <w:tr w:rsidR="00CA4A4A" w:rsidRPr="00CA4A4A" w14:paraId="55161ED8"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F135E50" w14:textId="77777777" w:rsidR="00CA4A4A" w:rsidRPr="00CA4A4A" w:rsidRDefault="00CA4A4A" w:rsidP="00CA4A4A">
            <w:pPr>
              <w:pStyle w:val="BodyTextSMPC"/>
              <w:spacing w:after="0"/>
              <w:ind w:left="0"/>
            </w:pPr>
            <w:r w:rsidRPr="00CA4A4A">
              <w:rPr>
                <w:i/>
                <w:iCs/>
              </w:rPr>
              <w:t>Clostridium difficile</w:t>
            </w:r>
          </w:p>
        </w:tc>
      </w:tr>
      <w:tr w:rsidR="00CA4A4A" w:rsidRPr="00CA4A4A" w14:paraId="35C109B7"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CAA2101" w14:textId="77777777" w:rsidR="00CA4A4A" w:rsidRPr="00CA4A4A" w:rsidRDefault="00CA4A4A" w:rsidP="00CA4A4A">
            <w:pPr>
              <w:pStyle w:val="BodyTextSMPC"/>
              <w:spacing w:after="0"/>
              <w:ind w:left="0"/>
            </w:pPr>
            <w:r w:rsidRPr="00CA4A4A">
              <w:rPr>
                <w:i/>
                <w:iCs/>
              </w:rPr>
              <w:t>Clostridium perfringens</w:t>
            </w:r>
          </w:p>
        </w:tc>
      </w:tr>
      <w:tr w:rsidR="00CA4A4A" w:rsidRPr="00CA4A4A" w14:paraId="6305D271"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99E8FF7" w14:textId="77777777" w:rsidR="00CA4A4A" w:rsidRPr="00CA4A4A" w:rsidRDefault="00CA4A4A" w:rsidP="00CA4A4A">
            <w:pPr>
              <w:pStyle w:val="BodyTextSMPC"/>
              <w:spacing w:after="0"/>
              <w:ind w:left="0"/>
            </w:pPr>
            <w:r w:rsidRPr="00CA4A4A">
              <w:rPr>
                <w:i/>
                <w:iCs/>
              </w:rPr>
              <w:t>Eubacterium</w:t>
            </w:r>
          </w:p>
        </w:tc>
      </w:tr>
      <w:tr w:rsidR="00CA4A4A" w:rsidRPr="00CA4A4A" w14:paraId="1C2F70C7"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1671F7A" w14:textId="77777777" w:rsidR="00CA4A4A" w:rsidRPr="00CA4A4A" w:rsidRDefault="00CA4A4A" w:rsidP="00CA4A4A">
            <w:pPr>
              <w:pStyle w:val="BodyTextSMPC"/>
              <w:spacing w:after="0"/>
              <w:ind w:left="0"/>
            </w:pPr>
            <w:r w:rsidRPr="00CA4A4A">
              <w:rPr>
                <w:i/>
                <w:iCs/>
              </w:rPr>
              <w:t>Fusobacterium</w:t>
            </w:r>
          </w:p>
        </w:tc>
      </w:tr>
      <w:tr w:rsidR="00CA4A4A" w:rsidRPr="00CA4A4A" w14:paraId="7FF91BDB"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30633AB" w14:textId="77777777" w:rsidR="00CA4A4A" w:rsidRPr="00CA4A4A" w:rsidRDefault="00CA4A4A" w:rsidP="00CA4A4A">
            <w:pPr>
              <w:pStyle w:val="BodyTextSMPC"/>
              <w:spacing w:after="0"/>
              <w:ind w:left="0"/>
            </w:pPr>
            <w:proofErr w:type="spellStart"/>
            <w:r w:rsidRPr="00CA4A4A">
              <w:rPr>
                <w:i/>
                <w:iCs/>
              </w:rPr>
              <w:lastRenderedPageBreak/>
              <w:t>Peptostreptococcus</w:t>
            </w:r>
            <w:proofErr w:type="spellEnd"/>
          </w:p>
        </w:tc>
      </w:tr>
      <w:tr w:rsidR="00CA4A4A" w:rsidRPr="00CA4A4A" w14:paraId="50546AD8"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2AEA09D" w14:textId="77777777" w:rsidR="00CA4A4A" w:rsidRPr="00CA4A4A" w:rsidRDefault="00CA4A4A" w:rsidP="00CA4A4A">
            <w:pPr>
              <w:pStyle w:val="BodyTextSMPC"/>
              <w:spacing w:after="0"/>
              <w:ind w:left="0"/>
            </w:pPr>
            <w:proofErr w:type="spellStart"/>
            <w:r w:rsidRPr="00CA4A4A">
              <w:rPr>
                <w:i/>
                <w:iCs/>
              </w:rPr>
              <w:t>Prevotella</w:t>
            </w:r>
            <w:proofErr w:type="spellEnd"/>
          </w:p>
        </w:tc>
      </w:tr>
      <w:tr w:rsidR="00CA4A4A" w:rsidRPr="00CA4A4A" w14:paraId="2D9580E5"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193C911" w14:textId="77777777" w:rsidR="00CA4A4A" w:rsidRPr="00CA4A4A" w:rsidRDefault="00CA4A4A" w:rsidP="00CA4A4A">
            <w:pPr>
              <w:pStyle w:val="BodyTextSMPC"/>
              <w:spacing w:after="0"/>
              <w:ind w:left="0"/>
            </w:pPr>
            <w:proofErr w:type="spellStart"/>
            <w:r w:rsidRPr="00CA4A4A">
              <w:rPr>
                <w:i/>
                <w:iCs/>
              </w:rPr>
              <w:t>Porphyromonas</w:t>
            </w:r>
            <w:proofErr w:type="spellEnd"/>
          </w:p>
        </w:tc>
      </w:tr>
      <w:tr w:rsidR="00CA4A4A" w:rsidRPr="00CA4A4A" w14:paraId="24744F17"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B7EA45C" w14:textId="77777777" w:rsidR="00CA4A4A" w:rsidRPr="00CA4A4A" w:rsidRDefault="00CA4A4A" w:rsidP="00CA4A4A">
            <w:pPr>
              <w:pStyle w:val="BodyTextSMPC"/>
              <w:spacing w:after="0"/>
              <w:ind w:left="0"/>
            </w:pPr>
            <w:proofErr w:type="spellStart"/>
            <w:r w:rsidRPr="00CA4A4A">
              <w:rPr>
                <w:i/>
                <w:iCs/>
              </w:rPr>
              <w:t>Veillonella</w:t>
            </w:r>
            <w:proofErr w:type="spellEnd"/>
          </w:p>
        </w:tc>
      </w:tr>
      <w:tr w:rsidR="00CA4A4A" w:rsidRPr="00CA4A4A" w14:paraId="4754F0B6"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1D0AEDE3" w14:textId="77777777" w:rsidR="00CA4A4A" w:rsidRPr="00CA4A4A" w:rsidRDefault="00CA4A4A" w:rsidP="00CA4A4A">
            <w:pPr>
              <w:pStyle w:val="BodyTextSMPC"/>
              <w:spacing w:after="0"/>
              <w:ind w:left="0"/>
            </w:pPr>
            <w:r w:rsidRPr="00CA4A4A">
              <w:rPr>
                <w:b/>
                <w:bCs/>
              </w:rPr>
              <w:t>RESISTANT</w:t>
            </w:r>
          </w:p>
        </w:tc>
      </w:tr>
      <w:tr w:rsidR="00CA4A4A" w:rsidRPr="00CA4A4A" w14:paraId="331CE8BD"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0A34864" w14:textId="77777777" w:rsidR="00CA4A4A" w:rsidRPr="00CA4A4A" w:rsidRDefault="00CA4A4A" w:rsidP="00CA4A4A">
            <w:pPr>
              <w:pStyle w:val="BodyTextSMPC"/>
              <w:spacing w:after="0"/>
              <w:ind w:left="0"/>
            </w:pPr>
            <w:r w:rsidRPr="00CA4A4A">
              <w:rPr>
                <w:i/>
                <w:iCs/>
              </w:rPr>
              <w:t>Gram positive aerobes</w:t>
            </w:r>
          </w:p>
        </w:tc>
      </w:tr>
      <w:tr w:rsidR="00CA4A4A" w:rsidRPr="00CA4A4A" w14:paraId="25A88EE8"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7196E47" w14:textId="77777777" w:rsidR="00CA4A4A" w:rsidRPr="00CA4A4A" w:rsidRDefault="00CA4A4A" w:rsidP="00CA4A4A">
            <w:pPr>
              <w:pStyle w:val="BodyTextSMPC"/>
              <w:spacing w:after="0"/>
              <w:ind w:left="0"/>
            </w:pPr>
            <w:r w:rsidRPr="00CA4A4A">
              <w:rPr>
                <w:i/>
                <w:iCs/>
              </w:rPr>
              <w:t>Actinomyces</w:t>
            </w:r>
          </w:p>
        </w:tc>
      </w:tr>
      <w:tr w:rsidR="00CA4A4A" w:rsidRPr="00CA4A4A" w14:paraId="00756125"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E7F3086" w14:textId="77777777" w:rsidR="00CA4A4A" w:rsidRPr="00CA4A4A" w:rsidRDefault="00CA4A4A" w:rsidP="00CA4A4A">
            <w:pPr>
              <w:pStyle w:val="BodyTextSMPC"/>
              <w:spacing w:after="0"/>
              <w:ind w:left="0"/>
            </w:pPr>
            <w:r w:rsidRPr="00CA4A4A">
              <w:rPr>
                <w:i/>
                <w:iCs/>
              </w:rPr>
              <w:t>Anaerobes</w:t>
            </w:r>
          </w:p>
        </w:tc>
      </w:tr>
      <w:tr w:rsidR="00CA4A4A" w:rsidRPr="00CA4A4A" w14:paraId="0A9F6E7A"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21C8177" w14:textId="77777777" w:rsidR="00CA4A4A" w:rsidRPr="00CA4A4A" w:rsidRDefault="00CA4A4A" w:rsidP="00CA4A4A">
            <w:pPr>
              <w:pStyle w:val="BodyTextSMPC"/>
              <w:spacing w:after="0"/>
              <w:ind w:left="0"/>
            </w:pPr>
            <w:proofErr w:type="spellStart"/>
            <w:r w:rsidRPr="00CA4A4A">
              <w:rPr>
                <w:i/>
                <w:iCs/>
              </w:rPr>
              <w:t>Mobiluncus</w:t>
            </w:r>
            <w:proofErr w:type="spellEnd"/>
          </w:p>
        </w:tc>
      </w:tr>
      <w:tr w:rsidR="00CA4A4A" w:rsidRPr="00CA4A4A" w14:paraId="2E04AA58"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15DFECC" w14:textId="77777777" w:rsidR="00CA4A4A" w:rsidRPr="00CA4A4A" w:rsidRDefault="00CA4A4A" w:rsidP="00CA4A4A">
            <w:pPr>
              <w:pStyle w:val="BodyTextSMPC"/>
              <w:spacing w:after="0"/>
              <w:ind w:left="0"/>
            </w:pPr>
            <w:r w:rsidRPr="00CA4A4A">
              <w:rPr>
                <w:i/>
                <w:iCs/>
              </w:rPr>
              <w:t>Propionibacterium acnes</w:t>
            </w:r>
          </w:p>
        </w:tc>
      </w:tr>
      <w:tr w:rsidR="00CA4A4A" w:rsidRPr="00CA4A4A" w14:paraId="3946AFC4"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407C614" w14:textId="77777777" w:rsidR="00CA4A4A" w:rsidRPr="00CA4A4A" w:rsidRDefault="00CA4A4A" w:rsidP="00CA4A4A">
            <w:pPr>
              <w:pStyle w:val="BodyTextSMPC"/>
              <w:spacing w:after="0"/>
              <w:ind w:left="0"/>
            </w:pPr>
            <w:r w:rsidRPr="00CA4A4A">
              <w:rPr>
                <w:b/>
                <w:bCs/>
              </w:rPr>
              <w:t>ANTIPARASITIC ACTIVITY</w:t>
            </w:r>
          </w:p>
        </w:tc>
      </w:tr>
      <w:tr w:rsidR="00CA4A4A" w:rsidRPr="00CA4A4A" w14:paraId="74DCF72B"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67D1C0C3" w14:textId="77777777" w:rsidR="00CA4A4A" w:rsidRPr="00CA4A4A" w:rsidRDefault="00CA4A4A" w:rsidP="00CA4A4A">
            <w:pPr>
              <w:pStyle w:val="BodyTextSMPC"/>
              <w:spacing w:after="0"/>
              <w:ind w:left="0"/>
            </w:pPr>
            <w:r w:rsidRPr="00CA4A4A">
              <w:rPr>
                <w:i/>
                <w:iCs/>
              </w:rPr>
              <w:t>Entamoeba histolytica</w:t>
            </w:r>
          </w:p>
        </w:tc>
      </w:tr>
      <w:tr w:rsidR="00CA4A4A" w:rsidRPr="00CA4A4A" w14:paraId="7C85DE51"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5C030FE6" w14:textId="77777777" w:rsidR="00CA4A4A" w:rsidRPr="00CA4A4A" w:rsidRDefault="00CA4A4A" w:rsidP="00CA4A4A">
            <w:pPr>
              <w:pStyle w:val="BodyTextSMPC"/>
              <w:spacing w:after="0"/>
              <w:ind w:left="0"/>
            </w:pPr>
            <w:r w:rsidRPr="00CA4A4A">
              <w:rPr>
                <w:i/>
                <w:iCs/>
              </w:rPr>
              <w:t>Giardia intestinalis</w:t>
            </w:r>
          </w:p>
        </w:tc>
      </w:tr>
      <w:tr w:rsidR="00CA4A4A" w:rsidRPr="00CA4A4A" w14:paraId="68606F58" w14:textId="77777777" w:rsidTr="00CA4A4A">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36AEBB9E" w14:textId="77777777" w:rsidR="00CA4A4A" w:rsidRPr="00CA4A4A" w:rsidRDefault="00CA4A4A" w:rsidP="00CA4A4A">
            <w:pPr>
              <w:pStyle w:val="BodyTextSMPC"/>
              <w:spacing w:after="0"/>
              <w:ind w:left="0"/>
            </w:pPr>
            <w:r w:rsidRPr="00CA4A4A">
              <w:rPr>
                <w:i/>
                <w:iCs/>
              </w:rPr>
              <w:t>Trichomonas vaginalis</w:t>
            </w:r>
          </w:p>
        </w:tc>
      </w:tr>
    </w:tbl>
    <w:p w14:paraId="51641238" w14:textId="279FD7AD" w:rsidR="00351B91" w:rsidRDefault="00BB33DA" w:rsidP="00BB33DA">
      <w:pPr>
        <w:pStyle w:val="BodyTextSMPC"/>
      </w:pPr>
      <w:r w:rsidRPr="00BB33DA">
        <w:t xml:space="preserve">Cross– resistance with </w:t>
      </w:r>
      <w:proofErr w:type="spellStart"/>
      <w:r w:rsidRPr="00BB33DA">
        <w:t>tindazol</w:t>
      </w:r>
      <w:proofErr w:type="spellEnd"/>
      <w:r w:rsidRPr="00BB33DA">
        <w:t xml:space="preserve"> occurs.</w:t>
      </w:r>
    </w:p>
    <w:p w14:paraId="76F14DB0" w14:textId="3E40840B" w:rsidR="006D4823" w:rsidRPr="006D4823" w:rsidRDefault="00000000" w:rsidP="00BB33DA">
      <w:pPr>
        <w:pStyle w:val="SubHeafingSMPC"/>
      </w:pPr>
      <w:r w:rsidRPr="008F5678">
        <w:t xml:space="preserve">Pharmacokinetic properties </w:t>
      </w:r>
    </w:p>
    <w:p w14:paraId="48E0DA96" w14:textId="3DD1BEC3" w:rsidR="006D4823" w:rsidRPr="006D4823" w:rsidRDefault="006D4823" w:rsidP="006D4823">
      <w:pPr>
        <w:pStyle w:val="BodyTextSMPC"/>
      </w:pPr>
      <w:r w:rsidRPr="00C36E7B">
        <w:rPr>
          <w:b/>
          <w:bCs/>
        </w:rPr>
        <w:t>Distribution</w:t>
      </w:r>
    </w:p>
    <w:p w14:paraId="54A4770B" w14:textId="77777777" w:rsidR="00BB33DA" w:rsidRDefault="00BB33DA" w:rsidP="00BB33DA">
      <w:pPr>
        <w:pStyle w:val="BodyTextSMPC"/>
      </w:pPr>
      <w:r>
        <w:t xml:space="preserve">After administration of a single 500 mg dose, mean Metronidazole peak plasma concentrations of ca. 14 – 18 μ g/ml are reached at the end of a 20 minute infusion. 2-hydroxy-metabolite peak plasma concentrations of ca. 3 μ g/ml are obtained after a 1 g single </w:t>
      </w:r>
      <w:proofErr w:type="spellStart"/>
      <w:r>
        <w:t>i.v.</w:t>
      </w:r>
      <w:proofErr w:type="spellEnd"/>
      <w:r>
        <w:t xml:space="preserve"> dose. Steady state Metronidazole plasma concentrations of about 17 and 13 μ g/ml are reached after administration of Metronidazole every 8 or 12 hours, respectively.</w:t>
      </w:r>
    </w:p>
    <w:p w14:paraId="26834BB7" w14:textId="7540DE7E" w:rsidR="00CE7887" w:rsidRDefault="00BB33DA" w:rsidP="00BB33DA">
      <w:pPr>
        <w:pStyle w:val="BodyTextSMPC"/>
      </w:pPr>
      <w:r>
        <w:t>Plasma protein binding is less than 10%, and the volume of distribution 1.1 ± 0.4 l/kg</w:t>
      </w:r>
      <w:r w:rsidR="00CE7887">
        <w:t>.</w:t>
      </w:r>
    </w:p>
    <w:p w14:paraId="1C2D30D2" w14:textId="08BE6A84" w:rsidR="00C36E7B" w:rsidRDefault="00BB33DA" w:rsidP="00CE7887">
      <w:pPr>
        <w:pStyle w:val="BodyTextSMPC"/>
        <w:jc w:val="left"/>
        <w:rPr>
          <w:b/>
          <w:bCs/>
        </w:rPr>
      </w:pPr>
      <w:r w:rsidRPr="00BB33DA">
        <w:rPr>
          <w:b/>
          <w:bCs/>
        </w:rPr>
        <w:t>Metabolism</w:t>
      </w:r>
    </w:p>
    <w:p w14:paraId="6868E327" w14:textId="69D0CE35" w:rsidR="00C36E7B" w:rsidRDefault="00BB33DA" w:rsidP="00BB33DA">
      <w:pPr>
        <w:pStyle w:val="BodyTextSMPC"/>
      </w:pPr>
      <w:r w:rsidRPr="00BB33DA">
        <w:t xml:space="preserve">Metronidazole is </w:t>
      </w:r>
      <w:proofErr w:type="spellStart"/>
      <w:r w:rsidRPr="00BB33DA">
        <w:t>metabolised</w:t>
      </w:r>
      <w:proofErr w:type="spellEnd"/>
      <w:r w:rsidRPr="00BB33DA">
        <w:t xml:space="preserve"> in the liver by hydroxylation, oxidation and glucuronidation. The major metabolites are a 2-hydroxy- and an acetic acid metabolite</w:t>
      </w:r>
    </w:p>
    <w:p w14:paraId="71CFB761" w14:textId="77777777" w:rsidR="00475F22" w:rsidRPr="00475F22" w:rsidRDefault="00475F22" w:rsidP="00475F22">
      <w:pPr>
        <w:pStyle w:val="BodyTextSMPC"/>
        <w:rPr>
          <w:b/>
          <w:bCs/>
        </w:rPr>
      </w:pPr>
      <w:r w:rsidRPr="00475F22">
        <w:rPr>
          <w:b/>
          <w:bCs/>
        </w:rPr>
        <w:lastRenderedPageBreak/>
        <w:t xml:space="preserve">Elimination </w:t>
      </w:r>
    </w:p>
    <w:p w14:paraId="4F304C5E" w14:textId="241A78E5" w:rsidR="00CE7887" w:rsidRDefault="00BB33DA" w:rsidP="00D3643A">
      <w:pPr>
        <w:pStyle w:val="BodyTextSMPC"/>
        <w:rPr>
          <w:sz w:val="24"/>
          <w:szCs w:val="24"/>
        </w:rPr>
      </w:pPr>
      <w:r w:rsidRPr="00BB33DA">
        <w:t xml:space="preserve">More than 50% of the administered dose is excreted in the urine, as unchanged Metronidazole (ca. 20% of the dose) and its metabolites. About 20% of the dose is excreted with </w:t>
      </w:r>
      <w:proofErr w:type="spellStart"/>
      <w:r w:rsidRPr="00BB33DA">
        <w:t>faeces</w:t>
      </w:r>
      <w:proofErr w:type="spellEnd"/>
      <w:r w:rsidRPr="00BB33DA">
        <w:t>. Clearance is 1.3 ± 0.3 ml/min/kg, while renal clearance is about 0.15 ml/min/kg. The plasma elimination half-life of Metronidazole is ca. 8 hours, and of the 2-hydroxy-metabolite ca. 10 hours</w:t>
      </w:r>
      <w:r w:rsidR="00CE7887" w:rsidRPr="00CE7887">
        <w:t>.</w:t>
      </w:r>
    </w:p>
    <w:p w14:paraId="4DC30C57" w14:textId="77777777" w:rsidR="00BB33DA" w:rsidRPr="00BB33DA" w:rsidRDefault="00BB33DA" w:rsidP="00BB33DA">
      <w:pPr>
        <w:pStyle w:val="BodyTextSMPC"/>
        <w:rPr>
          <w:b/>
          <w:bCs/>
        </w:rPr>
      </w:pPr>
      <w:r w:rsidRPr="00BB33DA">
        <w:rPr>
          <w:b/>
          <w:bCs/>
        </w:rPr>
        <w:t>Special patient groups</w:t>
      </w:r>
    </w:p>
    <w:p w14:paraId="61C7C0AE" w14:textId="29E61DEA" w:rsidR="00BB33DA" w:rsidRPr="00BB33DA" w:rsidRDefault="00BB33DA" w:rsidP="00BB33DA">
      <w:pPr>
        <w:pStyle w:val="BodyTextSMPC"/>
      </w:pPr>
      <w:r w:rsidRPr="00BB33DA">
        <w:t xml:space="preserve">The plasma elimination half-life of Metronidazole is not influenced by renal impairment; however, this may be increased for 2-hydroxy- and an acetic acid metabolite. In the case of </w:t>
      </w:r>
      <w:proofErr w:type="spellStart"/>
      <w:r w:rsidRPr="00BB33DA">
        <w:t>haemodialysis</w:t>
      </w:r>
      <w:proofErr w:type="spellEnd"/>
      <w:r w:rsidRPr="00BB33DA">
        <w:t>, Metronidazole is rapidly excreted and the plasma elimination half-life is decreased to ca. 2.5 h. Peritoneal dialysis does not appear to affect the elimination of Metronidazole or its metabolites compared to patients with renal impairment.</w:t>
      </w:r>
    </w:p>
    <w:p w14:paraId="66ADDEAE" w14:textId="4737B9B6" w:rsidR="00BB33DA" w:rsidRPr="00BB33DA" w:rsidRDefault="00BB33DA" w:rsidP="00BB33DA">
      <w:pPr>
        <w:pStyle w:val="BodyTextSMPC"/>
      </w:pPr>
      <w:r w:rsidRPr="00BB33DA">
        <w:t>In patients with impaired liver function, the metabolism of Metronidazole is expected to decrease, leading to an increase in the plasma elimination half-life. In patients with severe liver impairment, clearance may be decreased up to ca. 65%, resulting in an accumulation of Metronidazole in the body.</w:t>
      </w:r>
    </w:p>
    <w:p w14:paraId="0BBA0F2C" w14:textId="58A139F5" w:rsidR="00227FD4" w:rsidRPr="008F5678" w:rsidRDefault="00000000" w:rsidP="00671E86">
      <w:pPr>
        <w:pStyle w:val="SubHeafingSMPC"/>
      </w:pPr>
      <w:r w:rsidRPr="008F5678">
        <w:t xml:space="preserve">Preclinical safety data </w:t>
      </w:r>
    </w:p>
    <w:p w14:paraId="018660B0" w14:textId="1F00944E" w:rsidR="00E139AC" w:rsidRDefault="00E139AC" w:rsidP="00E139AC">
      <w:pPr>
        <w:pStyle w:val="BodyTextSMPC"/>
      </w:pPr>
      <w:r>
        <w:t>Metronidazole has been shown to be non-mutagenic in mammalian cells in vitro and in vivo.</w:t>
      </w:r>
    </w:p>
    <w:p w14:paraId="4A12373F" w14:textId="7446427C" w:rsidR="00E139AC" w:rsidRDefault="00E139AC" w:rsidP="00E139AC">
      <w:pPr>
        <w:pStyle w:val="BodyTextSMPC"/>
      </w:pPr>
      <w:r>
        <w:t xml:space="preserve">Metronidazole and a metabolite have been shown to be mutagenic is some tests with </w:t>
      </w:r>
      <w:proofErr w:type="spellStart"/>
      <w:r>
        <w:t>non mammalian</w:t>
      </w:r>
      <w:proofErr w:type="spellEnd"/>
      <w:r>
        <w:t xml:space="preserve"> cells.</w:t>
      </w:r>
    </w:p>
    <w:p w14:paraId="62D70CC8" w14:textId="46717A32" w:rsidR="00E139AC" w:rsidRDefault="00E139AC" w:rsidP="00E139AC">
      <w:pPr>
        <w:pStyle w:val="BodyTextSMPC"/>
      </w:pPr>
      <w:r>
        <w:t>Although Metronidazole has been shown to be carcinogenic in certain species of mice, it was not carcinogenic in either rats or guinea pigs. There is no suspicion of carcinogenicity in man.</w:t>
      </w:r>
    </w:p>
    <w:p w14:paraId="2766519F" w14:textId="19337EC5" w:rsidR="00E139AC" w:rsidRDefault="00E139AC" w:rsidP="00F33039">
      <w:pPr>
        <w:pStyle w:val="BodyTextSMPC"/>
      </w:pPr>
      <w:r>
        <w:t>Daily peroral metronidazole at 5-times the maximum human daily dose for greater than 4 weeks caused testicular toxicity and infertility in male rats. Fertility was restored in most subjects by 8 weeks after cessation of treatment, whereas the lower testicular and epididymal weights and sperm counts had improved but were still observed.</w:t>
      </w:r>
    </w:p>
    <w:p w14:paraId="4E5BF93E" w14:textId="0A69A06A" w:rsidR="00E139AC" w:rsidRDefault="00E139AC" w:rsidP="00E139AC">
      <w:pPr>
        <w:pStyle w:val="BodyTextSMPC"/>
      </w:pPr>
      <w:r>
        <w:lastRenderedPageBreak/>
        <w:t>Daily peroral metronidazole at approximately 6-times the maximum human daily dose for ≥ 2 weeks caused testicular toxicity in male mice. Most indices of testicular toxicity were restored within 2 months after cessation of treatment, whereas the lower testicular and epididymal weights had improved but were still observed.</w:t>
      </w:r>
    </w:p>
    <w:p w14:paraId="7BE4B9BC" w14:textId="1BB93BAB" w:rsidR="00227FD4" w:rsidRPr="005574FA" w:rsidRDefault="00E139AC" w:rsidP="00E139AC">
      <w:pPr>
        <w:pStyle w:val="BodyTextSMPC"/>
      </w:pPr>
      <w:r>
        <w:t>These studies demonstrate that the adverse effects of metronidazole on the male reproductive system are wholly or partially reversible after treatment withdrawal (see section 4.6).</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33F4E304" w14:textId="5F5146C8" w:rsidR="00E139AC" w:rsidRDefault="00E139AC" w:rsidP="00E139AC">
      <w:pPr>
        <w:pStyle w:val="BodyTextSMPC"/>
      </w:pPr>
      <w:r>
        <w:t xml:space="preserve">Do not use equipment containing aluminum (e.g., needles, </w:t>
      </w:r>
      <w:proofErr w:type="spellStart"/>
      <w:r>
        <w:t>cannulae</w:t>
      </w:r>
      <w:proofErr w:type="spellEnd"/>
      <w:r>
        <w:t>) that would come in contact with the drug solution as precipitates may form.</w:t>
      </w:r>
    </w:p>
    <w:p w14:paraId="62546C22" w14:textId="4C153E9F" w:rsidR="00E139AC" w:rsidRDefault="00E139AC" w:rsidP="00E139AC">
      <w:pPr>
        <w:pStyle w:val="BodyTextSMPC"/>
      </w:pPr>
      <w:r>
        <w:t>Metronidazole is incompatible with (includes but is not limited to):</w:t>
      </w:r>
    </w:p>
    <w:p w14:paraId="369DFE91" w14:textId="66103D0A" w:rsidR="00E139AC" w:rsidRDefault="00E139AC" w:rsidP="00E139AC">
      <w:pPr>
        <w:pStyle w:val="BodyTextSMPC"/>
      </w:pPr>
      <w:r>
        <w:t>- Aztreonam</w:t>
      </w:r>
    </w:p>
    <w:p w14:paraId="22969BFB" w14:textId="18029C53" w:rsidR="00E139AC" w:rsidRDefault="00E139AC" w:rsidP="00E139AC">
      <w:pPr>
        <w:pStyle w:val="BodyTextSMPC"/>
      </w:pPr>
      <w:r>
        <w:t xml:space="preserve">- Cefamandole </w:t>
      </w:r>
      <w:proofErr w:type="spellStart"/>
      <w:r>
        <w:t>nafate</w:t>
      </w:r>
      <w:proofErr w:type="spellEnd"/>
    </w:p>
    <w:p w14:paraId="71ED88B6" w14:textId="3733E103" w:rsidR="00E139AC" w:rsidRDefault="00E139AC" w:rsidP="00E139AC">
      <w:pPr>
        <w:pStyle w:val="BodyTextSMPC"/>
      </w:pPr>
      <w:r>
        <w:t>- Cefoxitin</w:t>
      </w:r>
    </w:p>
    <w:p w14:paraId="394BD0E3" w14:textId="5C4C0728" w:rsidR="00E139AC" w:rsidRDefault="00E139AC" w:rsidP="00E139AC">
      <w:pPr>
        <w:pStyle w:val="BodyTextSMPC"/>
      </w:pPr>
      <w:r>
        <w:t>- Penicillin G</w:t>
      </w:r>
    </w:p>
    <w:p w14:paraId="2854C958" w14:textId="21E80B5A" w:rsidR="00227FD4" w:rsidRDefault="00E139AC" w:rsidP="00E139AC">
      <w:pPr>
        <w:pStyle w:val="BodyTextSMPC"/>
      </w:pPr>
      <w:r>
        <w:t>In the absence of compatibility studies, this medicinal product must not be mixed with other medicinal product except for those mentioned in 6.6.</w:t>
      </w:r>
    </w:p>
    <w:p w14:paraId="1EF971C7" w14:textId="628E9CA8" w:rsidR="00E139AC" w:rsidRPr="006E7537" w:rsidRDefault="00E139AC" w:rsidP="00E139AC">
      <w:pPr>
        <w:pStyle w:val="BodyTextSMPC"/>
      </w:pPr>
      <w:r w:rsidRPr="008F5678">
        <w:rPr>
          <w:color w:val="FF0000"/>
        </w:rPr>
        <w:t>&lt;REGARDING THE APPROVAL&gt;</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6671F" w14:textId="77777777" w:rsidR="008937B9" w:rsidRDefault="008937B9" w:rsidP="008F5678">
      <w:pPr>
        <w:spacing w:line="240" w:lineRule="auto"/>
      </w:pPr>
      <w:r>
        <w:separator/>
      </w:r>
    </w:p>
  </w:endnote>
  <w:endnote w:type="continuationSeparator" w:id="0">
    <w:p w14:paraId="18B3BF62" w14:textId="77777777" w:rsidR="008937B9" w:rsidRDefault="008937B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AAF4D06"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E139AC" w:rsidRPr="00E139AC">
      <w:rPr>
        <w:rFonts w:ascii="Times New Roman" w:hAnsi="Times New Roman" w:cs="Times New Roman"/>
        <w:sz w:val="24"/>
        <w:szCs w:val="24"/>
      </w:rPr>
      <w:t>Metronidazole</w:t>
    </w:r>
    <w:r w:rsidRPr="008F5678">
      <w:rPr>
        <w:rFonts w:ascii="Times New Roman" w:hAnsi="Times New Roman" w:cs="Times New Roman"/>
        <w:sz w:val="24"/>
        <w:szCs w:val="24"/>
      </w:rPr>
      <w:t xml:space="preserve">, </w:t>
    </w:r>
    <w:r w:rsidR="00E139AC">
      <w:rPr>
        <w:rFonts w:ascii="Times New Roman" w:hAnsi="Times New Roman" w:cs="Times New Roman"/>
        <w:sz w:val="24"/>
        <w:szCs w:val="24"/>
      </w:rPr>
      <w:t>EMC</w:t>
    </w:r>
    <w:r w:rsidRPr="008F5678">
      <w:rPr>
        <w:rFonts w:ascii="Times New Roman" w:hAnsi="Times New Roman" w:cs="Times New Roman"/>
        <w:sz w:val="24"/>
        <w:szCs w:val="24"/>
      </w:rPr>
      <w:t xml:space="preserve">, </w:t>
    </w:r>
    <w:r w:rsidR="00E139AC">
      <w:rPr>
        <w:rFonts w:ascii="Times New Roman" w:hAnsi="Times New Roman" w:cs="Times New Roman"/>
        <w:sz w:val="24"/>
        <w:szCs w:val="24"/>
      </w:rPr>
      <w:t>13</w:t>
    </w:r>
    <w:r w:rsidR="00EE66E7" w:rsidRPr="00EE66E7">
      <w:rPr>
        <w:rFonts w:ascii="Times New Roman" w:hAnsi="Times New Roman" w:cs="Times New Roman"/>
        <w:sz w:val="24"/>
        <w:szCs w:val="24"/>
      </w:rPr>
      <w:t>/</w:t>
    </w:r>
    <w:r w:rsidR="00E139AC">
      <w:rPr>
        <w:rFonts w:ascii="Times New Roman" w:hAnsi="Times New Roman" w:cs="Times New Roman"/>
        <w:sz w:val="24"/>
        <w:szCs w:val="24"/>
      </w:rPr>
      <w:t>12</w:t>
    </w:r>
    <w:r w:rsidR="00EE66E7" w:rsidRPr="00EE66E7">
      <w:rPr>
        <w:rFonts w:ascii="Times New Roman" w:hAnsi="Times New Roman" w:cs="Times New Roman"/>
        <w:sz w:val="24"/>
        <w:szCs w:val="24"/>
      </w:rPr>
      <w:t>/202</w:t>
    </w:r>
    <w:r w:rsidR="00E139AC">
      <w:rPr>
        <w:rFonts w:ascii="Times New Roman" w:hAnsi="Times New Roman" w:cs="Times New Roman"/>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5590" w14:textId="77777777" w:rsidR="008937B9" w:rsidRDefault="008937B9" w:rsidP="008F5678">
      <w:pPr>
        <w:spacing w:line="240" w:lineRule="auto"/>
      </w:pPr>
      <w:r>
        <w:separator/>
      </w:r>
    </w:p>
  </w:footnote>
  <w:footnote w:type="continuationSeparator" w:id="0">
    <w:p w14:paraId="4EF1D946" w14:textId="77777777" w:rsidR="008937B9" w:rsidRDefault="008937B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3354B"/>
    <w:rsid w:val="000453B9"/>
    <w:rsid w:val="000523FE"/>
    <w:rsid w:val="00070173"/>
    <w:rsid w:val="00072659"/>
    <w:rsid w:val="000970AF"/>
    <w:rsid w:val="000B5450"/>
    <w:rsid w:val="000C7ED9"/>
    <w:rsid w:val="000F022A"/>
    <w:rsid w:val="000F3E08"/>
    <w:rsid w:val="000F68A5"/>
    <w:rsid w:val="00111833"/>
    <w:rsid w:val="001162E6"/>
    <w:rsid w:val="00151237"/>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57B1"/>
    <w:rsid w:val="00254057"/>
    <w:rsid w:val="002933FE"/>
    <w:rsid w:val="00302302"/>
    <w:rsid w:val="00303231"/>
    <w:rsid w:val="00307506"/>
    <w:rsid w:val="00316A60"/>
    <w:rsid w:val="00323A34"/>
    <w:rsid w:val="00342687"/>
    <w:rsid w:val="003467EF"/>
    <w:rsid w:val="00351B91"/>
    <w:rsid w:val="00353092"/>
    <w:rsid w:val="00362134"/>
    <w:rsid w:val="00385779"/>
    <w:rsid w:val="00397295"/>
    <w:rsid w:val="003A3F82"/>
    <w:rsid w:val="003B2242"/>
    <w:rsid w:val="003B51C2"/>
    <w:rsid w:val="003E756F"/>
    <w:rsid w:val="00400BAB"/>
    <w:rsid w:val="00415AF9"/>
    <w:rsid w:val="00417A75"/>
    <w:rsid w:val="00421378"/>
    <w:rsid w:val="00424C7B"/>
    <w:rsid w:val="00424F84"/>
    <w:rsid w:val="004547B5"/>
    <w:rsid w:val="00462D7E"/>
    <w:rsid w:val="004707A7"/>
    <w:rsid w:val="00473071"/>
    <w:rsid w:val="00475F22"/>
    <w:rsid w:val="00480965"/>
    <w:rsid w:val="0048242B"/>
    <w:rsid w:val="004A007B"/>
    <w:rsid w:val="004A5AB4"/>
    <w:rsid w:val="004F658C"/>
    <w:rsid w:val="005122F4"/>
    <w:rsid w:val="00523E4C"/>
    <w:rsid w:val="005248D2"/>
    <w:rsid w:val="005574FA"/>
    <w:rsid w:val="00573351"/>
    <w:rsid w:val="005B78A4"/>
    <w:rsid w:val="00606B16"/>
    <w:rsid w:val="006101D5"/>
    <w:rsid w:val="006147EE"/>
    <w:rsid w:val="006224A3"/>
    <w:rsid w:val="0062302F"/>
    <w:rsid w:val="00641955"/>
    <w:rsid w:val="006448B7"/>
    <w:rsid w:val="00646ECA"/>
    <w:rsid w:val="00671E86"/>
    <w:rsid w:val="006752B9"/>
    <w:rsid w:val="0069711D"/>
    <w:rsid w:val="006A7BA7"/>
    <w:rsid w:val="006B0EF4"/>
    <w:rsid w:val="006B41AF"/>
    <w:rsid w:val="006B462B"/>
    <w:rsid w:val="006C22F9"/>
    <w:rsid w:val="006D4823"/>
    <w:rsid w:val="006E7537"/>
    <w:rsid w:val="00702D8E"/>
    <w:rsid w:val="007258BA"/>
    <w:rsid w:val="0073256D"/>
    <w:rsid w:val="00742D9B"/>
    <w:rsid w:val="0075380E"/>
    <w:rsid w:val="00755C3B"/>
    <w:rsid w:val="00757ABD"/>
    <w:rsid w:val="0076728F"/>
    <w:rsid w:val="00774F68"/>
    <w:rsid w:val="00783899"/>
    <w:rsid w:val="007A4C62"/>
    <w:rsid w:val="007A70CC"/>
    <w:rsid w:val="007B01F4"/>
    <w:rsid w:val="007C754A"/>
    <w:rsid w:val="007F2B3F"/>
    <w:rsid w:val="00816633"/>
    <w:rsid w:val="00817FAD"/>
    <w:rsid w:val="00834A79"/>
    <w:rsid w:val="00842E18"/>
    <w:rsid w:val="008561A2"/>
    <w:rsid w:val="00857F59"/>
    <w:rsid w:val="008937B9"/>
    <w:rsid w:val="00894F3B"/>
    <w:rsid w:val="008A2A73"/>
    <w:rsid w:val="008B5BE5"/>
    <w:rsid w:val="008C17A5"/>
    <w:rsid w:val="008D7A61"/>
    <w:rsid w:val="008F3900"/>
    <w:rsid w:val="008F5678"/>
    <w:rsid w:val="009242EA"/>
    <w:rsid w:val="00955F90"/>
    <w:rsid w:val="00962771"/>
    <w:rsid w:val="00962985"/>
    <w:rsid w:val="00972AD6"/>
    <w:rsid w:val="00977EEA"/>
    <w:rsid w:val="00982CEB"/>
    <w:rsid w:val="00982EC5"/>
    <w:rsid w:val="00997D0B"/>
    <w:rsid w:val="009C4E09"/>
    <w:rsid w:val="009D6FFD"/>
    <w:rsid w:val="00A04703"/>
    <w:rsid w:val="00A068D5"/>
    <w:rsid w:val="00A10233"/>
    <w:rsid w:val="00A144D2"/>
    <w:rsid w:val="00A16F7E"/>
    <w:rsid w:val="00A22C1C"/>
    <w:rsid w:val="00A560E6"/>
    <w:rsid w:val="00A56A7C"/>
    <w:rsid w:val="00A856F1"/>
    <w:rsid w:val="00A85894"/>
    <w:rsid w:val="00AA08CA"/>
    <w:rsid w:val="00AB0D31"/>
    <w:rsid w:val="00AB6AD4"/>
    <w:rsid w:val="00AB6FF1"/>
    <w:rsid w:val="00AC277A"/>
    <w:rsid w:val="00AC49D5"/>
    <w:rsid w:val="00AD5242"/>
    <w:rsid w:val="00AD6FB8"/>
    <w:rsid w:val="00AF00DD"/>
    <w:rsid w:val="00AF212D"/>
    <w:rsid w:val="00AF5BF6"/>
    <w:rsid w:val="00B14DD9"/>
    <w:rsid w:val="00B24321"/>
    <w:rsid w:val="00B2537D"/>
    <w:rsid w:val="00B36B0E"/>
    <w:rsid w:val="00B52056"/>
    <w:rsid w:val="00B61320"/>
    <w:rsid w:val="00B63770"/>
    <w:rsid w:val="00B65CC5"/>
    <w:rsid w:val="00B771AD"/>
    <w:rsid w:val="00B86B7C"/>
    <w:rsid w:val="00B927D6"/>
    <w:rsid w:val="00BA0700"/>
    <w:rsid w:val="00BB33DA"/>
    <w:rsid w:val="00BD279B"/>
    <w:rsid w:val="00BE0013"/>
    <w:rsid w:val="00BE0983"/>
    <w:rsid w:val="00BE10A8"/>
    <w:rsid w:val="00C03E69"/>
    <w:rsid w:val="00C04DF2"/>
    <w:rsid w:val="00C069FE"/>
    <w:rsid w:val="00C07D84"/>
    <w:rsid w:val="00C15438"/>
    <w:rsid w:val="00C21A1C"/>
    <w:rsid w:val="00C34CD3"/>
    <w:rsid w:val="00C36E7B"/>
    <w:rsid w:val="00C5591F"/>
    <w:rsid w:val="00C64664"/>
    <w:rsid w:val="00C77195"/>
    <w:rsid w:val="00CA053A"/>
    <w:rsid w:val="00CA4A4A"/>
    <w:rsid w:val="00CD5ED5"/>
    <w:rsid w:val="00CE7887"/>
    <w:rsid w:val="00D1697D"/>
    <w:rsid w:val="00D32C40"/>
    <w:rsid w:val="00D3643A"/>
    <w:rsid w:val="00D5236F"/>
    <w:rsid w:val="00D80544"/>
    <w:rsid w:val="00D90A3C"/>
    <w:rsid w:val="00DB6202"/>
    <w:rsid w:val="00DF0DD2"/>
    <w:rsid w:val="00DF79C1"/>
    <w:rsid w:val="00E01FDA"/>
    <w:rsid w:val="00E139AC"/>
    <w:rsid w:val="00E21167"/>
    <w:rsid w:val="00E222B8"/>
    <w:rsid w:val="00E32C2B"/>
    <w:rsid w:val="00E47326"/>
    <w:rsid w:val="00E641A1"/>
    <w:rsid w:val="00E647E4"/>
    <w:rsid w:val="00E712A3"/>
    <w:rsid w:val="00E72F63"/>
    <w:rsid w:val="00E867D8"/>
    <w:rsid w:val="00EC77CC"/>
    <w:rsid w:val="00EE5855"/>
    <w:rsid w:val="00EE66E7"/>
    <w:rsid w:val="00EF48E4"/>
    <w:rsid w:val="00F04BB0"/>
    <w:rsid w:val="00F17745"/>
    <w:rsid w:val="00F33039"/>
    <w:rsid w:val="00F373F9"/>
    <w:rsid w:val="00F42790"/>
    <w:rsid w:val="00F512AD"/>
    <w:rsid w:val="00F62E5E"/>
    <w:rsid w:val="00F62FFF"/>
    <w:rsid w:val="00F7564F"/>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3856</Words>
  <Characters>21984</Characters>
  <Application>Microsoft Office Word</Application>
  <DocSecurity>0</DocSecurity>
  <Lines>183</Lines>
  <Paragraphs>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2024-08-01T09:00:00Z</dcterms:created>
  <dcterms:modified xsi:type="dcterms:W3CDTF">2024-08-01T10:15:00Z</dcterms:modified>
</cp:coreProperties>
</file>