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1FDF18D4" w:rsidR="00227FD4" w:rsidRPr="00E641A1" w:rsidRDefault="00523664" w:rsidP="00523664">
      <w:pPr>
        <w:pStyle w:val="BodyTextSMPC"/>
        <w:jc w:val="left"/>
        <w:rPr>
          <w:rFonts w:cstheme="minorBidi"/>
        </w:rPr>
      </w:pPr>
      <w:r>
        <w:t>P</w:t>
      </w:r>
      <w:r w:rsidRPr="00523664">
        <w:t>henoxymethylpenicillin potassium</w:t>
      </w:r>
      <w:r>
        <w:rPr>
          <w:color w:val="FF0000"/>
        </w:rPr>
        <w:t xml:space="preserve"> </w:t>
      </w:r>
      <w:r w:rsidR="00233F23" w:rsidRPr="005574FA">
        <w:rPr>
          <w:color w:val="FF0000"/>
        </w:rPr>
        <w:t>&lt;TRADE NAME&gt; &lt;STRENGTH&gt;</w:t>
      </w:r>
      <w:r w:rsidR="00877C57">
        <w:rPr>
          <w:color w:val="FF0000"/>
        </w:rPr>
        <w:t xml:space="preserve"> </w:t>
      </w:r>
      <w:r w:rsidR="009B6383">
        <w:rPr>
          <w:rFonts w:cs="Angsana New"/>
          <w:szCs w:val="35"/>
        </w:rPr>
        <w:t>D</w:t>
      </w:r>
      <w:r w:rsidR="009B6383" w:rsidRPr="009B6383">
        <w:rPr>
          <w:rFonts w:cs="Angsana New"/>
          <w:szCs w:val="35"/>
        </w:rPr>
        <w:t>ry syrup</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7B81DD89" w:rsidR="00AF212D" w:rsidRPr="00E10392" w:rsidRDefault="00F31D53" w:rsidP="00B56225">
      <w:pPr>
        <w:pStyle w:val="BodyTextSMPC"/>
        <w:rPr>
          <w:rFonts w:cstheme="minorBidi"/>
        </w:rPr>
      </w:pPr>
      <w:r w:rsidRPr="00F31D53">
        <w:t xml:space="preserve">Each 5 ml dose of </w:t>
      </w:r>
      <w:r w:rsidR="00615DDA" w:rsidRPr="00615DDA">
        <w:t>Oral Solution contains</w:t>
      </w:r>
      <w:r w:rsidR="00615DDA">
        <w:t xml:space="preserve"> </w:t>
      </w:r>
      <w:proofErr w:type="spellStart"/>
      <w:r w:rsidRPr="00F31D53">
        <w:t>contains</w:t>
      </w:r>
      <w:proofErr w:type="spellEnd"/>
      <w:r w:rsidRPr="00F31D53">
        <w:t xml:space="preserve"> </w:t>
      </w:r>
      <w:r w:rsidRPr="005574FA">
        <w:rPr>
          <w:color w:val="FF0000"/>
        </w:rPr>
        <w:t>&lt;STRENGTH&gt;</w:t>
      </w:r>
      <w:r>
        <w:t xml:space="preserve"> </w:t>
      </w:r>
      <w:r w:rsidRPr="00F31D53">
        <w:t xml:space="preserve">of </w:t>
      </w:r>
      <w:r w:rsidR="00615DDA" w:rsidRPr="00615DDA">
        <w:t>Phenoxymethylpenicillin as Phenoxymethylpenicillin Potassium</w:t>
      </w:r>
      <w:r w:rsidRPr="00F31D53">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725A662C" w:rsidR="00227FD4" w:rsidRPr="00070173" w:rsidRDefault="00F31D53" w:rsidP="00AF212D">
      <w:pPr>
        <w:pStyle w:val="BodyTextSMPC"/>
        <w:rPr>
          <w:rFonts w:cs="Angsana New"/>
          <w:szCs w:val="35"/>
        </w:rPr>
      </w:pPr>
      <w:r>
        <w:rPr>
          <w:rFonts w:cs="Angsana New"/>
          <w:szCs w:val="35"/>
        </w:rPr>
        <w:t>D</w:t>
      </w:r>
      <w:r w:rsidRPr="009B6383">
        <w:rPr>
          <w:rFonts w:cs="Angsana New"/>
          <w:szCs w:val="35"/>
        </w:rPr>
        <w:t>ry syrup</w:t>
      </w:r>
      <w:r w:rsidR="00121AE5" w:rsidRPr="00121AE5">
        <w:t>.</w:t>
      </w:r>
      <w:r w:rsidR="007F6112" w:rsidRPr="007F6112">
        <w:rPr>
          <w:color w:val="FF0000"/>
        </w:rPr>
        <w:t xml:space="preserve"> </w:t>
      </w:r>
      <w:r w:rsidR="007F6112"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5F829F0D" w14:textId="5BA8C56A" w:rsidR="007B272B" w:rsidRPr="007B272B" w:rsidRDefault="007B272B" w:rsidP="007B272B">
      <w:pPr>
        <w:pStyle w:val="BodyTextSMPC"/>
        <w:rPr>
          <w:rFonts w:cstheme="minorBidi"/>
        </w:rPr>
      </w:pPr>
      <w:r w:rsidRPr="007B272B">
        <w:rPr>
          <w:rFonts w:cstheme="minorBidi"/>
        </w:rPr>
        <w:t>Phenoxymethylpenicillin and phenoxymethylpenicillin potassium are indicated in the treatment of mild to moderately severe infections associated with micro-organisms whose susceptibility to penicillin is within the range of serum levels attained with the dosage form.</w:t>
      </w:r>
    </w:p>
    <w:p w14:paraId="420D28F9" w14:textId="77777777" w:rsidR="007B272B" w:rsidRDefault="007B272B" w:rsidP="007B272B">
      <w:pPr>
        <w:pStyle w:val="BodyTextSMPC"/>
        <w:rPr>
          <w:rFonts w:cstheme="minorBidi"/>
        </w:rPr>
      </w:pPr>
      <w:r w:rsidRPr="007B272B">
        <w:rPr>
          <w:rFonts w:cstheme="minorBidi"/>
        </w:rPr>
        <w:t>Phenoxymethylpenicillin is indicated for the treatment of the following infections (see section 4.4 and 5.1)</w:t>
      </w:r>
    </w:p>
    <w:p w14:paraId="058026BB" w14:textId="48910CD1" w:rsidR="007B272B" w:rsidRPr="007B272B" w:rsidRDefault="007B272B" w:rsidP="007B272B">
      <w:pPr>
        <w:pStyle w:val="BodyTextSMPC"/>
        <w:rPr>
          <w:rFonts w:cstheme="minorBidi"/>
        </w:rPr>
      </w:pPr>
      <w:r w:rsidRPr="007B272B">
        <w:rPr>
          <w:rFonts w:cstheme="minorBidi"/>
        </w:rPr>
        <w:t>Streptococcal infections:</w:t>
      </w:r>
      <w:r>
        <w:rPr>
          <w:rFonts w:cstheme="minorBidi"/>
        </w:rPr>
        <w:t xml:space="preserve"> </w:t>
      </w:r>
      <w:r w:rsidRPr="007B272B">
        <w:rPr>
          <w:rFonts w:cstheme="minorBidi"/>
        </w:rPr>
        <w:t>Pharyngitis</w:t>
      </w:r>
    </w:p>
    <w:p w14:paraId="4AEFE57D" w14:textId="144B4F17" w:rsidR="007B272B" w:rsidRPr="007B272B" w:rsidRDefault="007B272B" w:rsidP="007B272B">
      <w:pPr>
        <w:pStyle w:val="BodyTextSMPC"/>
        <w:rPr>
          <w:rFonts w:cstheme="minorBidi"/>
        </w:rPr>
      </w:pPr>
      <w:r w:rsidRPr="007B272B">
        <w:rPr>
          <w:rFonts w:cstheme="minorBidi"/>
        </w:rPr>
        <w:t>Scarlet fever</w:t>
      </w:r>
    </w:p>
    <w:p w14:paraId="761034C7" w14:textId="2825EF03" w:rsidR="007B272B" w:rsidRPr="007B272B" w:rsidRDefault="007B272B" w:rsidP="007B272B">
      <w:pPr>
        <w:pStyle w:val="BodyTextSMPC"/>
        <w:rPr>
          <w:rFonts w:cstheme="minorBidi"/>
        </w:rPr>
      </w:pPr>
      <w:r w:rsidRPr="007B272B">
        <w:rPr>
          <w:rFonts w:cstheme="minorBidi"/>
        </w:rPr>
        <w:t>Skin and soft tissue infections (e.g. erysipelas)</w:t>
      </w:r>
    </w:p>
    <w:p w14:paraId="2F8587DA" w14:textId="0A5972C5" w:rsidR="007B272B" w:rsidRPr="007B272B" w:rsidRDefault="007B272B" w:rsidP="007B272B">
      <w:pPr>
        <w:pStyle w:val="BodyTextSMPC"/>
        <w:rPr>
          <w:rFonts w:cstheme="minorBidi"/>
        </w:rPr>
      </w:pPr>
      <w:r w:rsidRPr="007B272B">
        <w:rPr>
          <w:rFonts w:cstheme="minorBidi"/>
        </w:rPr>
        <w:t>Pneumococcal infections:</w:t>
      </w:r>
      <w:r>
        <w:rPr>
          <w:rFonts w:cstheme="minorBidi"/>
        </w:rPr>
        <w:t xml:space="preserve"> </w:t>
      </w:r>
      <w:r w:rsidRPr="007B272B">
        <w:rPr>
          <w:rFonts w:cstheme="minorBidi"/>
        </w:rPr>
        <w:t>Pneumonia</w:t>
      </w:r>
    </w:p>
    <w:p w14:paraId="5944E189" w14:textId="2494A332" w:rsidR="007B272B" w:rsidRPr="007B272B" w:rsidRDefault="007B272B" w:rsidP="007B272B">
      <w:pPr>
        <w:pStyle w:val="BodyTextSMPC"/>
        <w:rPr>
          <w:rFonts w:cstheme="minorBidi"/>
        </w:rPr>
      </w:pPr>
      <w:r w:rsidRPr="007B272B">
        <w:rPr>
          <w:rFonts w:cstheme="minorBidi"/>
        </w:rPr>
        <w:lastRenderedPageBreak/>
        <w:t>Otitis media</w:t>
      </w:r>
    </w:p>
    <w:p w14:paraId="3D8B196F" w14:textId="75456E68" w:rsidR="007B272B" w:rsidRPr="007B272B" w:rsidRDefault="007B272B" w:rsidP="007B272B">
      <w:pPr>
        <w:pStyle w:val="BodyTextSMPC"/>
        <w:rPr>
          <w:rFonts w:cstheme="minorBidi"/>
        </w:rPr>
      </w:pPr>
      <w:r w:rsidRPr="007B272B">
        <w:rPr>
          <w:rFonts w:cstheme="minorBidi"/>
        </w:rPr>
        <w:t>Vincent's gingivitis and pharyngitis</w:t>
      </w:r>
    </w:p>
    <w:p w14:paraId="01AB951D" w14:textId="03A9834C" w:rsidR="007B272B" w:rsidRPr="007B272B" w:rsidRDefault="007B272B" w:rsidP="007B272B">
      <w:pPr>
        <w:pStyle w:val="BodyTextSMPC"/>
        <w:rPr>
          <w:rFonts w:cstheme="minorBidi"/>
        </w:rPr>
      </w:pPr>
      <w:r w:rsidRPr="007B272B">
        <w:rPr>
          <w:rFonts w:cstheme="minorBidi"/>
        </w:rPr>
        <w:t>Phenoxymethylpenicillin is also indicated for (see section 5.1):</w:t>
      </w:r>
    </w:p>
    <w:p w14:paraId="1DFC5212" w14:textId="191EA34C" w:rsidR="007B272B" w:rsidRPr="007B272B" w:rsidRDefault="007B272B" w:rsidP="007B272B">
      <w:pPr>
        <w:pStyle w:val="BodyTextSMPC"/>
        <w:rPr>
          <w:rFonts w:cstheme="minorBidi"/>
        </w:rPr>
      </w:pPr>
      <w:r w:rsidRPr="007B272B">
        <w:rPr>
          <w:rFonts w:cstheme="minorBidi"/>
        </w:rPr>
        <w:t>Prophylaxis of rheumatic fever and/or chorea</w:t>
      </w:r>
    </w:p>
    <w:p w14:paraId="3D0ABD1F" w14:textId="476B6649" w:rsidR="007B272B" w:rsidRPr="007B272B" w:rsidRDefault="007B272B" w:rsidP="007B272B">
      <w:pPr>
        <w:pStyle w:val="BodyTextSMPC"/>
        <w:rPr>
          <w:rFonts w:cstheme="minorBidi"/>
        </w:rPr>
      </w:pPr>
      <w:r w:rsidRPr="007B272B">
        <w:rPr>
          <w:rFonts w:cstheme="minorBidi"/>
        </w:rPr>
        <w:t>Prophylaxis of pneumococcal infection (e.g. in asplenia and inpatients with sickle cell disease</w:t>
      </w:r>
    </w:p>
    <w:p w14:paraId="5DF7A6FB" w14:textId="74FCB4D4" w:rsidR="00D84472" w:rsidRPr="007F6112" w:rsidRDefault="007B272B" w:rsidP="007B272B">
      <w:pPr>
        <w:pStyle w:val="BodyTextSMPC"/>
        <w:rPr>
          <w:rFonts w:cstheme="minorBidi"/>
        </w:rPr>
      </w:pPr>
      <w:r w:rsidRPr="007B272B">
        <w:rPr>
          <w:rFonts w:cstheme="minorBidi"/>
        </w:rPr>
        <w:t>Consideration should be given to official guidance on the appropriate use of antibacterial agents.</w:t>
      </w:r>
    </w:p>
    <w:p w14:paraId="55032FF4" w14:textId="4252BE39" w:rsidR="00C04DF2" w:rsidRPr="00C04DF2" w:rsidRDefault="00000000" w:rsidP="007F6112">
      <w:pPr>
        <w:pStyle w:val="SubHeafingSMPC"/>
      </w:pPr>
      <w:r w:rsidRPr="008F5678">
        <w:t>Posology and method of administration</w:t>
      </w:r>
    </w:p>
    <w:p w14:paraId="31D8A9F6" w14:textId="77777777" w:rsidR="005F6CF4" w:rsidRPr="005F6CF4" w:rsidRDefault="005F6CF4" w:rsidP="005F6CF4">
      <w:pPr>
        <w:pStyle w:val="BodyTextSMPC"/>
        <w:jc w:val="thaiDistribute"/>
        <w:rPr>
          <w:b/>
          <w:bCs/>
        </w:rPr>
      </w:pPr>
      <w:r w:rsidRPr="005F6CF4">
        <w:rPr>
          <w:b/>
          <w:bCs/>
        </w:rPr>
        <w:t>Posology</w:t>
      </w:r>
    </w:p>
    <w:p w14:paraId="668E5F45" w14:textId="1B55B749" w:rsidR="007B272B" w:rsidRDefault="007B272B" w:rsidP="007B272B">
      <w:pPr>
        <w:pStyle w:val="BodyTextSMPC"/>
        <w:jc w:val="thaiDistribute"/>
      </w:pPr>
      <w:r>
        <w:t>For oral administration only.</w:t>
      </w:r>
    </w:p>
    <w:p w14:paraId="6C0B5EE0" w14:textId="42651F25" w:rsidR="007B272B" w:rsidRDefault="007B272B" w:rsidP="007B272B">
      <w:pPr>
        <w:pStyle w:val="BodyTextSMPC"/>
        <w:jc w:val="thaiDistribute"/>
      </w:pPr>
      <w:r>
        <w:t xml:space="preserve">The dosage and frequency of Phenoxymethylpenicillin depends on the severity and </w:t>
      </w:r>
      <w:proofErr w:type="spellStart"/>
      <w:r>
        <w:t>localisation</w:t>
      </w:r>
      <w:proofErr w:type="spellEnd"/>
      <w:r>
        <w:t xml:space="preserve"> of the infection and expected pathogens.</w:t>
      </w:r>
    </w:p>
    <w:p w14:paraId="3C9F2047" w14:textId="3C68AE0D" w:rsidR="007B272B" w:rsidRDefault="007B272B" w:rsidP="007B272B">
      <w:pPr>
        <w:pStyle w:val="BodyTextSMPC"/>
        <w:jc w:val="thaiDistribute"/>
      </w:pPr>
      <w:r>
        <w:t>Phenoxymethylpenicillin Solution should be taken at least 30 minutes before or 2 hours after food, as ingestion of Phenoxymethylpenicillin with meals slightly reduces the absorption of the drug.</w:t>
      </w:r>
    </w:p>
    <w:p w14:paraId="6022602C" w14:textId="1586BF76" w:rsidR="007B272B" w:rsidRDefault="007B272B" w:rsidP="007B272B">
      <w:pPr>
        <w:pStyle w:val="BodyTextSMPC"/>
        <w:jc w:val="thaiDistribute"/>
      </w:pPr>
      <w:r>
        <w:t>Phenoxymethylpenicillin 250mg is approximately equivalent to 400,000 units.</w:t>
      </w:r>
    </w:p>
    <w:p w14:paraId="38AC85AD" w14:textId="6D6BC33E" w:rsidR="005F6CF4" w:rsidRDefault="007B272B" w:rsidP="007B272B">
      <w:pPr>
        <w:pStyle w:val="BodyTextSMPC"/>
        <w:jc w:val="thaiDistribute"/>
      </w:pPr>
      <w:r>
        <w:t>The usual dosage recommendations are as follows:</w:t>
      </w:r>
    </w:p>
    <w:tbl>
      <w:tblPr>
        <w:tblW w:w="8222"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252"/>
        <w:gridCol w:w="3970"/>
      </w:tblGrid>
      <w:tr w:rsidR="007B272B" w:rsidRPr="007B272B" w14:paraId="3102CDB4" w14:textId="77777777" w:rsidTr="00DE3AC8">
        <w:trPr>
          <w:tblCellSpacing w:w="0" w:type="dxa"/>
        </w:trPr>
        <w:tc>
          <w:tcPr>
            <w:tcW w:w="2586" w:type="pct"/>
            <w:tcBorders>
              <w:top w:val="outset" w:sz="6" w:space="0" w:color="auto"/>
              <w:left w:val="outset" w:sz="6" w:space="0" w:color="auto"/>
              <w:bottom w:val="outset" w:sz="6" w:space="0" w:color="auto"/>
              <w:right w:val="outset" w:sz="6" w:space="0" w:color="auto"/>
            </w:tcBorders>
            <w:shd w:val="clear" w:color="auto" w:fill="FFFFFF"/>
            <w:hideMark/>
          </w:tcPr>
          <w:p w14:paraId="433F4596" w14:textId="77777777" w:rsidR="007B272B" w:rsidRPr="007B272B" w:rsidRDefault="007B272B" w:rsidP="007B272B">
            <w:pPr>
              <w:pStyle w:val="BodyTextSMPC"/>
              <w:spacing w:after="0"/>
              <w:ind w:left="0"/>
              <w:jc w:val="left"/>
            </w:pPr>
            <w:r w:rsidRPr="007B272B">
              <w:t>Adults (including the elderly) and children over 12 years: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6D5D57EB" w14:textId="77777777" w:rsidR="007B272B" w:rsidRPr="007B272B" w:rsidRDefault="007B272B" w:rsidP="007B272B">
            <w:pPr>
              <w:pStyle w:val="BodyTextSMPC"/>
              <w:spacing w:after="0"/>
              <w:ind w:left="0"/>
              <w:jc w:val="left"/>
            </w:pPr>
            <w:r w:rsidRPr="007B272B">
              <w:t>250mg - 500mg every six hours</w:t>
            </w:r>
          </w:p>
        </w:tc>
      </w:tr>
      <w:tr w:rsidR="007B272B" w:rsidRPr="007B272B" w14:paraId="61544623" w14:textId="77777777" w:rsidTr="00DE3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39A4BA1" w14:textId="77777777" w:rsidR="007B272B" w:rsidRPr="007B272B" w:rsidRDefault="007B272B" w:rsidP="007B272B">
            <w:pPr>
              <w:pStyle w:val="BodyTextSMPC"/>
              <w:spacing w:after="0"/>
              <w:ind w:left="0"/>
              <w:jc w:val="left"/>
            </w:pPr>
            <w:r w:rsidRPr="007B272B">
              <w:t>Children:</w:t>
            </w:r>
          </w:p>
        </w:tc>
      </w:tr>
      <w:tr w:rsidR="007B272B" w:rsidRPr="007B272B" w14:paraId="6DD18CE9" w14:textId="77777777" w:rsidTr="00DE3AC8">
        <w:trPr>
          <w:tblCellSpacing w:w="0" w:type="dxa"/>
        </w:trPr>
        <w:tc>
          <w:tcPr>
            <w:tcW w:w="2586" w:type="pct"/>
            <w:tcBorders>
              <w:top w:val="outset" w:sz="6" w:space="0" w:color="auto"/>
              <w:left w:val="outset" w:sz="6" w:space="0" w:color="auto"/>
              <w:bottom w:val="outset" w:sz="6" w:space="0" w:color="auto"/>
              <w:right w:val="outset" w:sz="6" w:space="0" w:color="auto"/>
            </w:tcBorders>
            <w:shd w:val="clear" w:color="auto" w:fill="FFFFFF"/>
            <w:hideMark/>
          </w:tcPr>
          <w:p w14:paraId="7913A712" w14:textId="77777777" w:rsidR="007B272B" w:rsidRPr="007B272B" w:rsidRDefault="007B272B" w:rsidP="007B272B">
            <w:pPr>
              <w:pStyle w:val="BodyTextSMPC"/>
              <w:spacing w:after="0"/>
              <w:ind w:left="0"/>
              <w:jc w:val="left"/>
            </w:pPr>
            <w:r w:rsidRPr="007B272B">
              <w:t>Infants (up to 1 year)</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01FD4F22" w14:textId="77777777" w:rsidR="007B272B" w:rsidRPr="007B272B" w:rsidRDefault="007B272B" w:rsidP="007B272B">
            <w:pPr>
              <w:pStyle w:val="BodyTextSMPC"/>
              <w:spacing w:after="0"/>
              <w:ind w:left="0"/>
              <w:jc w:val="left"/>
            </w:pPr>
            <w:r w:rsidRPr="007B272B">
              <w:t>62.5mg every six hours</w:t>
            </w:r>
          </w:p>
        </w:tc>
      </w:tr>
      <w:tr w:rsidR="007B272B" w:rsidRPr="007B272B" w14:paraId="0E969408" w14:textId="77777777" w:rsidTr="00DE3AC8">
        <w:trPr>
          <w:tblCellSpacing w:w="0" w:type="dxa"/>
        </w:trPr>
        <w:tc>
          <w:tcPr>
            <w:tcW w:w="2586" w:type="pct"/>
            <w:tcBorders>
              <w:top w:val="outset" w:sz="6" w:space="0" w:color="auto"/>
              <w:left w:val="outset" w:sz="6" w:space="0" w:color="auto"/>
              <w:bottom w:val="outset" w:sz="6" w:space="0" w:color="auto"/>
              <w:right w:val="outset" w:sz="6" w:space="0" w:color="auto"/>
            </w:tcBorders>
            <w:shd w:val="clear" w:color="auto" w:fill="FFFFFF"/>
            <w:hideMark/>
          </w:tcPr>
          <w:p w14:paraId="1B17C461" w14:textId="77777777" w:rsidR="007B272B" w:rsidRPr="007B272B" w:rsidRDefault="007B272B" w:rsidP="007B272B">
            <w:pPr>
              <w:pStyle w:val="BodyTextSMPC"/>
              <w:spacing w:after="0"/>
              <w:ind w:left="0"/>
              <w:jc w:val="left"/>
            </w:pPr>
            <w:r w:rsidRPr="007B272B">
              <w:t>1-5 years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79D57FD9" w14:textId="77777777" w:rsidR="007B272B" w:rsidRPr="007B272B" w:rsidRDefault="007B272B" w:rsidP="007B272B">
            <w:pPr>
              <w:pStyle w:val="BodyTextSMPC"/>
              <w:spacing w:after="0"/>
              <w:ind w:left="0"/>
              <w:jc w:val="left"/>
            </w:pPr>
            <w:r w:rsidRPr="007B272B">
              <w:t>125mg every six hours</w:t>
            </w:r>
          </w:p>
        </w:tc>
      </w:tr>
      <w:tr w:rsidR="007B272B" w:rsidRPr="007B272B" w14:paraId="4D38E5A3" w14:textId="77777777" w:rsidTr="00DE3AC8">
        <w:trPr>
          <w:tblCellSpacing w:w="0" w:type="dxa"/>
        </w:trPr>
        <w:tc>
          <w:tcPr>
            <w:tcW w:w="2586" w:type="pct"/>
            <w:tcBorders>
              <w:top w:val="outset" w:sz="6" w:space="0" w:color="auto"/>
              <w:left w:val="outset" w:sz="6" w:space="0" w:color="auto"/>
              <w:bottom w:val="outset" w:sz="6" w:space="0" w:color="auto"/>
              <w:right w:val="outset" w:sz="6" w:space="0" w:color="auto"/>
            </w:tcBorders>
            <w:shd w:val="clear" w:color="auto" w:fill="FFFFFF"/>
            <w:hideMark/>
          </w:tcPr>
          <w:p w14:paraId="41B9B579" w14:textId="77777777" w:rsidR="007B272B" w:rsidRPr="007B272B" w:rsidRDefault="007B272B" w:rsidP="007B272B">
            <w:pPr>
              <w:pStyle w:val="BodyTextSMPC"/>
              <w:spacing w:after="0"/>
              <w:ind w:left="0"/>
              <w:jc w:val="left"/>
            </w:pPr>
            <w:r w:rsidRPr="007B272B">
              <w:t>6-12 years</w:t>
            </w:r>
          </w:p>
        </w:tc>
        <w:tc>
          <w:tcPr>
            <w:tcW w:w="2414" w:type="pct"/>
            <w:tcBorders>
              <w:top w:val="outset" w:sz="6" w:space="0" w:color="auto"/>
              <w:left w:val="outset" w:sz="6" w:space="0" w:color="auto"/>
              <w:bottom w:val="outset" w:sz="6" w:space="0" w:color="auto"/>
              <w:right w:val="outset" w:sz="6" w:space="0" w:color="auto"/>
            </w:tcBorders>
            <w:shd w:val="clear" w:color="auto" w:fill="FFFFFF"/>
            <w:hideMark/>
          </w:tcPr>
          <w:p w14:paraId="0C73B023" w14:textId="77777777" w:rsidR="007B272B" w:rsidRPr="007B272B" w:rsidRDefault="007B272B" w:rsidP="007B272B">
            <w:pPr>
              <w:pStyle w:val="BodyTextSMPC"/>
              <w:spacing w:after="0"/>
              <w:ind w:left="0"/>
              <w:jc w:val="left"/>
            </w:pPr>
            <w:r w:rsidRPr="007B272B">
              <w:t>250mg every six hours</w:t>
            </w:r>
          </w:p>
        </w:tc>
      </w:tr>
    </w:tbl>
    <w:p w14:paraId="619A9F9C" w14:textId="77777777" w:rsidR="007B272B" w:rsidRDefault="007B272B" w:rsidP="00DE3AC8">
      <w:pPr>
        <w:pStyle w:val="BodyTextSMPC"/>
        <w:ind w:left="0"/>
        <w:jc w:val="thaiDistribute"/>
      </w:pPr>
    </w:p>
    <w:p w14:paraId="77067EE0" w14:textId="69DFBFFC" w:rsidR="00DE3AC8" w:rsidRPr="00DE3AC8" w:rsidRDefault="00DE3AC8" w:rsidP="00DE3AC8">
      <w:pPr>
        <w:pStyle w:val="BodyTextSMPC"/>
        <w:jc w:val="thaiDistribute"/>
        <w:rPr>
          <w:b/>
          <w:bCs/>
        </w:rPr>
      </w:pPr>
      <w:r w:rsidRPr="00DE3AC8">
        <w:rPr>
          <w:b/>
          <w:bCs/>
        </w:rPr>
        <w:t>Prophylactic Use</w:t>
      </w:r>
    </w:p>
    <w:p w14:paraId="25EEF7B9" w14:textId="47D5142B" w:rsidR="00DE3AC8" w:rsidRDefault="00DE3AC8" w:rsidP="00DE3AC8">
      <w:pPr>
        <w:pStyle w:val="BodyTextSMPC"/>
        <w:jc w:val="thaiDistribute"/>
      </w:pPr>
      <w:r>
        <w:lastRenderedPageBreak/>
        <w:t>Prophylaxis of rheumatic fever/chorea: 250mg twice daily on a continuing basis</w:t>
      </w:r>
    </w:p>
    <w:p w14:paraId="7B0F25BF" w14:textId="54739C7F" w:rsidR="00DE3AC8" w:rsidRDefault="00DE3AC8" w:rsidP="00DE3AC8">
      <w:pPr>
        <w:pStyle w:val="BodyTextSMPC"/>
        <w:jc w:val="thaiDistribute"/>
      </w:pPr>
      <w:r>
        <w:t>Prophylaxis of pneumococcal infection (e.g. in asplenia and in sickle cell disease):</w:t>
      </w:r>
    </w:p>
    <w:p w14:paraId="0D5F360F" w14:textId="72479D09" w:rsidR="00DE3AC8" w:rsidRDefault="00DE3AC8" w:rsidP="00DE3AC8">
      <w:pPr>
        <w:pStyle w:val="BodyTextSMPC"/>
        <w:jc w:val="thaiDistribute"/>
      </w:pPr>
      <w:r w:rsidRPr="00DE3AC8">
        <w:rPr>
          <w:b/>
          <w:bCs/>
        </w:rPr>
        <w:t>Adults and children over 12 years</w:t>
      </w:r>
      <w:r>
        <w:t>: 500mg every 12 hours</w:t>
      </w:r>
    </w:p>
    <w:p w14:paraId="3D5D37EF" w14:textId="4060477F" w:rsidR="00DE3AC8" w:rsidRDefault="00DE3AC8" w:rsidP="00DE3AC8">
      <w:pPr>
        <w:pStyle w:val="BodyTextSMPC"/>
        <w:jc w:val="thaiDistribute"/>
      </w:pPr>
      <w:r w:rsidRPr="00DE3AC8">
        <w:rPr>
          <w:b/>
          <w:bCs/>
        </w:rPr>
        <w:t>Children 6-12 years</w:t>
      </w:r>
      <w:r>
        <w:t>: 250mg every 12 hours</w:t>
      </w:r>
    </w:p>
    <w:p w14:paraId="3AF2BDED" w14:textId="48A3BC43" w:rsidR="00DE3AC8" w:rsidRDefault="00DE3AC8" w:rsidP="00DE3AC8">
      <w:pPr>
        <w:pStyle w:val="BodyTextSMPC"/>
        <w:jc w:val="thaiDistribute"/>
      </w:pPr>
      <w:r w:rsidRPr="00DE3AC8">
        <w:rPr>
          <w:b/>
          <w:bCs/>
        </w:rPr>
        <w:t>Children below 5 years</w:t>
      </w:r>
      <w:r>
        <w:t>: 125mg every 12 hours.</w:t>
      </w:r>
    </w:p>
    <w:p w14:paraId="29992368" w14:textId="4C7A2A1C" w:rsidR="00DE3AC8" w:rsidRPr="00DE3AC8" w:rsidRDefault="00DE3AC8" w:rsidP="00DE3AC8">
      <w:pPr>
        <w:pStyle w:val="BodyTextSMPC"/>
        <w:jc w:val="thaiDistribute"/>
        <w:rPr>
          <w:b/>
          <w:bCs/>
        </w:rPr>
      </w:pPr>
      <w:r w:rsidRPr="00DE3AC8">
        <w:rPr>
          <w:b/>
          <w:bCs/>
        </w:rPr>
        <w:t>Elderly</w:t>
      </w:r>
    </w:p>
    <w:p w14:paraId="7E9F7A9E" w14:textId="05AE50DD" w:rsidR="00DE3AC8" w:rsidRDefault="00DE3AC8" w:rsidP="00DE3AC8">
      <w:pPr>
        <w:pStyle w:val="BodyTextSMPC"/>
        <w:jc w:val="thaiDistribute"/>
      </w:pPr>
      <w:r>
        <w:t>The dosage is as for adults. The dosage should be reduced if renal function is markedly impaired.</w:t>
      </w:r>
    </w:p>
    <w:p w14:paraId="14C72737" w14:textId="0B60D5DA" w:rsidR="00DE3AC8" w:rsidRPr="00DE3AC8" w:rsidRDefault="00DE3AC8" w:rsidP="00DE3AC8">
      <w:pPr>
        <w:pStyle w:val="BodyTextSMPC"/>
        <w:jc w:val="thaiDistribute"/>
        <w:rPr>
          <w:b/>
          <w:bCs/>
        </w:rPr>
      </w:pPr>
      <w:r w:rsidRPr="00DE3AC8">
        <w:rPr>
          <w:b/>
          <w:bCs/>
        </w:rPr>
        <w:t>Renal impairment</w:t>
      </w:r>
    </w:p>
    <w:p w14:paraId="01A803A6" w14:textId="1CF8BC14" w:rsidR="00DE3AC8" w:rsidRDefault="00DE3AC8" w:rsidP="00DE3AC8">
      <w:pPr>
        <w:pStyle w:val="BodyTextSMPC"/>
        <w:jc w:val="thaiDistribute"/>
      </w:pPr>
      <w:r>
        <w:t>The dosage should be reduced if renal function is markedly impaired.</w:t>
      </w:r>
    </w:p>
    <w:p w14:paraId="2187D807" w14:textId="0D54015E" w:rsidR="00DE3AC8" w:rsidRPr="00DE3AC8" w:rsidRDefault="00DE3AC8" w:rsidP="00DE3AC8">
      <w:pPr>
        <w:pStyle w:val="BodyTextSMPC"/>
        <w:jc w:val="thaiDistribute"/>
        <w:rPr>
          <w:b/>
          <w:bCs/>
        </w:rPr>
      </w:pPr>
      <w:r w:rsidRPr="00DE3AC8">
        <w:rPr>
          <w:b/>
          <w:bCs/>
        </w:rPr>
        <w:t>Hepatic impairment</w:t>
      </w:r>
    </w:p>
    <w:p w14:paraId="2EB18C4B" w14:textId="293C503A" w:rsidR="0085244F" w:rsidRPr="0085244F" w:rsidRDefault="00DE3AC8" w:rsidP="00DE3AC8">
      <w:pPr>
        <w:pStyle w:val="BodyTextSMPC"/>
        <w:jc w:val="thaiDistribute"/>
      </w:pPr>
      <w:r>
        <w:t>Dosage adjustment may be necessary in patients with impaired liver function when they also have renal failure. In this situation the liver may be a major excretion route.</w:t>
      </w:r>
    </w:p>
    <w:p w14:paraId="302D1C64" w14:textId="77777777" w:rsidR="001B182E" w:rsidRPr="001B182E" w:rsidRDefault="001B182E" w:rsidP="001B182E">
      <w:pPr>
        <w:pStyle w:val="BodyTextSMPC"/>
        <w:jc w:val="thaiDistribute"/>
        <w:rPr>
          <w:b/>
          <w:bCs/>
        </w:rPr>
      </w:pPr>
      <w:r w:rsidRPr="001B182E">
        <w:rPr>
          <w:b/>
          <w:bCs/>
        </w:rPr>
        <w:t>Method of administration</w:t>
      </w:r>
    </w:p>
    <w:p w14:paraId="14ECCBE7" w14:textId="5BBB6168" w:rsidR="001162E6" w:rsidRPr="00155E77" w:rsidRDefault="00DE3AC8" w:rsidP="00DE3AC8">
      <w:pPr>
        <w:pStyle w:val="BodyTextSMPC"/>
      </w:pPr>
      <w:r w:rsidRPr="00DE3AC8">
        <w:t>For instructions on reconstitution of the medicinal product before administration, see section 6.6.</w:t>
      </w:r>
    </w:p>
    <w:p w14:paraId="5B05A77F" w14:textId="77777777" w:rsidR="00671E86" w:rsidRPr="008F5678" w:rsidRDefault="00000000" w:rsidP="00233A79">
      <w:pPr>
        <w:pStyle w:val="SubHeafingSMPC"/>
      </w:pPr>
      <w:r w:rsidRPr="008F5678">
        <w:t>Contraindications</w:t>
      </w:r>
    </w:p>
    <w:p w14:paraId="532DBA29" w14:textId="37D353D6" w:rsidR="00B326D9" w:rsidRPr="00764CE4" w:rsidRDefault="00764CE4" w:rsidP="007E6300">
      <w:pPr>
        <w:pStyle w:val="BodyTextSMPC"/>
        <w:jc w:val="left"/>
        <w:rPr>
          <w:rFonts w:cstheme="minorBidi" w:hint="cs"/>
          <w:cs/>
        </w:rPr>
      </w:pPr>
      <w:r w:rsidRPr="00764CE4">
        <w:t>Phenoxymethylpenicillin is contraindicated in patients known to be hypersensitive to Penicillin or to any of the excipients listed in section 6.1 and should be used with caution in patients with known histories of allergy</w:t>
      </w:r>
      <w:r>
        <w:rPr>
          <w:rFonts w:cstheme="minorBidi" w:hint="cs"/>
          <w:cs/>
        </w:rPr>
        <w:t>.</w:t>
      </w:r>
    </w:p>
    <w:p w14:paraId="6955ACE4" w14:textId="77777777" w:rsidR="00A144D2" w:rsidRPr="008F5678" w:rsidRDefault="00000000" w:rsidP="00671E86">
      <w:pPr>
        <w:pStyle w:val="SubHeafingSMPC"/>
      </w:pPr>
      <w:r w:rsidRPr="008F5678">
        <w:t xml:space="preserve">Special warnings and precautions for use </w:t>
      </w:r>
    </w:p>
    <w:p w14:paraId="097F8110" w14:textId="77777777" w:rsidR="00764CE4" w:rsidRDefault="00764CE4" w:rsidP="00764CE4">
      <w:pPr>
        <w:pStyle w:val="BodyTextSMPC"/>
        <w:jc w:val="thaiDistribute"/>
      </w:pPr>
      <w:r>
        <w:t>Penicillin should be used with caution in individuals with histories of significant allergies and/or asthma. All degrees of hypersensitivity, including fatal anaphylaxis, have been observed with oral penicillin.</w:t>
      </w:r>
    </w:p>
    <w:p w14:paraId="3A37B162" w14:textId="7B86F456" w:rsidR="00764CE4" w:rsidRDefault="00764CE4" w:rsidP="00764CE4">
      <w:pPr>
        <w:pStyle w:val="BodyTextSMPC"/>
        <w:jc w:val="thaiDistribute"/>
      </w:pPr>
      <w:r>
        <w:lastRenderedPageBreak/>
        <w:t xml:space="preserve">These reactions are more likely to occur in individuals with a history of sensitivity to </w:t>
      </w:r>
      <w:proofErr w:type="spellStart"/>
      <w:r>
        <w:t>penicillins</w:t>
      </w:r>
      <w:proofErr w:type="spellEnd"/>
      <w:r>
        <w:t>, cephalosporins and other allergens. Enquiries should be made for such a history before therapy is begun. If any allergic reaction occurs, the drug should be discontinued and the patient treated with the usual agents (e.g. adrenaline and other pressor amines, antihistamines and corticosteroids).</w:t>
      </w:r>
    </w:p>
    <w:p w14:paraId="690D0A90" w14:textId="035889EC" w:rsidR="00764CE4" w:rsidRDefault="00764CE4" w:rsidP="00764CE4">
      <w:pPr>
        <w:pStyle w:val="BodyTextSMPC"/>
        <w:jc w:val="thaiDistribute"/>
      </w:pPr>
      <w:r>
        <w:t>Oral therapy should not be relied upon for patients with severe illness, or with nausea, vomiting, gastric dilation, achalasia or intestinal hypermotility.</w:t>
      </w:r>
    </w:p>
    <w:p w14:paraId="26DA7F12" w14:textId="76AFCDD1" w:rsidR="00764CE4" w:rsidRDefault="00764CE4" w:rsidP="00764CE4">
      <w:pPr>
        <w:pStyle w:val="BodyTextSMPC"/>
        <w:jc w:val="thaiDistribute"/>
      </w:pPr>
      <w:r>
        <w:t>Occasionally patients do not absorb therapeutic amounts of orally administered penicillin.</w:t>
      </w:r>
    </w:p>
    <w:p w14:paraId="4F6CDE55" w14:textId="5177B5C6" w:rsidR="00764CE4" w:rsidRDefault="00764CE4" w:rsidP="00764CE4">
      <w:pPr>
        <w:pStyle w:val="BodyTextSMPC"/>
        <w:jc w:val="thaiDistribute"/>
      </w:pPr>
      <w:r>
        <w:t>Administer with caution in the presence of markedly impaired renal function, as safe dosage may be lower than the usually recommended doses.</w:t>
      </w:r>
    </w:p>
    <w:p w14:paraId="21B8A6BF" w14:textId="788547AA" w:rsidR="00764CE4" w:rsidRDefault="00764CE4" w:rsidP="00764CE4">
      <w:pPr>
        <w:pStyle w:val="BodyTextSMPC"/>
        <w:jc w:val="thaiDistribute"/>
      </w:pPr>
      <w:r>
        <w:t>Streptococcal infections should be treated for a minimum of 10 days, and post therapy cultures should be performed to confirm the eradication of the organisms.</w:t>
      </w:r>
    </w:p>
    <w:p w14:paraId="23184753" w14:textId="2C1B43B0" w:rsidR="00764CE4" w:rsidRDefault="00764CE4" w:rsidP="00764CE4">
      <w:pPr>
        <w:pStyle w:val="BodyTextSMPC"/>
        <w:jc w:val="thaiDistribute"/>
      </w:pPr>
      <w:r>
        <w:t>Prolonged use of antibiotics may promote the over growth of non-susceptible organisms, including fungi. If super infection occurs, appropriate measures should be taken.</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AA49603" w14:textId="5EF18C36" w:rsidR="006C5FF4" w:rsidRDefault="00000000" w:rsidP="006C5FF4">
      <w:pPr>
        <w:pStyle w:val="SubHeafingSMPC"/>
      </w:pPr>
      <w:r w:rsidRPr="008F5678">
        <w:t xml:space="preserve">Interaction with other medicinal products and other forms of interaction </w:t>
      </w:r>
    </w:p>
    <w:p w14:paraId="3C29C29D" w14:textId="47A27C84" w:rsidR="00764CE4" w:rsidRDefault="00764CE4" w:rsidP="00764CE4">
      <w:pPr>
        <w:pStyle w:val="BodyTextSMPC"/>
      </w:pPr>
      <w:r w:rsidRPr="00764CE4">
        <w:rPr>
          <w:b/>
          <w:bCs/>
        </w:rPr>
        <w:t>Aminoglycosides</w:t>
      </w:r>
      <w:r>
        <w:t>: Neomycin is reported to reduce the absorption of phenoxymethylpenicillin.</w:t>
      </w:r>
    </w:p>
    <w:p w14:paraId="2B2D261F" w14:textId="3F8FA7CC" w:rsidR="00764CE4" w:rsidRDefault="00764CE4" w:rsidP="00764CE4">
      <w:pPr>
        <w:pStyle w:val="BodyTextSMPC"/>
      </w:pPr>
      <w:r w:rsidRPr="00764CE4">
        <w:rPr>
          <w:b/>
          <w:bCs/>
        </w:rPr>
        <w:t>Anticoagulants</w:t>
      </w:r>
      <w:r>
        <w:t xml:space="preserve">: </w:t>
      </w:r>
      <w:proofErr w:type="spellStart"/>
      <w:r>
        <w:t>Penicillins</w:t>
      </w:r>
      <w:proofErr w:type="spellEnd"/>
      <w:r>
        <w:t xml:space="preserve"> may interfere with anticoagulant control.</w:t>
      </w:r>
    </w:p>
    <w:p w14:paraId="19FE2736" w14:textId="052520C5" w:rsidR="00764CE4" w:rsidRDefault="00764CE4" w:rsidP="00764CE4">
      <w:pPr>
        <w:pStyle w:val="BodyTextSMPC"/>
      </w:pPr>
      <w:r w:rsidRPr="00764CE4">
        <w:rPr>
          <w:b/>
          <w:bCs/>
        </w:rPr>
        <w:t>Bacteriostatic antibiotics</w:t>
      </w:r>
      <w:r>
        <w:t xml:space="preserve">: Certain bacteriostatic antibiotics such as Chloramphenicol, Erythromycin and Tetracyclines have been reported to </w:t>
      </w:r>
      <w:proofErr w:type="spellStart"/>
      <w:r>
        <w:t>antagonise</w:t>
      </w:r>
      <w:proofErr w:type="spellEnd"/>
      <w:r>
        <w:t xml:space="preserve"> the bactericidal activity of </w:t>
      </w:r>
      <w:proofErr w:type="spellStart"/>
      <w:r>
        <w:t>penicillins</w:t>
      </w:r>
      <w:proofErr w:type="spellEnd"/>
      <w:r>
        <w:t xml:space="preserve"> and concomitant use is not recommended.</w:t>
      </w:r>
    </w:p>
    <w:p w14:paraId="306796BB" w14:textId="7C66C901" w:rsidR="00764CE4" w:rsidRDefault="00764CE4" w:rsidP="00764CE4">
      <w:pPr>
        <w:pStyle w:val="BodyTextSMPC"/>
      </w:pPr>
      <w:r w:rsidRPr="00764CE4">
        <w:rPr>
          <w:b/>
          <w:bCs/>
        </w:rPr>
        <w:lastRenderedPageBreak/>
        <w:t>Guar gum</w:t>
      </w:r>
      <w:r>
        <w:t>: Reduced absorption of phenoxymethylpenicillin</w:t>
      </w:r>
    </w:p>
    <w:p w14:paraId="6DAF17EE" w14:textId="0E3A2859" w:rsidR="00764CE4" w:rsidRDefault="00764CE4" w:rsidP="00764CE4">
      <w:pPr>
        <w:pStyle w:val="BodyTextSMPC"/>
      </w:pPr>
      <w:r w:rsidRPr="00764CE4">
        <w:rPr>
          <w:b/>
          <w:bCs/>
        </w:rPr>
        <w:t>Methotrexate</w:t>
      </w:r>
      <w:r>
        <w:t>: Use of Phenoxymethylpenicillin while taking methotrexate can cause reduced excretion of methotrexate thereby increasing the risk of toxicity.</w:t>
      </w:r>
    </w:p>
    <w:p w14:paraId="3CF7C55F" w14:textId="682A90E8" w:rsidR="00764CE4" w:rsidRDefault="00764CE4" w:rsidP="00764CE4">
      <w:pPr>
        <w:pStyle w:val="BodyTextSMPC"/>
      </w:pPr>
      <w:r w:rsidRPr="00764CE4">
        <w:rPr>
          <w:b/>
          <w:bCs/>
        </w:rPr>
        <w:t>Probenecid</w:t>
      </w:r>
      <w:r>
        <w:t>: Reduced excretion of phenoxymethylpenicillin by competing with it for renal tubular secretion.</w:t>
      </w:r>
    </w:p>
    <w:p w14:paraId="3FDC719C" w14:textId="4406056C" w:rsidR="00764CE4" w:rsidRDefault="00764CE4" w:rsidP="00764CE4">
      <w:pPr>
        <w:pStyle w:val="BodyTextSMPC"/>
      </w:pPr>
      <w:r w:rsidRPr="00764CE4">
        <w:rPr>
          <w:b/>
          <w:bCs/>
        </w:rPr>
        <w:t>Sulfinpyrazone</w:t>
      </w:r>
      <w:r>
        <w:t xml:space="preserve">: Excretion of </w:t>
      </w:r>
      <w:proofErr w:type="spellStart"/>
      <w:r>
        <w:t>penicillins</w:t>
      </w:r>
      <w:proofErr w:type="spellEnd"/>
      <w:r>
        <w:t xml:space="preserve"> reduced by sulfinpyrazone.</w:t>
      </w:r>
    </w:p>
    <w:p w14:paraId="1B13E628" w14:textId="5AF50A35" w:rsidR="00764CE4" w:rsidRDefault="00764CE4" w:rsidP="00764CE4">
      <w:pPr>
        <w:pStyle w:val="BodyTextSMPC"/>
      </w:pPr>
      <w:r w:rsidRPr="00764CE4">
        <w:rPr>
          <w:b/>
          <w:bCs/>
        </w:rPr>
        <w:t>Typhoid vaccine (oral)</w:t>
      </w:r>
      <w:r>
        <w:t xml:space="preserve">: </w:t>
      </w:r>
      <w:proofErr w:type="spellStart"/>
      <w:r>
        <w:t>Penicillins</w:t>
      </w:r>
      <w:proofErr w:type="spellEnd"/>
      <w:r>
        <w:t xml:space="preserve"> may inactivate oral typhoid vaccine if ingested concomitantly.</w:t>
      </w:r>
    </w:p>
    <w:p w14:paraId="673441DB" w14:textId="4DEA82BA" w:rsidR="00917E47" w:rsidRPr="00917E47" w:rsidRDefault="00000000" w:rsidP="00565DA9">
      <w:pPr>
        <w:pStyle w:val="SubHeafingSMPC"/>
      </w:pPr>
      <w:r w:rsidRPr="008F5678">
        <w:t xml:space="preserve">Fertility, pregnancy and lactation </w:t>
      </w:r>
    </w:p>
    <w:p w14:paraId="0C23359C" w14:textId="6F86227A" w:rsidR="00D32C40" w:rsidRPr="00D32C40" w:rsidRDefault="00D32C40" w:rsidP="00D32C40">
      <w:pPr>
        <w:pStyle w:val="BodyTextSMPC"/>
        <w:rPr>
          <w:b/>
          <w:bCs/>
        </w:rPr>
      </w:pPr>
      <w:r w:rsidRPr="00D32C40">
        <w:rPr>
          <w:b/>
          <w:bCs/>
        </w:rPr>
        <w:t>Pregnancy</w:t>
      </w:r>
    </w:p>
    <w:p w14:paraId="6A797482" w14:textId="20CFB5C6" w:rsidR="009E3884" w:rsidRDefault="00D50113" w:rsidP="009E3884">
      <w:pPr>
        <w:pStyle w:val="BodyTextSMPC"/>
      </w:pPr>
      <w:r w:rsidRPr="00D50113">
        <w:t>There are no or a limited amount of data from the use of Phenoxymethylpenicillin in pregnant women. As a precautionary measure, it is preferable to avoid the use of Phenoxymethylpenicillin during pregnancy</w:t>
      </w:r>
      <w:r w:rsidR="009E3884">
        <w:t>.</w:t>
      </w:r>
      <w:r w:rsidR="00565DA9">
        <w:t xml:space="preserve"> </w:t>
      </w:r>
    </w:p>
    <w:p w14:paraId="0F6D438F" w14:textId="21009765" w:rsidR="00D32C40" w:rsidRPr="00D32C40" w:rsidRDefault="00D32C40" w:rsidP="00D32C40">
      <w:pPr>
        <w:pStyle w:val="BodyTextSMPC"/>
        <w:rPr>
          <w:b/>
          <w:bCs/>
        </w:rPr>
      </w:pPr>
      <w:r w:rsidRPr="00D32C40">
        <w:rPr>
          <w:b/>
          <w:bCs/>
        </w:rPr>
        <w:t>Breast-feeding</w:t>
      </w:r>
    </w:p>
    <w:p w14:paraId="4CD17453" w14:textId="7903B08B" w:rsidR="00E03AFA" w:rsidRPr="00E03AFA" w:rsidRDefault="00D50113" w:rsidP="00D50113">
      <w:pPr>
        <w:pStyle w:val="BodyTextSMPC"/>
      </w:pPr>
      <w:r w:rsidRPr="00D50113">
        <w:t>Phenoxymethylpenicillin metabolites are excreted in human milk to such an extent that effects on breastfed newborns are likely</w:t>
      </w:r>
      <w:r w:rsidR="00D32C4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31AE2FFA" w:rsidR="00227FD4" w:rsidRPr="009D6FFD" w:rsidRDefault="00D50113" w:rsidP="00565DA9">
      <w:pPr>
        <w:pStyle w:val="BodyTextSMPC"/>
      </w:pPr>
      <w:r w:rsidRPr="00D50113">
        <w:t>None known</w:t>
      </w:r>
      <w:r w:rsidR="009D6FFD" w:rsidRPr="009D6FFD">
        <w:t xml:space="preserve"> </w:t>
      </w:r>
    </w:p>
    <w:p w14:paraId="1D5B4E08" w14:textId="3149A504" w:rsidR="008E6568" w:rsidRDefault="00000000" w:rsidP="008E6568">
      <w:pPr>
        <w:pStyle w:val="SubHeafingSMPC"/>
      </w:pPr>
      <w:r w:rsidRPr="008F5678">
        <w:t xml:space="preserve">Undesirable effects </w:t>
      </w:r>
    </w:p>
    <w:p w14:paraId="396D0B92" w14:textId="5EC2F8C9" w:rsidR="008E6568" w:rsidRDefault="008E6568" w:rsidP="00D50113">
      <w:pPr>
        <w:pStyle w:val="BodyTextSMPC"/>
      </w:pPr>
      <w:r>
        <w:t>T</w:t>
      </w:r>
      <w:r w:rsidR="00D50113" w:rsidRPr="00D50113">
        <w:t>he most common reactions to oral penicillin are gastrointestinal effects and hypersensitivity reactions. Although hypersensitivity reactions have been reported much less frequently after oral than after parenteral therapy, it should be remembered that all forms of hypersensitivity, including fatal anaphylaxis have been observed with oral penicillin.</w:t>
      </w:r>
    </w:p>
    <w:p w14:paraId="1614F14D" w14:textId="67125FB7" w:rsidR="008E6568" w:rsidRDefault="00D50113" w:rsidP="008E6568">
      <w:pPr>
        <w:pStyle w:val="BodyTextSMPC"/>
      </w:pPr>
      <w:r w:rsidRPr="00D50113">
        <w:t xml:space="preserve">The following convention has been </w:t>
      </w:r>
      <w:proofErr w:type="spellStart"/>
      <w:r w:rsidRPr="00D50113">
        <w:t>utilised</w:t>
      </w:r>
      <w:proofErr w:type="spellEnd"/>
      <w:r w:rsidRPr="00D50113">
        <w:t xml:space="preserve"> for the classification of undesirable effects</w:t>
      </w:r>
      <w:r w:rsidR="008E6568">
        <w:t>.</w:t>
      </w:r>
    </w:p>
    <w:p w14:paraId="085A184E" w14:textId="77777777" w:rsidR="008E6568" w:rsidRDefault="008E6568" w:rsidP="008E6568">
      <w:pPr>
        <w:pStyle w:val="BodyTextSMPC"/>
      </w:pPr>
      <w:r>
        <w:t>V</w:t>
      </w:r>
      <w:r w:rsidR="00ED711D">
        <w:t>ery common (≥1/10)</w:t>
      </w:r>
    </w:p>
    <w:p w14:paraId="4A48C5D2" w14:textId="77777777" w:rsidR="008E6568" w:rsidRDefault="008E6568" w:rsidP="008E6568">
      <w:pPr>
        <w:pStyle w:val="BodyTextSMPC"/>
      </w:pPr>
      <w:r>
        <w:lastRenderedPageBreak/>
        <w:t>C</w:t>
      </w:r>
      <w:r w:rsidR="00ED711D">
        <w:t xml:space="preserve">ommon (≥1/100 to &lt;1/10) </w:t>
      </w:r>
    </w:p>
    <w:p w14:paraId="7D80BDD9" w14:textId="77777777" w:rsidR="008E6568" w:rsidRDefault="008E6568" w:rsidP="008E6568">
      <w:pPr>
        <w:pStyle w:val="BodyTextSMPC"/>
      </w:pPr>
      <w:r>
        <w:t>U</w:t>
      </w:r>
      <w:r w:rsidR="00ED711D">
        <w:t xml:space="preserve">ncommon (≥1/1,000 to &lt;1/100) </w:t>
      </w:r>
    </w:p>
    <w:p w14:paraId="5F5140E8" w14:textId="77777777" w:rsidR="008E6568" w:rsidRDefault="008E6568" w:rsidP="008E6568">
      <w:pPr>
        <w:pStyle w:val="BodyTextSMPC"/>
      </w:pPr>
      <w:r>
        <w:t>R</w:t>
      </w:r>
      <w:r w:rsidR="00ED711D">
        <w:t>are (≥1/10,000 to &lt;1/1,000)</w:t>
      </w:r>
    </w:p>
    <w:p w14:paraId="1B96E773" w14:textId="77777777" w:rsidR="008E6568" w:rsidRDefault="008E6568" w:rsidP="008E6568">
      <w:pPr>
        <w:pStyle w:val="BodyTextSMPC"/>
      </w:pPr>
      <w:r>
        <w:t>V</w:t>
      </w:r>
      <w:r w:rsidR="00ED711D">
        <w:t>ery rare (&lt;1/10,000)</w:t>
      </w:r>
    </w:p>
    <w:p w14:paraId="0708BF92" w14:textId="21913ECC" w:rsidR="00792326" w:rsidRDefault="008E6568" w:rsidP="008E6568">
      <w:pPr>
        <w:pStyle w:val="BodyTextSMPC"/>
      </w:pPr>
      <w:r>
        <w:t>N</w:t>
      </w:r>
      <w:r w:rsidR="00ED711D">
        <w:t>ot known (cannot be estimated from the available data)</w:t>
      </w:r>
      <w:r w:rsidR="00893A1A">
        <w:t>.</w:t>
      </w:r>
    </w:p>
    <w:tbl>
      <w:tblPr>
        <w:tblW w:w="8080"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57"/>
        <w:gridCol w:w="1413"/>
        <w:gridCol w:w="4610"/>
      </w:tblGrid>
      <w:tr w:rsidR="00D50113" w:rsidRPr="00D50113" w14:paraId="60E856ED" w14:textId="77777777" w:rsidTr="00D50113">
        <w:trPr>
          <w:tblCellSpacing w:w="0" w:type="dxa"/>
        </w:trPr>
        <w:tc>
          <w:tcPr>
            <w:tcW w:w="1273" w:type="pct"/>
            <w:tcBorders>
              <w:top w:val="outset" w:sz="6" w:space="0" w:color="auto"/>
              <w:left w:val="outset" w:sz="6" w:space="0" w:color="auto"/>
              <w:bottom w:val="outset" w:sz="6" w:space="0" w:color="auto"/>
              <w:right w:val="outset" w:sz="6" w:space="0" w:color="auto"/>
            </w:tcBorders>
            <w:shd w:val="clear" w:color="auto" w:fill="FFFFFF"/>
            <w:hideMark/>
          </w:tcPr>
          <w:p w14:paraId="102DD1B5" w14:textId="77777777" w:rsidR="00D50113" w:rsidRPr="00D50113" w:rsidRDefault="00D50113" w:rsidP="00D70220">
            <w:pPr>
              <w:pStyle w:val="BodyTextSMPC"/>
              <w:spacing w:after="0"/>
              <w:ind w:left="0"/>
              <w:jc w:val="left"/>
            </w:pPr>
            <w:r w:rsidRPr="00D50113">
              <w:t>Infections and infestations</w:t>
            </w: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48D2D5A9" w14:textId="77777777" w:rsidR="00D50113" w:rsidRPr="00D50113" w:rsidRDefault="00D50113" w:rsidP="00D50113">
            <w:pPr>
              <w:pStyle w:val="BodyTextSMPC"/>
              <w:spacing w:after="0"/>
              <w:ind w:left="0"/>
            </w:pPr>
            <w:r w:rsidRPr="00D50113">
              <w:t>Not known</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5B5B841E" w14:textId="77777777" w:rsidR="00D50113" w:rsidRPr="00D50113" w:rsidRDefault="00D50113" w:rsidP="00D70220">
            <w:pPr>
              <w:pStyle w:val="BodyTextSMPC"/>
              <w:spacing w:after="0"/>
              <w:ind w:left="0"/>
              <w:jc w:val="left"/>
            </w:pPr>
            <w:r w:rsidRPr="00D50113">
              <w:t>Pseudomembranous colitis</w:t>
            </w:r>
          </w:p>
        </w:tc>
      </w:tr>
      <w:tr w:rsidR="00D50113" w:rsidRPr="00D50113" w14:paraId="686D6A2E" w14:textId="77777777" w:rsidTr="00D50113">
        <w:trPr>
          <w:tblCellSpacing w:w="0" w:type="dxa"/>
        </w:trPr>
        <w:tc>
          <w:tcPr>
            <w:tcW w:w="127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C5BAEBE" w14:textId="77777777" w:rsidR="00D50113" w:rsidRPr="00D50113" w:rsidRDefault="00D50113" w:rsidP="00D70220">
            <w:pPr>
              <w:pStyle w:val="BodyTextSMPC"/>
              <w:spacing w:after="0"/>
              <w:ind w:left="0"/>
              <w:jc w:val="left"/>
            </w:pPr>
            <w:r w:rsidRPr="00D50113">
              <w:t>Blood and lymphatic Disorders</w:t>
            </w: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744B9765" w14:textId="77777777" w:rsidR="00D50113" w:rsidRPr="00D50113" w:rsidRDefault="00D50113" w:rsidP="00D50113">
            <w:pPr>
              <w:pStyle w:val="BodyTextSMPC"/>
              <w:spacing w:after="0"/>
              <w:ind w:left="0"/>
            </w:pPr>
            <w:r w:rsidRPr="00D50113">
              <w:t>Very rare</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12FBFEDF" w14:textId="77777777" w:rsidR="00D50113" w:rsidRPr="00D50113" w:rsidRDefault="00D50113" w:rsidP="00D70220">
            <w:pPr>
              <w:pStyle w:val="BodyTextSMPC"/>
              <w:spacing w:after="0"/>
              <w:ind w:left="0"/>
              <w:jc w:val="left"/>
            </w:pPr>
            <w:r w:rsidRPr="00D50113">
              <w:t xml:space="preserve">Changes in blood counts, including, thrombocytopenia, neutropenia, leucopenia, eosinophilia and </w:t>
            </w:r>
            <w:proofErr w:type="spellStart"/>
            <w:r w:rsidRPr="00D50113">
              <w:t>haemolytic</w:t>
            </w:r>
            <w:proofErr w:type="spellEnd"/>
            <w:r w:rsidRPr="00D50113">
              <w:t xml:space="preserve"> </w:t>
            </w:r>
            <w:proofErr w:type="spellStart"/>
            <w:r w:rsidRPr="00D50113">
              <w:t>anaemia</w:t>
            </w:r>
            <w:proofErr w:type="spellEnd"/>
            <w:r w:rsidRPr="00D50113">
              <w:t>.</w:t>
            </w:r>
          </w:p>
        </w:tc>
      </w:tr>
      <w:tr w:rsidR="00D50113" w:rsidRPr="00D50113" w14:paraId="62F193CA" w14:textId="77777777" w:rsidTr="00D50113">
        <w:trPr>
          <w:tblCellSpacing w:w="0" w:type="dxa"/>
        </w:trPr>
        <w:tc>
          <w:tcPr>
            <w:tcW w:w="1273" w:type="pct"/>
            <w:vMerge/>
            <w:tcBorders>
              <w:top w:val="outset" w:sz="6" w:space="0" w:color="auto"/>
              <w:left w:val="outset" w:sz="6" w:space="0" w:color="auto"/>
              <w:bottom w:val="outset" w:sz="6" w:space="0" w:color="auto"/>
              <w:right w:val="outset" w:sz="6" w:space="0" w:color="auto"/>
            </w:tcBorders>
            <w:shd w:val="clear" w:color="auto" w:fill="FFFFFF"/>
            <w:hideMark/>
          </w:tcPr>
          <w:p w14:paraId="488F5741" w14:textId="77777777" w:rsidR="00D50113" w:rsidRPr="00D50113" w:rsidRDefault="00D50113" w:rsidP="00D70220">
            <w:pPr>
              <w:pStyle w:val="BodyTextSMPC"/>
              <w:spacing w:after="0"/>
              <w:ind w:left="0"/>
              <w:jc w:val="left"/>
            </w:pP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3E132BB6" w14:textId="77777777" w:rsidR="00D50113" w:rsidRPr="00D50113" w:rsidRDefault="00D50113" w:rsidP="00D50113">
            <w:pPr>
              <w:pStyle w:val="BodyTextSMPC"/>
              <w:spacing w:after="0"/>
              <w:ind w:left="0"/>
            </w:pPr>
            <w:r w:rsidRPr="00D50113">
              <w:t>Not known</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0080A975" w14:textId="77777777" w:rsidR="00D50113" w:rsidRPr="00D50113" w:rsidRDefault="00D50113" w:rsidP="00D70220">
            <w:pPr>
              <w:pStyle w:val="BodyTextSMPC"/>
              <w:spacing w:after="0"/>
              <w:ind w:left="0"/>
              <w:jc w:val="left"/>
            </w:pPr>
            <w:r w:rsidRPr="00D50113">
              <w:t>Coagulation disorders (including prolongation of bleeding time and defective platelet function)</w:t>
            </w:r>
          </w:p>
        </w:tc>
      </w:tr>
      <w:tr w:rsidR="00D50113" w:rsidRPr="00D50113" w14:paraId="1DBEF0F2" w14:textId="77777777" w:rsidTr="00D50113">
        <w:trPr>
          <w:tblCellSpacing w:w="0" w:type="dxa"/>
        </w:trPr>
        <w:tc>
          <w:tcPr>
            <w:tcW w:w="127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8BFA59E" w14:textId="77777777" w:rsidR="00D50113" w:rsidRPr="00D50113" w:rsidRDefault="00D50113" w:rsidP="00D70220">
            <w:pPr>
              <w:pStyle w:val="BodyTextSMPC"/>
              <w:spacing w:after="0"/>
              <w:ind w:left="0"/>
              <w:jc w:val="left"/>
            </w:pPr>
            <w:r w:rsidRPr="00D50113">
              <w:t>Gastrointestinal disorders</w:t>
            </w: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1B417FA8" w14:textId="77777777" w:rsidR="00D50113" w:rsidRPr="00D50113" w:rsidRDefault="00D50113" w:rsidP="00D50113">
            <w:pPr>
              <w:pStyle w:val="BodyTextSMPC"/>
              <w:spacing w:after="0"/>
              <w:ind w:left="0"/>
            </w:pPr>
            <w:r w:rsidRPr="00D50113">
              <w:t>Common</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3ACB2108" w14:textId="77777777" w:rsidR="00D50113" w:rsidRPr="00D50113" w:rsidRDefault="00D50113" w:rsidP="00D70220">
            <w:pPr>
              <w:pStyle w:val="BodyTextSMPC"/>
              <w:spacing w:after="0"/>
              <w:ind w:left="0"/>
              <w:jc w:val="left"/>
            </w:pPr>
            <w:r w:rsidRPr="00D50113">
              <w:t xml:space="preserve">Nausea, vomiting, abdominal pain, </w:t>
            </w:r>
            <w:proofErr w:type="spellStart"/>
            <w:r w:rsidRPr="00D50113">
              <w:t>diarrhoea</w:t>
            </w:r>
            <w:proofErr w:type="spellEnd"/>
          </w:p>
        </w:tc>
      </w:tr>
      <w:tr w:rsidR="00D50113" w:rsidRPr="00D50113" w14:paraId="33A0A57F" w14:textId="77777777" w:rsidTr="00D50113">
        <w:trPr>
          <w:tblCellSpacing w:w="0" w:type="dxa"/>
        </w:trPr>
        <w:tc>
          <w:tcPr>
            <w:tcW w:w="1273" w:type="pct"/>
            <w:vMerge/>
            <w:tcBorders>
              <w:top w:val="outset" w:sz="6" w:space="0" w:color="auto"/>
              <w:left w:val="outset" w:sz="6" w:space="0" w:color="auto"/>
              <w:bottom w:val="outset" w:sz="6" w:space="0" w:color="auto"/>
              <w:right w:val="outset" w:sz="6" w:space="0" w:color="auto"/>
            </w:tcBorders>
            <w:shd w:val="clear" w:color="auto" w:fill="FFFFFF"/>
            <w:hideMark/>
          </w:tcPr>
          <w:p w14:paraId="412E40DE" w14:textId="77777777" w:rsidR="00D50113" w:rsidRPr="00D50113" w:rsidRDefault="00D50113" w:rsidP="00D70220">
            <w:pPr>
              <w:pStyle w:val="BodyTextSMPC"/>
              <w:spacing w:after="0"/>
              <w:ind w:left="0"/>
              <w:jc w:val="left"/>
            </w:pP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267B4D08" w14:textId="77777777" w:rsidR="00D50113" w:rsidRPr="00D50113" w:rsidRDefault="00D50113" w:rsidP="00D50113">
            <w:pPr>
              <w:pStyle w:val="BodyTextSMPC"/>
              <w:spacing w:after="0"/>
              <w:ind w:left="0"/>
            </w:pPr>
            <w:r w:rsidRPr="00D50113">
              <w:t>Not known</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6346F137" w14:textId="77777777" w:rsidR="00D50113" w:rsidRPr="00D50113" w:rsidRDefault="00D50113" w:rsidP="00D70220">
            <w:pPr>
              <w:pStyle w:val="BodyTextSMPC"/>
              <w:spacing w:after="0"/>
              <w:ind w:left="0"/>
              <w:jc w:val="left"/>
            </w:pPr>
            <w:r w:rsidRPr="00D50113">
              <w:t>Sore mouth and black hairy tongue (</w:t>
            </w:r>
            <w:proofErr w:type="spellStart"/>
            <w:r w:rsidRPr="00D50113">
              <w:t>discolouration</w:t>
            </w:r>
            <w:proofErr w:type="spellEnd"/>
            <w:r w:rsidRPr="00D50113">
              <w:t xml:space="preserve"> of tongue)</w:t>
            </w:r>
          </w:p>
        </w:tc>
      </w:tr>
      <w:tr w:rsidR="00D50113" w:rsidRPr="00D50113" w14:paraId="57B2EE8A" w14:textId="77777777" w:rsidTr="00D50113">
        <w:trPr>
          <w:tblCellSpacing w:w="0" w:type="dxa"/>
        </w:trPr>
        <w:tc>
          <w:tcPr>
            <w:tcW w:w="1273" w:type="pct"/>
            <w:tcBorders>
              <w:top w:val="outset" w:sz="6" w:space="0" w:color="auto"/>
              <w:left w:val="outset" w:sz="6" w:space="0" w:color="auto"/>
              <w:bottom w:val="outset" w:sz="6" w:space="0" w:color="auto"/>
              <w:right w:val="outset" w:sz="6" w:space="0" w:color="auto"/>
            </w:tcBorders>
            <w:shd w:val="clear" w:color="auto" w:fill="FFFFFF"/>
            <w:hideMark/>
          </w:tcPr>
          <w:p w14:paraId="34F9BCCC" w14:textId="77777777" w:rsidR="00D50113" w:rsidRPr="00D50113" w:rsidRDefault="00D50113" w:rsidP="00D70220">
            <w:pPr>
              <w:pStyle w:val="BodyTextSMPC"/>
              <w:spacing w:after="0"/>
              <w:ind w:left="0"/>
              <w:jc w:val="left"/>
            </w:pPr>
            <w:r w:rsidRPr="00D50113">
              <w:t xml:space="preserve">Hepatobiliary </w:t>
            </w:r>
            <w:proofErr w:type="spellStart"/>
            <w:r w:rsidRPr="00D50113">
              <w:t>diorders</w:t>
            </w:r>
            <w:proofErr w:type="spellEnd"/>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6BCCB8C5" w14:textId="77777777" w:rsidR="00D50113" w:rsidRPr="00D50113" w:rsidRDefault="00D50113" w:rsidP="00D50113">
            <w:pPr>
              <w:pStyle w:val="BodyTextSMPC"/>
              <w:spacing w:after="0"/>
              <w:ind w:left="0"/>
            </w:pPr>
            <w:r w:rsidRPr="00D50113">
              <w:t>Very rare</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27D95587" w14:textId="77777777" w:rsidR="00D50113" w:rsidRPr="00D50113" w:rsidRDefault="00D50113" w:rsidP="00D70220">
            <w:pPr>
              <w:pStyle w:val="BodyTextSMPC"/>
              <w:spacing w:after="0"/>
              <w:ind w:left="0"/>
              <w:jc w:val="left"/>
            </w:pPr>
            <w:r w:rsidRPr="00D50113">
              <w:t>Hepatitis and cholestatic jaundice</w:t>
            </w:r>
          </w:p>
        </w:tc>
      </w:tr>
      <w:tr w:rsidR="00D50113" w:rsidRPr="00D50113" w14:paraId="0E0A8833" w14:textId="77777777" w:rsidTr="00D50113">
        <w:trPr>
          <w:tblCellSpacing w:w="0" w:type="dxa"/>
        </w:trPr>
        <w:tc>
          <w:tcPr>
            <w:tcW w:w="127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0675FD74" w14:textId="77777777" w:rsidR="00D50113" w:rsidRPr="00D50113" w:rsidRDefault="00D50113" w:rsidP="00D70220">
            <w:pPr>
              <w:pStyle w:val="BodyTextSMPC"/>
              <w:spacing w:after="0"/>
              <w:ind w:left="0"/>
              <w:jc w:val="left"/>
            </w:pPr>
            <w:r w:rsidRPr="00D50113">
              <w:t>Immune disorders</w:t>
            </w: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7788EC08" w14:textId="77777777" w:rsidR="00D50113" w:rsidRPr="00D50113" w:rsidRDefault="00D50113" w:rsidP="00D50113">
            <w:pPr>
              <w:pStyle w:val="BodyTextSMPC"/>
              <w:spacing w:after="0"/>
              <w:ind w:left="0"/>
            </w:pPr>
            <w:r w:rsidRPr="00D50113">
              <w:t>Common</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5AD3E524" w14:textId="77777777" w:rsidR="00D50113" w:rsidRPr="00D50113" w:rsidRDefault="00D50113" w:rsidP="00D70220">
            <w:pPr>
              <w:pStyle w:val="BodyTextSMPC"/>
              <w:spacing w:after="0"/>
              <w:ind w:left="0"/>
              <w:jc w:val="left"/>
            </w:pPr>
            <w:r w:rsidRPr="00D50113">
              <w:t>Allergic reactions (typically manifest as skin reactions (See Skin and subcutaneous disorders)).</w:t>
            </w:r>
          </w:p>
        </w:tc>
      </w:tr>
      <w:tr w:rsidR="00D50113" w:rsidRPr="00D50113" w14:paraId="2851CE1C" w14:textId="77777777" w:rsidTr="00D50113">
        <w:trPr>
          <w:tblCellSpacing w:w="0" w:type="dxa"/>
        </w:trPr>
        <w:tc>
          <w:tcPr>
            <w:tcW w:w="1273" w:type="pct"/>
            <w:vMerge/>
            <w:tcBorders>
              <w:top w:val="outset" w:sz="6" w:space="0" w:color="auto"/>
              <w:left w:val="outset" w:sz="6" w:space="0" w:color="auto"/>
              <w:bottom w:val="outset" w:sz="6" w:space="0" w:color="auto"/>
              <w:right w:val="outset" w:sz="6" w:space="0" w:color="auto"/>
            </w:tcBorders>
            <w:shd w:val="clear" w:color="auto" w:fill="FFFFFF"/>
            <w:hideMark/>
          </w:tcPr>
          <w:p w14:paraId="4517B224" w14:textId="77777777" w:rsidR="00D50113" w:rsidRPr="00D50113" w:rsidRDefault="00D50113" w:rsidP="00D70220">
            <w:pPr>
              <w:pStyle w:val="BodyTextSMPC"/>
              <w:spacing w:after="0"/>
              <w:ind w:left="0"/>
              <w:jc w:val="left"/>
            </w:pP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3919EFF6" w14:textId="77777777" w:rsidR="00D50113" w:rsidRPr="00D50113" w:rsidRDefault="00D50113" w:rsidP="00D50113">
            <w:pPr>
              <w:pStyle w:val="BodyTextSMPC"/>
              <w:spacing w:after="0"/>
              <w:ind w:left="0"/>
            </w:pPr>
            <w:r w:rsidRPr="00D50113">
              <w:t>Rare</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331784E3" w14:textId="77777777" w:rsidR="00D50113" w:rsidRPr="00D50113" w:rsidRDefault="00D50113" w:rsidP="00D70220">
            <w:pPr>
              <w:pStyle w:val="BodyTextSMPC"/>
              <w:spacing w:after="0"/>
              <w:ind w:left="0"/>
              <w:jc w:val="left"/>
            </w:pPr>
            <w:r w:rsidRPr="00D50113">
              <w:t>Severe allergic reactions causing angioedema, laryngeal oedema and anaphylaxis</w:t>
            </w:r>
          </w:p>
        </w:tc>
      </w:tr>
      <w:tr w:rsidR="00D50113" w:rsidRPr="00D50113" w14:paraId="444F45B7" w14:textId="77777777" w:rsidTr="00D50113">
        <w:trPr>
          <w:tblCellSpacing w:w="0" w:type="dxa"/>
        </w:trPr>
        <w:tc>
          <w:tcPr>
            <w:tcW w:w="1273" w:type="pct"/>
            <w:vMerge/>
            <w:tcBorders>
              <w:top w:val="outset" w:sz="6" w:space="0" w:color="auto"/>
              <w:left w:val="outset" w:sz="6" w:space="0" w:color="auto"/>
              <w:bottom w:val="outset" w:sz="6" w:space="0" w:color="auto"/>
              <w:right w:val="outset" w:sz="6" w:space="0" w:color="auto"/>
            </w:tcBorders>
            <w:shd w:val="clear" w:color="auto" w:fill="FFFFFF"/>
            <w:hideMark/>
          </w:tcPr>
          <w:p w14:paraId="655CD340" w14:textId="77777777" w:rsidR="00D50113" w:rsidRPr="00D50113" w:rsidRDefault="00D50113" w:rsidP="00D70220">
            <w:pPr>
              <w:pStyle w:val="BodyTextSMPC"/>
              <w:spacing w:after="0"/>
              <w:ind w:left="0"/>
              <w:jc w:val="left"/>
            </w:pP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3521183D" w14:textId="77777777" w:rsidR="00D50113" w:rsidRPr="00D50113" w:rsidRDefault="00D50113" w:rsidP="00D50113">
            <w:pPr>
              <w:pStyle w:val="BodyTextSMPC"/>
              <w:spacing w:after="0"/>
              <w:ind w:left="0"/>
            </w:pPr>
            <w:r w:rsidRPr="00D50113">
              <w:t>Unknown</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51ABBBC5" w14:textId="77777777" w:rsidR="00D50113" w:rsidRPr="00D50113" w:rsidRDefault="00D50113" w:rsidP="00D70220">
            <w:pPr>
              <w:pStyle w:val="BodyTextSMPC"/>
              <w:spacing w:after="0"/>
              <w:ind w:left="0"/>
              <w:jc w:val="left"/>
            </w:pPr>
            <w:r w:rsidRPr="00D50113">
              <w:t xml:space="preserve">Serum sickness-like reactions </w:t>
            </w:r>
            <w:proofErr w:type="spellStart"/>
            <w:r w:rsidRPr="00D50113">
              <w:t>characterised</w:t>
            </w:r>
            <w:proofErr w:type="spellEnd"/>
            <w:r w:rsidRPr="00D50113">
              <w:t xml:space="preserve"> by fever, chills, arthralgia and oedema</w:t>
            </w:r>
          </w:p>
        </w:tc>
      </w:tr>
      <w:tr w:rsidR="00D50113" w:rsidRPr="00D50113" w14:paraId="0DBD92CE" w14:textId="77777777" w:rsidTr="00D50113">
        <w:trPr>
          <w:tblCellSpacing w:w="0" w:type="dxa"/>
        </w:trPr>
        <w:tc>
          <w:tcPr>
            <w:tcW w:w="1273" w:type="pct"/>
            <w:tcBorders>
              <w:top w:val="outset" w:sz="6" w:space="0" w:color="auto"/>
              <w:left w:val="outset" w:sz="6" w:space="0" w:color="auto"/>
              <w:bottom w:val="outset" w:sz="6" w:space="0" w:color="auto"/>
              <w:right w:val="outset" w:sz="6" w:space="0" w:color="auto"/>
            </w:tcBorders>
            <w:shd w:val="clear" w:color="auto" w:fill="FFFFFF"/>
            <w:hideMark/>
          </w:tcPr>
          <w:p w14:paraId="30324C75" w14:textId="77777777" w:rsidR="00D50113" w:rsidRPr="00D50113" w:rsidRDefault="00D50113" w:rsidP="00D70220">
            <w:pPr>
              <w:pStyle w:val="BodyTextSMPC"/>
              <w:spacing w:after="0"/>
              <w:ind w:left="0"/>
              <w:jc w:val="left"/>
            </w:pPr>
            <w:r w:rsidRPr="00D50113">
              <w:t>Nervous system disorders</w:t>
            </w: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14ABE937" w14:textId="77777777" w:rsidR="00D50113" w:rsidRPr="00D50113" w:rsidRDefault="00D50113" w:rsidP="00D50113">
            <w:pPr>
              <w:pStyle w:val="BodyTextSMPC"/>
              <w:spacing w:after="0"/>
              <w:ind w:left="0"/>
            </w:pPr>
            <w:r w:rsidRPr="00D50113">
              <w:t>Unknown</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221EAC1D" w14:textId="77777777" w:rsidR="00D50113" w:rsidRPr="00D50113" w:rsidRDefault="00D50113" w:rsidP="00D70220">
            <w:pPr>
              <w:pStyle w:val="BodyTextSMPC"/>
              <w:spacing w:after="0"/>
              <w:ind w:left="0"/>
              <w:jc w:val="left"/>
            </w:pPr>
            <w:r w:rsidRPr="00D50113">
              <w:t xml:space="preserve">Central nervous system toxicity including convulsions (especially with high doses or in severe renal impairment); </w:t>
            </w:r>
            <w:proofErr w:type="spellStart"/>
            <w:r w:rsidRPr="00D50113">
              <w:t>paraesthesia</w:t>
            </w:r>
            <w:proofErr w:type="spellEnd"/>
            <w:r w:rsidRPr="00D50113">
              <w:t xml:space="preserve"> may occur </w:t>
            </w:r>
            <w:r w:rsidRPr="00D50113">
              <w:lastRenderedPageBreak/>
              <w:t>with prolonged use, Neuropathy (usually associated with high doses of parenteral penicillin)</w:t>
            </w:r>
          </w:p>
        </w:tc>
      </w:tr>
      <w:tr w:rsidR="00D50113" w:rsidRPr="00D50113" w14:paraId="1E22B349" w14:textId="77777777" w:rsidTr="00D50113">
        <w:trPr>
          <w:tblCellSpacing w:w="0" w:type="dxa"/>
        </w:trPr>
        <w:tc>
          <w:tcPr>
            <w:tcW w:w="127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CB59A24" w14:textId="77777777" w:rsidR="00D50113" w:rsidRPr="00D50113" w:rsidRDefault="00D50113" w:rsidP="00D70220">
            <w:pPr>
              <w:pStyle w:val="BodyTextSMPC"/>
              <w:spacing w:after="0"/>
              <w:ind w:left="0"/>
              <w:jc w:val="left"/>
            </w:pPr>
            <w:r w:rsidRPr="00D50113">
              <w:lastRenderedPageBreak/>
              <w:t>Renal and urinary disorders</w:t>
            </w: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1DE71E7D" w14:textId="77777777" w:rsidR="00D50113" w:rsidRPr="00D50113" w:rsidRDefault="00D50113" w:rsidP="00D50113">
            <w:pPr>
              <w:pStyle w:val="BodyTextSMPC"/>
              <w:spacing w:after="0"/>
              <w:ind w:left="0"/>
            </w:pPr>
            <w:r w:rsidRPr="00D50113">
              <w:t>Very rare</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468958DB" w14:textId="77777777" w:rsidR="00D50113" w:rsidRPr="00D50113" w:rsidRDefault="00D50113" w:rsidP="00D70220">
            <w:pPr>
              <w:pStyle w:val="BodyTextSMPC"/>
              <w:spacing w:after="0"/>
              <w:ind w:left="0"/>
              <w:jc w:val="left"/>
            </w:pPr>
            <w:r w:rsidRPr="00D50113">
              <w:t>Interstitial nephritis</w:t>
            </w:r>
          </w:p>
        </w:tc>
      </w:tr>
      <w:tr w:rsidR="00D50113" w:rsidRPr="00D50113" w14:paraId="574C1932" w14:textId="77777777" w:rsidTr="00D50113">
        <w:trPr>
          <w:tblCellSpacing w:w="0" w:type="dxa"/>
        </w:trPr>
        <w:tc>
          <w:tcPr>
            <w:tcW w:w="1273" w:type="pct"/>
            <w:vMerge/>
            <w:tcBorders>
              <w:top w:val="outset" w:sz="6" w:space="0" w:color="auto"/>
              <w:left w:val="outset" w:sz="6" w:space="0" w:color="auto"/>
              <w:bottom w:val="outset" w:sz="6" w:space="0" w:color="auto"/>
              <w:right w:val="outset" w:sz="6" w:space="0" w:color="auto"/>
            </w:tcBorders>
            <w:shd w:val="clear" w:color="auto" w:fill="FFFFFF"/>
            <w:hideMark/>
          </w:tcPr>
          <w:p w14:paraId="3444B64F" w14:textId="77777777" w:rsidR="00D50113" w:rsidRPr="00D50113" w:rsidRDefault="00D50113" w:rsidP="00D70220">
            <w:pPr>
              <w:pStyle w:val="BodyTextSMPC"/>
              <w:spacing w:after="0"/>
              <w:ind w:left="0"/>
              <w:jc w:val="left"/>
            </w:pP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4B12D6C8" w14:textId="77777777" w:rsidR="00D50113" w:rsidRPr="00D50113" w:rsidRDefault="00D50113" w:rsidP="00D50113">
            <w:pPr>
              <w:pStyle w:val="BodyTextSMPC"/>
              <w:spacing w:after="0"/>
              <w:ind w:left="0"/>
            </w:pPr>
            <w:r w:rsidRPr="00D50113">
              <w:t>Uncommon</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2CC68795" w14:textId="77777777" w:rsidR="00D50113" w:rsidRPr="00D50113" w:rsidRDefault="00D50113" w:rsidP="00D70220">
            <w:pPr>
              <w:pStyle w:val="BodyTextSMPC"/>
              <w:spacing w:after="0"/>
              <w:ind w:left="0"/>
              <w:jc w:val="left"/>
            </w:pPr>
            <w:r w:rsidRPr="00D50113">
              <w:t>Nephropathy (usually associated with high doses of parenteral penicillin)</w:t>
            </w:r>
          </w:p>
        </w:tc>
      </w:tr>
      <w:tr w:rsidR="00D50113" w:rsidRPr="00D50113" w14:paraId="7115E4B6" w14:textId="77777777" w:rsidTr="00D50113">
        <w:trPr>
          <w:tblCellSpacing w:w="0" w:type="dxa"/>
        </w:trPr>
        <w:tc>
          <w:tcPr>
            <w:tcW w:w="127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D6F8A9A" w14:textId="77777777" w:rsidR="00D50113" w:rsidRPr="00D50113" w:rsidRDefault="00D50113" w:rsidP="00D70220">
            <w:pPr>
              <w:pStyle w:val="BodyTextSMPC"/>
              <w:spacing w:after="0"/>
              <w:ind w:left="0"/>
              <w:jc w:val="left"/>
            </w:pPr>
            <w:r w:rsidRPr="00D50113">
              <w:t>Skin and subcutaneous Disorders</w:t>
            </w: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5B24FDF3" w14:textId="77777777" w:rsidR="00D50113" w:rsidRPr="00D50113" w:rsidRDefault="00D50113" w:rsidP="00D50113">
            <w:pPr>
              <w:pStyle w:val="BodyTextSMPC"/>
              <w:spacing w:after="0"/>
              <w:ind w:left="0"/>
            </w:pPr>
            <w:r w:rsidRPr="00D50113">
              <w:t>Common</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352F4279" w14:textId="77777777" w:rsidR="00D50113" w:rsidRPr="00D50113" w:rsidRDefault="00D50113" w:rsidP="00D70220">
            <w:pPr>
              <w:pStyle w:val="BodyTextSMPC"/>
              <w:spacing w:after="0"/>
              <w:ind w:left="0"/>
              <w:jc w:val="left"/>
            </w:pPr>
            <w:r w:rsidRPr="00D50113">
              <w:t xml:space="preserve">Urticarial, erythematous or </w:t>
            </w:r>
            <w:proofErr w:type="spellStart"/>
            <w:r w:rsidRPr="00D50113">
              <w:t>mobilliform</w:t>
            </w:r>
            <w:proofErr w:type="spellEnd"/>
            <w:r w:rsidRPr="00D50113">
              <w:t xml:space="preserve"> rash and pruritus</w:t>
            </w:r>
          </w:p>
        </w:tc>
      </w:tr>
      <w:tr w:rsidR="00D50113" w:rsidRPr="00D50113" w14:paraId="7DF6F1D6" w14:textId="77777777" w:rsidTr="00D50113">
        <w:trPr>
          <w:tblCellSpacing w:w="0" w:type="dxa"/>
        </w:trPr>
        <w:tc>
          <w:tcPr>
            <w:tcW w:w="1273" w:type="pct"/>
            <w:vMerge/>
            <w:tcBorders>
              <w:top w:val="outset" w:sz="6" w:space="0" w:color="auto"/>
              <w:left w:val="outset" w:sz="6" w:space="0" w:color="auto"/>
              <w:bottom w:val="outset" w:sz="6" w:space="0" w:color="auto"/>
              <w:right w:val="outset" w:sz="6" w:space="0" w:color="auto"/>
            </w:tcBorders>
            <w:shd w:val="clear" w:color="auto" w:fill="FFFFFF"/>
            <w:hideMark/>
          </w:tcPr>
          <w:p w14:paraId="6FF40244" w14:textId="77777777" w:rsidR="00D50113" w:rsidRPr="00D50113" w:rsidRDefault="00D50113" w:rsidP="00D70220">
            <w:pPr>
              <w:pStyle w:val="BodyTextSMPC"/>
              <w:spacing w:after="0"/>
              <w:ind w:left="0"/>
              <w:jc w:val="left"/>
            </w:pPr>
          </w:p>
        </w:tc>
        <w:tc>
          <w:tcPr>
            <w:tcW w:w="874" w:type="pct"/>
            <w:tcBorders>
              <w:top w:val="outset" w:sz="6" w:space="0" w:color="auto"/>
              <w:left w:val="outset" w:sz="6" w:space="0" w:color="auto"/>
              <w:bottom w:val="outset" w:sz="6" w:space="0" w:color="auto"/>
              <w:right w:val="outset" w:sz="6" w:space="0" w:color="auto"/>
            </w:tcBorders>
            <w:shd w:val="clear" w:color="auto" w:fill="FFFFFF"/>
            <w:hideMark/>
          </w:tcPr>
          <w:p w14:paraId="7F07D71F" w14:textId="77777777" w:rsidR="00D50113" w:rsidRPr="00D50113" w:rsidRDefault="00D50113" w:rsidP="00D50113">
            <w:pPr>
              <w:pStyle w:val="BodyTextSMPC"/>
              <w:spacing w:after="0"/>
              <w:ind w:left="0"/>
            </w:pPr>
            <w:r w:rsidRPr="00D50113">
              <w:t>Rare</w:t>
            </w:r>
          </w:p>
        </w:tc>
        <w:tc>
          <w:tcPr>
            <w:tcW w:w="2853" w:type="pct"/>
            <w:tcBorders>
              <w:top w:val="outset" w:sz="6" w:space="0" w:color="auto"/>
              <w:left w:val="outset" w:sz="6" w:space="0" w:color="auto"/>
              <w:bottom w:val="outset" w:sz="6" w:space="0" w:color="auto"/>
              <w:right w:val="outset" w:sz="6" w:space="0" w:color="auto"/>
            </w:tcBorders>
            <w:shd w:val="clear" w:color="auto" w:fill="FFFFFF"/>
            <w:hideMark/>
          </w:tcPr>
          <w:p w14:paraId="6AD4BA2B" w14:textId="77777777" w:rsidR="00D50113" w:rsidRPr="00D50113" w:rsidRDefault="00D50113" w:rsidP="00D70220">
            <w:pPr>
              <w:pStyle w:val="BodyTextSMPC"/>
              <w:spacing w:after="0"/>
              <w:ind w:left="0"/>
              <w:jc w:val="left"/>
            </w:pPr>
            <w:r w:rsidRPr="00D50113">
              <w:t>Exfoliative dermatitis</w:t>
            </w:r>
          </w:p>
        </w:tc>
      </w:tr>
    </w:tbl>
    <w:p w14:paraId="35FBD722" w14:textId="135F6FDC" w:rsidR="00ED711D" w:rsidRDefault="00ED711D" w:rsidP="00D70220">
      <w:pPr>
        <w:pStyle w:val="BodyTextSMPC"/>
        <w:spacing w:after="0"/>
      </w:pPr>
    </w:p>
    <w:p w14:paraId="6D003B03" w14:textId="233D7045" w:rsidR="00227FD4" w:rsidRPr="008F5678" w:rsidRDefault="00000000" w:rsidP="00B33E35">
      <w:pPr>
        <w:pStyle w:val="BodyTextSMPC"/>
        <w:jc w:val="left"/>
        <w:rPr>
          <w:u w:val="single"/>
        </w:rPr>
      </w:pPr>
      <w:r w:rsidRPr="008F5678">
        <w:rPr>
          <w:u w:val="single"/>
        </w:rPr>
        <w:t xml:space="preserve">Reporting of suspected adverse reactions </w:t>
      </w:r>
    </w:p>
    <w:p w14:paraId="3CE4C9DE" w14:textId="01813833" w:rsidR="00227FD4" w:rsidRPr="00792326" w:rsidRDefault="008011BB" w:rsidP="001C3A30">
      <w:pPr>
        <w:pStyle w:val="BodyTextSMPC"/>
      </w:pPr>
      <w:r w:rsidRPr="008011BB">
        <w:t xml:space="preserve">Reporting suspected adverse reactions after </w:t>
      </w:r>
      <w:proofErr w:type="spellStart"/>
      <w:r w:rsidRPr="008011BB">
        <w:t>authorisation</w:t>
      </w:r>
      <w:proofErr w:type="spellEnd"/>
      <w:r w:rsidRPr="008011BB">
        <w:t xml:space="preserve"> of the medicinal product is important. It allows continued monitoring of the benefit/risk balance of the medicinal product. Healthcare professionals are asked to report any suspected adverse reactions via Health Product Vigilance Center; HPVC</w:t>
      </w:r>
      <w:r w:rsidR="00792326">
        <w:t>.</w:t>
      </w:r>
    </w:p>
    <w:p w14:paraId="30211328" w14:textId="69F1473A" w:rsidR="00227FD4" w:rsidRPr="008F5678" w:rsidRDefault="00000000" w:rsidP="00671E86">
      <w:pPr>
        <w:pStyle w:val="SubHeafingSMPC"/>
      </w:pPr>
      <w:r w:rsidRPr="008F5678">
        <w:t xml:space="preserve">Overdose </w:t>
      </w:r>
    </w:p>
    <w:p w14:paraId="0FC60C3D" w14:textId="07EA0C28" w:rsidR="00B33E35" w:rsidRPr="00DF62F0" w:rsidRDefault="00DF62F0" w:rsidP="00B33E35">
      <w:pPr>
        <w:pStyle w:val="BodyTextSMPC"/>
        <w:rPr>
          <w:b/>
          <w:bCs/>
        </w:rPr>
      </w:pPr>
      <w:r w:rsidRPr="00DF62F0">
        <w:rPr>
          <w:b/>
          <w:bCs/>
        </w:rPr>
        <w:t>Signs and symptoms of overdose</w:t>
      </w:r>
    </w:p>
    <w:p w14:paraId="5D3D0F67" w14:textId="77777777" w:rsidR="00D70220" w:rsidRDefault="00D70220" w:rsidP="00DF62F0">
      <w:pPr>
        <w:pStyle w:val="BodyTextSMPC"/>
        <w:rPr>
          <w:b/>
          <w:bCs/>
        </w:rPr>
      </w:pPr>
      <w:r w:rsidRPr="00D70220">
        <w:t xml:space="preserve">A large oral overdose of penicillin may cause nausea, vomiting, stomach pain, </w:t>
      </w:r>
      <w:proofErr w:type="spellStart"/>
      <w:r w:rsidRPr="00D70220">
        <w:t>diarrhoea</w:t>
      </w:r>
      <w:proofErr w:type="spellEnd"/>
      <w:r w:rsidRPr="00D70220">
        <w:t xml:space="preserve">, and rarely, major motor seizures. If other symptoms are present, consider the possibility of an allergic reaction. </w:t>
      </w:r>
      <w:proofErr w:type="spellStart"/>
      <w:r w:rsidRPr="00D70220">
        <w:t>Hyperkalaemia</w:t>
      </w:r>
      <w:proofErr w:type="spellEnd"/>
      <w:r w:rsidRPr="00D70220">
        <w:t xml:space="preserve"> may result from overdosage, particularly for patients with renal insufficiency.</w:t>
      </w:r>
    </w:p>
    <w:p w14:paraId="7C62182E" w14:textId="10910562" w:rsidR="00DF62F0" w:rsidRPr="00DF62F0" w:rsidRDefault="00D70220" w:rsidP="00DF62F0">
      <w:pPr>
        <w:pStyle w:val="BodyTextSMPC"/>
        <w:rPr>
          <w:b/>
          <w:bCs/>
        </w:rPr>
      </w:pPr>
      <w:r w:rsidRPr="00D70220">
        <w:rPr>
          <w:b/>
          <w:bCs/>
        </w:rPr>
        <w:t>Management</w:t>
      </w:r>
    </w:p>
    <w:p w14:paraId="779748E9" w14:textId="68D8F584" w:rsidR="00227FD4" w:rsidRPr="001A39AF" w:rsidRDefault="00D70220" w:rsidP="00D70220">
      <w:pPr>
        <w:pStyle w:val="BodyTextSMPC"/>
      </w:pPr>
      <w:r w:rsidRPr="00D70220">
        <w:t xml:space="preserve">No specific antidote is known. Symptomatic and supportive therapy is recommended. Activated charcoal with a cathartic, such as sorbitol may hasten drug elimination. Penicillin may be removed by </w:t>
      </w:r>
      <w:proofErr w:type="spellStart"/>
      <w:r w:rsidRPr="00D70220">
        <w:t>haemodialysis</w:t>
      </w:r>
      <w:proofErr w:type="spellEnd"/>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4CC145F" w14:textId="65B5E72D" w:rsidR="00A24BCF" w:rsidRDefault="007355A9" w:rsidP="00CE3CA9">
      <w:pPr>
        <w:pStyle w:val="BodyTextSMPC"/>
      </w:pPr>
      <w:r w:rsidRPr="007355A9">
        <w:t xml:space="preserve">ATC classification Pharmacotherapeutic Group: Beta lactamase sensitive natural </w:t>
      </w:r>
      <w:proofErr w:type="spellStart"/>
      <w:r w:rsidRPr="007355A9">
        <w:t>penicillins</w:t>
      </w:r>
      <w:proofErr w:type="spellEnd"/>
      <w:r w:rsidRPr="007355A9">
        <w:t xml:space="preserve"> ATC Code: J01C E02</w:t>
      </w:r>
      <w:r w:rsidR="00DF62F0" w:rsidRPr="00DF62F0">
        <w:t>.</w:t>
      </w:r>
      <w:r w:rsidR="00A24BCF">
        <w:t xml:space="preserve"> </w:t>
      </w:r>
    </w:p>
    <w:p w14:paraId="39D551B2" w14:textId="1297F63B" w:rsidR="00DF62F0" w:rsidRPr="00DF62F0" w:rsidRDefault="00DF62F0" w:rsidP="00CE3CA9">
      <w:pPr>
        <w:pStyle w:val="BodyTextSMPC"/>
        <w:rPr>
          <w:b/>
          <w:bCs/>
        </w:rPr>
      </w:pPr>
      <w:r w:rsidRPr="00DF62F0">
        <w:rPr>
          <w:b/>
          <w:bCs/>
        </w:rPr>
        <w:lastRenderedPageBreak/>
        <w:t>Mechanism of action</w:t>
      </w:r>
    </w:p>
    <w:p w14:paraId="2F059951" w14:textId="37B4A4D3" w:rsidR="00227FD4" w:rsidRDefault="007355A9" w:rsidP="00DF62F0">
      <w:pPr>
        <w:pStyle w:val="BodyTextSMPC"/>
      </w:pPr>
      <w:r w:rsidRPr="007355A9">
        <w:t>Phenoxymethylpenicillin acts through interference with the final stage of synthesis of the bacterial cell wall. The action depends on its ability to bind certain membrane-bound proteins, (penicillin-binding proteins or PBPs) that are located beneath the cell wall. These proteins are involved in maintaining cell wall structure, in cell wall synthesis and in cell division, and appear to possess transpeptidase and carboxypeptidase activity</w:t>
      </w:r>
      <w:r w:rsidR="00DF62F0">
        <w:t>.</w:t>
      </w:r>
    </w:p>
    <w:p w14:paraId="6BE48F4B" w14:textId="2DA32453" w:rsidR="00342125" w:rsidRPr="00342125" w:rsidRDefault="00342125" w:rsidP="00342125">
      <w:pPr>
        <w:pStyle w:val="BodyTextSMPC"/>
        <w:rPr>
          <w:b/>
          <w:bCs/>
        </w:rPr>
      </w:pPr>
      <w:r w:rsidRPr="00342125">
        <w:rPr>
          <w:b/>
          <w:bCs/>
        </w:rPr>
        <w:t>Pharmacokinetic/ pharmacodynamic relationship</w:t>
      </w:r>
    </w:p>
    <w:p w14:paraId="5F05D9C8" w14:textId="00B57803" w:rsidR="00342125" w:rsidRDefault="007355A9" w:rsidP="00342125">
      <w:pPr>
        <w:pStyle w:val="BodyTextSMPC"/>
      </w:pPr>
      <w:r w:rsidRPr="007355A9">
        <w:t>The time above the minimum inhibitory concentration (T&gt;MIC) is considered to be the major determinant of efficacy for phenoxymethylpenicillin</w:t>
      </w:r>
      <w:r w:rsidR="00342125">
        <w:t>.</w:t>
      </w:r>
    </w:p>
    <w:p w14:paraId="1E1A48FA" w14:textId="77777777" w:rsidR="00C23F2F" w:rsidRDefault="00C23F2F" w:rsidP="00C23F2F">
      <w:pPr>
        <w:pStyle w:val="BodyTextSMPC"/>
        <w:rPr>
          <w:b/>
          <w:bCs/>
        </w:rPr>
      </w:pPr>
      <w:r w:rsidRPr="002B6A42">
        <w:rPr>
          <w:b/>
          <w:bCs/>
        </w:rPr>
        <w:t>Mechanisms of resistance</w:t>
      </w:r>
    </w:p>
    <w:p w14:paraId="71646092" w14:textId="00B18303" w:rsidR="007355A9" w:rsidRDefault="007355A9" w:rsidP="00C23F2F">
      <w:pPr>
        <w:pStyle w:val="BodyTextSMPC"/>
      </w:pPr>
      <w:r w:rsidRPr="007355A9">
        <w:t xml:space="preserve">Phenoxymethylpenicillin is inhibited by penicillinase and other </w:t>
      </w:r>
      <w:proofErr w:type="spellStart"/>
      <w:r w:rsidRPr="007355A9">
        <w:t>betalactamases</w:t>
      </w:r>
      <w:proofErr w:type="spellEnd"/>
      <w:r w:rsidRPr="007355A9">
        <w:t xml:space="preserve"> that are produced by certain micro-organisms. The incidence of beta-lactamase producing organisms is increasing.</w:t>
      </w:r>
    </w:p>
    <w:p w14:paraId="4F3DC733" w14:textId="3457B42B" w:rsidR="007355A9" w:rsidRDefault="007355A9" w:rsidP="007355A9">
      <w:pPr>
        <w:pStyle w:val="BodyTextSMPC"/>
      </w:pPr>
      <w:r>
        <w:t>The two main mechanisms of resistance to phenoxymethylpenicillin are:</w:t>
      </w:r>
    </w:p>
    <w:p w14:paraId="4BE5E7B4" w14:textId="23A7A4E6" w:rsidR="007355A9" w:rsidRDefault="007355A9" w:rsidP="007355A9">
      <w:pPr>
        <w:pStyle w:val="BodyTextSMPC"/>
      </w:pPr>
      <w:r>
        <w:t>• Inactivation by bacterial penicillinases and other beta-lactamases</w:t>
      </w:r>
    </w:p>
    <w:p w14:paraId="0ED584A2" w14:textId="716DC5C5" w:rsidR="007355A9" w:rsidRDefault="007355A9" w:rsidP="007355A9">
      <w:pPr>
        <w:pStyle w:val="BodyTextSMPC"/>
      </w:pPr>
      <w:r>
        <w:t>• Alteration of PBPs, which reduce the affinity of the antibacterial agent for the target.</w:t>
      </w:r>
    </w:p>
    <w:p w14:paraId="3A636B2D" w14:textId="1B491BF1" w:rsidR="007355A9" w:rsidRDefault="007355A9" w:rsidP="007355A9">
      <w:pPr>
        <w:pStyle w:val="BodyTextSMPC"/>
      </w:pPr>
      <w:r>
        <w:t>Impermeability of bacteria or efflux pump mechanisms may cause or contribute to bacterial resistance.</w:t>
      </w:r>
    </w:p>
    <w:p w14:paraId="6DF2910C" w14:textId="5EC1AC50" w:rsidR="007355A9" w:rsidRDefault="007355A9" w:rsidP="007355A9">
      <w:pPr>
        <w:pStyle w:val="BodyTextSMPC"/>
      </w:pPr>
      <w:r>
        <w:t>EUCAST clinical MIC breakpoints to separate susceptible (S) pathogens from resistant (R) pathogens (version 1.0 22.11.210) are:</w:t>
      </w:r>
    </w:p>
    <w:p w14:paraId="5A2D31BD" w14:textId="46FC6901" w:rsidR="00C23F2F" w:rsidRDefault="007355A9" w:rsidP="007355A9">
      <w:pPr>
        <w:pStyle w:val="BodyTextSMPC"/>
      </w:pPr>
      <w:r>
        <w:t>The susceptibility of streptococci Groups A, C and G and S. pneumoniae to phenoxymethylpenicillin is inferred from the susceptibility to benzylpenicillin.</w:t>
      </w:r>
    </w:p>
    <w:tbl>
      <w:tblPr>
        <w:tblW w:w="8222"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37"/>
        <w:gridCol w:w="4085"/>
      </w:tblGrid>
      <w:tr w:rsidR="00D66F64" w:rsidRPr="00D66F64" w14:paraId="1F8CD778" w14:textId="77777777" w:rsidTr="00D66F64">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C1EAAD7" w14:textId="77777777" w:rsidR="00D66F64" w:rsidRPr="00D66F64" w:rsidRDefault="00D66F64" w:rsidP="00D66F64">
            <w:pPr>
              <w:pStyle w:val="BodyTextSMPC"/>
              <w:spacing w:after="0"/>
              <w:ind w:left="0"/>
            </w:pPr>
            <w:r w:rsidRPr="00D66F64">
              <w:rPr>
                <w:b/>
                <w:bCs/>
              </w:rPr>
              <w:t>EUCAST Species-related breakpoints (Susceptible≤ /Resistant&gt;) Units:</w:t>
            </w:r>
          </w:p>
        </w:tc>
      </w:tr>
      <w:tr w:rsidR="00D66F64" w:rsidRPr="00D66F64" w14:paraId="2E5C10BF" w14:textId="77777777" w:rsidTr="00D66F64">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932D681" w14:textId="77777777" w:rsidR="00D66F64" w:rsidRPr="00D66F64" w:rsidRDefault="00D66F64" w:rsidP="00D66F64">
            <w:pPr>
              <w:pStyle w:val="BodyTextSMPC"/>
              <w:spacing w:after="0"/>
              <w:ind w:left="0"/>
            </w:pPr>
            <w:r w:rsidRPr="00D66F64">
              <w:t>mg/L</w:t>
            </w:r>
          </w:p>
        </w:tc>
      </w:tr>
      <w:tr w:rsidR="00D66F64" w:rsidRPr="00D66F64" w14:paraId="49A42CA5" w14:textId="77777777" w:rsidTr="00D66F64">
        <w:trPr>
          <w:tblCellSpacing w:w="0" w:type="dxa"/>
        </w:trPr>
        <w:tc>
          <w:tcPr>
            <w:tcW w:w="2516" w:type="pct"/>
            <w:tcBorders>
              <w:top w:val="outset" w:sz="6" w:space="0" w:color="auto"/>
              <w:left w:val="outset" w:sz="6" w:space="0" w:color="auto"/>
              <w:bottom w:val="outset" w:sz="6" w:space="0" w:color="auto"/>
              <w:right w:val="outset" w:sz="6" w:space="0" w:color="auto"/>
            </w:tcBorders>
            <w:shd w:val="clear" w:color="auto" w:fill="FFFFFF"/>
            <w:hideMark/>
          </w:tcPr>
          <w:p w14:paraId="1CFB28DC" w14:textId="77777777" w:rsidR="00D66F64" w:rsidRPr="00D66F64" w:rsidRDefault="00D66F64" w:rsidP="00D66F64">
            <w:pPr>
              <w:pStyle w:val="BodyTextSMPC"/>
              <w:spacing w:after="0"/>
              <w:ind w:left="0"/>
            </w:pPr>
            <w:r w:rsidRPr="00D66F64">
              <w:lastRenderedPageBreak/>
              <w:t>Staphylococcus</w:t>
            </w:r>
          </w:p>
        </w:tc>
        <w:tc>
          <w:tcPr>
            <w:tcW w:w="2484" w:type="pct"/>
            <w:tcBorders>
              <w:top w:val="outset" w:sz="6" w:space="0" w:color="auto"/>
              <w:left w:val="outset" w:sz="6" w:space="0" w:color="auto"/>
              <w:bottom w:val="outset" w:sz="6" w:space="0" w:color="auto"/>
              <w:right w:val="outset" w:sz="6" w:space="0" w:color="auto"/>
            </w:tcBorders>
            <w:shd w:val="clear" w:color="auto" w:fill="FFFFFF"/>
            <w:hideMark/>
          </w:tcPr>
          <w:p w14:paraId="6A5B3F9C" w14:textId="77777777" w:rsidR="00D66F64" w:rsidRPr="00D66F64" w:rsidRDefault="00D66F64" w:rsidP="00D66F64">
            <w:pPr>
              <w:pStyle w:val="BodyTextSMPC"/>
              <w:spacing w:after="0"/>
              <w:ind w:left="0"/>
            </w:pPr>
            <w:r w:rsidRPr="00D66F64">
              <w:t>≤ 0.12/&gt;0.12</w:t>
            </w:r>
          </w:p>
        </w:tc>
      </w:tr>
      <w:tr w:rsidR="00D66F64" w:rsidRPr="00D66F64" w14:paraId="0EA0701F" w14:textId="77777777" w:rsidTr="00D66F64">
        <w:trPr>
          <w:tblCellSpacing w:w="0" w:type="dxa"/>
        </w:trPr>
        <w:tc>
          <w:tcPr>
            <w:tcW w:w="2516" w:type="pct"/>
            <w:tcBorders>
              <w:top w:val="outset" w:sz="6" w:space="0" w:color="auto"/>
              <w:left w:val="outset" w:sz="6" w:space="0" w:color="auto"/>
              <w:bottom w:val="outset" w:sz="6" w:space="0" w:color="auto"/>
              <w:right w:val="outset" w:sz="6" w:space="0" w:color="auto"/>
            </w:tcBorders>
            <w:shd w:val="clear" w:color="auto" w:fill="FFFFFF"/>
            <w:hideMark/>
          </w:tcPr>
          <w:p w14:paraId="3A51A223" w14:textId="77777777" w:rsidR="00D66F64" w:rsidRPr="00D66F64" w:rsidRDefault="00D66F64" w:rsidP="00D66F64">
            <w:pPr>
              <w:pStyle w:val="BodyTextSMPC"/>
              <w:spacing w:after="0"/>
              <w:ind w:left="0"/>
            </w:pPr>
            <w:r w:rsidRPr="00D66F64">
              <w:t>Streptococcus A, C, G</w:t>
            </w:r>
          </w:p>
        </w:tc>
        <w:tc>
          <w:tcPr>
            <w:tcW w:w="2484" w:type="pct"/>
            <w:tcBorders>
              <w:top w:val="outset" w:sz="6" w:space="0" w:color="auto"/>
              <w:left w:val="outset" w:sz="6" w:space="0" w:color="auto"/>
              <w:bottom w:val="outset" w:sz="6" w:space="0" w:color="auto"/>
              <w:right w:val="outset" w:sz="6" w:space="0" w:color="auto"/>
            </w:tcBorders>
            <w:shd w:val="clear" w:color="auto" w:fill="FFFFFF"/>
            <w:hideMark/>
          </w:tcPr>
          <w:p w14:paraId="68C5FDA4" w14:textId="77777777" w:rsidR="00D66F64" w:rsidRPr="00D66F64" w:rsidRDefault="00D66F64" w:rsidP="00D66F64">
            <w:pPr>
              <w:pStyle w:val="BodyTextSMPC"/>
              <w:spacing w:after="0"/>
              <w:ind w:left="0"/>
            </w:pPr>
            <w:r w:rsidRPr="00D66F64">
              <w:t>≤ 0.25/&gt;0.25</w:t>
            </w:r>
          </w:p>
        </w:tc>
      </w:tr>
      <w:tr w:rsidR="00D66F64" w:rsidRPr="00D66F64" w14:paraId="0C42F93E" w14:textId="77777777" w:rsidTr="00D66F64">
        <w:trPr>
          <w:tblCellSpacing w:w="0" w:type="dxa"/>
        </w:trPr>
        <w:tc>
          <w:tcPr>
            <w:tcW w:w="2516" w:type="pct"/>
            <w:tcBorders>
              <w:top w:val="outset" w:sz="6" w:space="0" w:color="auto"/>
              <w:left w:val="outset" w:sz="6" w:space="0" w:color="auto"/>
              <w:bottom w:val="outset" w:sz="6" w:space="0" w:color="auto"/>
              <w:right w:val="outset" w:sz="6" w:space="0" w:color="auto"/>
            </w:tcBorders>
            <w:shd w:val="clear" w:color="auto" w:fill="FFFFFF"/>
            <w:hideMark/>
          </w:tcPr>
          <w:p w14:paraId="3BFA0C2F" w14:textId="77777777" w:rsidR="00D66F64" w:rsidRPr="00D66F64" w:rsidRDefault="00D66F64" w:rsidP="00D66F64">
            <w:pPr>
              <w:pStyle w:val="BodyTextSMPC"/>
              <w:spacing w:after="0"/>
              <w:ind w:left="0"/>
            </w:pPr>
            <w:r w:rsidRPr="00D66F64">
              <w:t>S. pneumoniae</w:t>
            </w:r>
          </w:p>
        </w:tc>
        <w:tc>
          <w:tcPr>
            <w:tcW w:w="2484" w:type="pct"/>
            <w:tcBorders>
              <w:top w:val="outset" w:sz="6" w:space="0" w:color="auto"/>
              <w:left w:val="outset" w:sz="6" w:space="0" w:color="auto"/>
              <w:bottom w:val="outset" w:sz="6" w:space="0" w:color="auto"/>
              <w:right w:val="outset" w:sz="6" w:space="0" w:color="auto"/>
            </w:tcBorders>
            <w:shd w:val="clear" w:color="auto" w:fill="FFFFFF"/>
            <w:hideMark/>
          </w:tcPr>
          <w:p w14:paraId="02B24663" w14:textId="77777777" w:rsidR="00D66F64" w:rsidRPr="00D66F64" w:rsidRDefault="00D66F64" w:rsidP="00D66F64">
            <w:pPr>
              <w:pStyle w:val="BodyTextSMPC"/>
              <w:spacing w:after="0"/>
              <w:ind w:left="0"/>
            </w:pPr>
            <w:r w:rsidRPr="00D66F64">
              <w:t>≤ 0.06/&gt;2</w:t>
            </w:r>
          </w:p>
        </w:tc>
      </w:tr>
    </w:tbl>
    <w:p w14:paraId="0559157B" w14:textId="77777777" w:rsidR="00D66F64" w:rsidRDefault="00D66F64" w:rsidP="00D66F64">
      <w:pPr>
        <w:pStyle w:val="BodyTextSMPC"/>
      </w:pPr>
    </w:p>
    <w:p w14:paraId="063973A6" w14:textId="4599D3DE" w:rsidR="00D66F64" w:rsidRDefault="00D66F64" w:rsidP="00D66F64">
      <w:pPr>
        <w:pStyle w:val="BodyTextSMPC"/>
      </w:pPr>
      <w:r>
        <w:t>Staphylococci: Most staphylococci are penicillinase-producers. Penicillinase producing strains are resistant. The benzylpenicillin breakpoint (shown) will mostly, but not unequivocally, separate beta-lactamase producers from nonproducers.</w:t>
      </w:r>
    </w:p>
    <w:p w14:paraId="2754A8EE" w14:textId="7ADC5F85" w:rsidR="00D66F64" w:rsidRDefault="00D66F64" w:rsidP="00D66F64">
      <w:pPr>
        <w:pStyle w:val="BodyTextSMPC"/>
      </w:pPr>
      <w:r>
        <w:t>Streptococcus pneumoniae: For phenoxymethylpenicillin, report S. pneumoniae with benzylpenicillin MICs above 0.06 mg/L resistant.</w:t>
      </w:r>
    </w:p>
    <w:p w14:paraId="2A65C1C2" w14:textId="78EAF09D" w:rsidR="00C23F2F" w:rsidRDefault="00D66F64" w:rsidP="00D66F64">
      <w:pPr>
        <w:pStyle w:val="BodyTextSMPC"/>
      </w:pPr>
      <w:r>
        <w:t>The prevalence of acquired resistance may vary geographically and with time for selected species and local information on resistance is desirable, particularly when treating severe infections. Expert advice should be sought as necessary when the local prevalence of resistance is such that the utility of the agent in at least some types of infection is questionable.</w:t>
      </w:r>
    </w:p>
    <w:tbl>
      <w:tblPr>
        <w:tblW w:w="8080"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080"/>
      </w:tblGrid>
      <w:tr w:rsidR="00D66F64" w:rsidRPr="00D66F64" w14:paraId="3163F5EE" w14:textId="77777777" w:rsidTr="00D66F6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F6F06C9" w14:textId="77777777" w:rsidR="00D66F64" w:rsidRPr="00D66F64" w:rsidRDefault="00D66F64" w:rsidP="000E46B0">
            <w:pPr>
              <w:pStyle w:val="BodyTextSMPC"/>
              <w:spacing w:after="0"/>
              <w:ind w:left="0"/>
            </w:pPr>
            <w:r w:rsidRPr="00D66F64">
              <w:rPr>
                <w:b/>
                <w:bCs/>
              </w:rPr>
              <w:t>Commonly susceptible species</w:t>
            </w:r>
          </w:p>
        </w:tc>
      </w:tr>
      <w:tr w:rsidR="00D66F64" w:rsidRPr="00D66F64" w14:paraId="0EAF6102" w14:textId="77777777" w:rsidTr="00D66F6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2DE8C0B" w14:textId="77777777" w:rsidR="00D66F64" w:rsidRPr="00D66F64" w:rsidRDefault="00D66F64" w:rsidP="000E46B0">
            <w:pPr>
              <w:pStyle w:val="BodyTextSMPC"/>
              <w:spacing w:after="0"/>
              <w:ind w:left="0"/>
            </w:pPr>
            <w:r w:rsidRPr="00D66F64">
              <w:t>Streptococcus A, B, C, G</w:t>
            </w:r>
          </w:p>
        </w:tc>
      </w:tr>
      <w:tr w:rsidR="00D66F64" w:rsidRPr="00D66F64" w14:paraId="3FF5305A" w14:textId="77777777" w:rsidTr="00D66F6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929497D" w14:textId="77777777" w:rsidR="00D66F64" w:rsidRPr="00D66F64" w:rsidRDefault="00D66F64" w:rsidP="000E46B0">
            <w:pPr>
              <w:pStyle w:val="BodyTextSMPC"/>
              <w:spacing w:after="0"/>
              <w:ind w:left="0"/>
            </w:pPr>
            <w:r w:rsidRPr="00D66F64">
              <w:rPr>
                <w:b/>
                <w:bCs/>
              </w:rPr>
              <w:t>Species for which acquired resistance may be a problem</w:t>
            </w:r>
          </w:p>
        </w:tc>
      </w:tr>
      <w:tr w:rsidR="00D66F64" w:rsidRPr="00D66F64" w14:paraId="6A912E9C" w14:textId="77777777" w:rsidTr="00D66F6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C4CD4EC" w14:textId="77777777" w:rsidR="00D66F64" w:rsidRPr="00D66F64" w:rsidRDefault="00D66F64" w:rsidP="000E46B0">
            <w:pPr>
              <w:pStyle w:val="BodyTextSMPC"/>
              <w:spacing w:after="0"/>
              <w:ind w:left="0"/>
            </w:pPr>
            <w:r w:rsidRPr="00D66F64">
              <w:rPr>
                <w:i/>
                <w:iCs/>
              </w:rPr>
              <w:t>Staphylococcus aureus</w:t>
            </w:r>
          </w:p>
        </w:tc>
      </w:tr>
      <w:tr w:rsidR="00D66F64" w:rsidRPr="00D66F64" w14:paraId="06EF4B36" w14:textId="77777777" w:rsidTr="00D66F6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EB5FE72" w14:textId="77777777" w:rsidR="00D66F64" w:rsidRPr="00D66F64" w:rsidRDefault="00D66F64" w:rsidP="000E46B0">
            <w:pPr>
              <w:pStyle w:val="BodyTextSMPC"/>
              <w:spacing w:after="0"/>
              <w:ind w:left="0"/>
            </w:pPr>
            <w:r w:rsidRPr="00D66F64">
              <w:rPr>
                <w:i/>
                <w:iCs/>
              </w:rPr>
              <w:t>Streptococcus pneumonia</w:t>
            </w:r>
          </w:p>
        </w:tc>
      </w:tr>
      <w:tr w:rsidR="00D66F64" w:rsidRPr="00D66F64" w14:paraId="190C8BE0" w14:textId="77777777" w:rsidTr="00D66F6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25250A65" w14:textId="77777777" w:rsidR="00D66F64" w:rsidRPr="00D66F64" w:rsidRDefault="00D66F64" w:rsidP="000E46B0">
            <w:pPr>
              <w:pStyle w:val="BodyTextSMPC"/>
              <w:spacing w:after="0"/>
              <w:ind w:left="0"/>
            </w:pPr>
            <w:r w:rsidRPr="00D66F64">
              <w:rPr>
                <w:i/>
                <w:iCs/>
              </w:rPr>
              <w:t>Staphylococcus epidermidis</w:t>
            </w:r>
          </w:p>
        </w:tc>
      </w:tr>
    </w:tbl>
    <w:p w14:paraId="2C1AE044" w14:textId="77777777" w:rsidR="00C23F2F" w:rsidRPr="00254057" w:rsidRDefault="00C23F2F" w:rsidP="000E46B0">
      <w:pPr>
        <w:pStyle w:val="BodyTextSMPC"/>
        <w:spacing w:after="0"/>
        <w:ind w:left="0"/>
      </w:pPr>
    </w:p>
    <w:p w14:paraId="04D77DAA" w14:textId="7BED606D" w:rsidR="00227FD4" w:rsidRPr="008F5678" w:rsidRDefault="00000000" w:rsidP="00671E86">
      <w:pPr>
        <w:pStyle w:val="SubHeafingSMPC"/>
      </w:pPr>
      <w:r w:rsidRPr="008F5678">
        <w:t xml:space="preserve">Pharmacokinetic properties </w:t>
      </w:r>
    </w:p>
    <w:p w14:paraId="13BBB623" w14:textId="287A8549" w:rsidR="00427E49" w:rsidRPr="0037642B" w:rsidRDefault="00427E49" w:rsidP="00427E49">
      <w:pPr>
        <w:pStyle w:val="BodyTextSMPC"/>
        <w:rPr>
          <w:b/>
          <w:bCs/>
        </w:rPr>
      </w:pPr>
      <w:r w:rsidRPr="0037642B">
        <w:rPr>
          <w:b/>
          <w:bCs/>
        </w:rPr>
        <w:t>Absorption</w:t>
      </w:r>
    </w:p>
    <w:p w14:paraId="639813D9" w14:textId="0E481CC3" w:rsidR="00342125" w:rsidRDefault="000E46B0" w:rsidP="00342125">
      <w:pPr>
        <w:pStyle w:val="BodyTextSMPC"/>
      </w:pPr>
      <w:r w:rsidRPr="000E46B0">
        <w:t>Rapidly but incompletely absorbed after oral administration (about 60% of an oral dose is absorbed). Calcium and potassium salts are better absorbed than the free acid. Absorption appears to be reduced in patients with coeliac disease. Absorption appears to be more rapid in fasting than non-fasting subjects</w:t>
      </w:r>
      <w:r w:rsidR="00342125">
        <w:t>.</w:t>
      </w:r>
    </w:p>
    <w:p w14:paraId="1A08371C" w14:textId="7E299CE5" w:rsidR="000E46B0" w:rsidRDefault="000E46B0" w:rsidP="000E46B0">
      <w:pPr>
        <w:pStyle w:val="BodyTextSMPC"/>
      </w:pPr>
      <w:r w:rsidRPr="000E46B0">
        <w:rPr>
          <w:b/>
          <w:bCs/>
        </w:rPr>
        <w:t>Blood concentration</w:t>
      </w:r>
      <w:r>
        <w:t xml:space="preserve">: after an oral dose of 125mg, peak serum concentrations of 200 to 700ng/ml are attained in 2 hours. After an oral </w:t>
      </w:r>
      <w:r>
        <w:lastRenderedPageBreak/>
        <w:t>dose of 500mg, peak serum concentrations reach 3 to 5micrograms/ml in 30 to 60 minutes.</w:t>
      </w:r>
    </w:p>
    <w:p w14:paraId="5244ADD1" w14:textId="2C2A31A2" w:rsidR="00342125" w:rsidRDefault="000E46B0" w:rsidP="000E46B0">
      <w:pPr>
        <w:pStyle w:val="BodyTextSMPC"/>
      </w:pPr>
      <w:r w:rsidRPr="000E46B0">
        <w:rPr>
          <w:b/>
          <w:bCs/>
        </w:rPr>
        <w:t>Half-life</w:t>
      </w:r>
      <w:r>
        <w:t>: Biological half-life is about 30 minutes, increased to about 4 hours in severe renal impairment.</w:t>
      </w:r>
    </w:p>
    <w:p w14:paraId="0860B078" w14:textId="77777777" w:rsidR="0037642B" w:rsidRPr="0037642B" w:rsidRDefault="0037642B" w:rsidP="0037642B">
      <w:pPr>
        <w:pStyle w:val="BodyTextSMPC"/>
        <w:rPr>
          <w:b/>
          <w:bCs/>
        </w:rPr>
      </w:pPr>
      <w:r w:rsidRPr="0037642B">
        <w:rPr>
          <w:b/>
          <w:bCs/>
        </w:rPr>
        <w:t>Distribution</w:t>
      </w:r>
    </w:p>
    <w:p w14:paraId="27D5F2ED" w14:textId="0F754F2E" w:rsidR="007B2184" w:rsidRDefault="000E46B0" w:rsidP="001906B9">
      <w:pPr>
        <w:pStyle w:val="BodyTextSMPC"/>
      </w:pPr>
      <w:r w:rsidRPr="000E46B0">
        <w:t>Widely distributed throughout the body and enters pleural and ascitic fluids and also in cerebrospinal fluid when the meninges are inflamed; Phenoxymethylpenicillin crosses the placenta and is secreted in the milk; (protein binding 50 to 80% bound plasma proteins).</w:t>
      </w:r>
    </w:p>
    <w:p w14:paraId="1F33B5DA" w14:textId="77777777" w:rsidR="000E46B0" w:rsidRDefault="000E46B0" w:rsidP="001906B9">
      <w:pPr>
        <w:pStyle w:val="BodyTextSMPC"/>
      </w:pPr>
      <w:r w:rsidRPr="000E46B0">
        <w:rPr>
          <w:b/>
          <w:bCs/>
        </w:rPr>
        <w:t>Biotransformation</w:t>
      </w:r>
      <w:r w:rsidRPr="000E46B0">
        <w:t xml:space="preserve"> </w:t>
      </w:r>
    </w:p>
    <w:p w14:paraId="097DDE9F" w14:textId="128BFB48" w:rsidR="000E46B0" w:rsidRDefault="000E46B0" w:rsidP="001906B9">
      <w:pPr>
        <w:pStyle w:val="BodyTextSMPC"/>
      </w:pPr>
      <w:r w:rsidRPr="000E46B0">
        <w:t xml:space="preserve">It is </w:t>
      </w:r>
      <w:proofErr w:type="spellStart"/>
      <w:r w:rsidRPr="000E46B0">
        <w:t>metabolised</w:t>
      </w:r>
      <w:proofErr w:type="spellEnd"/>
      <w:r w:rsidRPr="000E46B0">
        <w:t xml:space="preserve"> in the liver; several metabolites have been identified, including penicilloic acid.</w:t>
      </w:r>
    </w:p>
    <w:p w14:paraId="0F3EB656" w14:textId="77777777" w:rsidR="0037642B" w:rsidRPr="0037642B" w:rsidRDefault="0037642B" w:rsidP="0037642B">
      <w:pPr>
        <w:pStyle w:val="BodyTextSMPC"/>
        <w:rPr>
          <w:b/>
          <w:bCs/>
        </w:rPr>
      </w:pPr>
      <w:r w:rsidRPr="0037642B">
        <w:rPr>
          <w:b/>
          <w:bCs/>
        </w:rPr>
        <w:t>Elimination</w:t>
      </w:r>
    </w:p>
    <w:p w14:paraId="1C393E8C" w14:textId="7019F14E" w:rsidR="001906B9" w:rsidRPr="000E46B0" w:rsidRDefault="000E46B0" w:rsidP="000E46B0">
      <w:pPr>
        <w:pStyle w:val="BodyTextSMPC"/>
        <w:rPr>
          <w:b/>
          <w:bCs/>
        </w:rPr>
      </w:pPr>
      <w:r w:rsidRPr="000E46B0">
        <w:t>Unchanged drug and metabolites are excreted rapidly in the urine. (20% to 35% of an oral dose is excreted in the urine in 24 hours).</w:t>
      </w:r>
    </w:p>
    <w:p w14:paraId="0BBA0F2C" w14:textId="58A139F5" w:rsidR="00227FD4" w:rsidRPr="008F5678" w:rsidRDefault="00000000" w:rsidP="00671E86">
      <w:pPr>
        <w:pStyle w:val="SubHeafingSMPC"/>
      </w:pPr>
      <w:r w:rsidRPr="008F5678">
        <w:t xml:space="preserve">Preclinical safety data </w:t>
      </w:r>
    </w:p>
    <w:p w14:paraId="1382BFD5" w14:textId="1DC1A281" w:rsidR="001906B9" w:rsidRDefault="002F56F8" w:rsidP="001906B9">
      <w:pPr>
        <w:pStyle w:val="BodyTextSMPC"/>
      </w:pPr>
      <w:r w:rsidRPr="002F56F8">
        <w:t>There are no pre-clinical data of relevance to the prescriber which are additional to that already included in other sections of this SPC</w:t>
      </w:r>
      <w:r w:rsidR="001906B9">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50000068" w:rsidR="00227FD4" w:rsidRPr="006E7537" w:rsidRDefault="007B2184" w:rsidP="000B1761">
      <w:pPr>
        <w:pStyle w:val="BodyTextSMPC"/>
      </w:pPr>
      <w:r w:rsidRPr="007B2184">
        <w:t>Not applicable</w:t>
      </w:r>
      <w:r w:rsidR="000B1761">
        <w:t>.</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lastRenderedPageBreak/>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31083" w:rsidRDefault="00000000" w:rsidP="008F5678">
      <w:pPr>
        <w:pStyle w:val="BodyTextSMPC"/>
        <w:rPr>
          <w:rFonts w:cstheme="minorBidi" w:hint="cs"/>
          <w:color w:val="FF0000"/>
          <w:cs/>
        </w:rPr>
      </w:pPr>
      <w:r w:rsidRPr="008F5678">
        <w:rPr>
          <w:color w:val="FF0000"/>
        </w:rPr>
        <w:t xml:space="preserve">&lt;REGARDING THE APPROVAL&gt; </w:t>
      </w:r>
    </w:p>
    <w:sectPr w:rsidR="00227FD4" w:rsidRPr="00E31083"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7477C" w14:textId="77777777" w:rsidR="002D492A" w:rsidRDefault="002D492A" w:rsidP="008F5678">
      <w:pPr>
        <w:spacing w:line="240" w:lineRule="auto"/>
      </w:pPr>
      <w:r>
        <w:separator/>
      </w:r>
    </w:p>
  </w:endnote>
  <w:endnote w:type="continuationSeparator" w:id="0">
    <w:p w14:paraId="4104372A" w14:textId="77777777" w:rsidR="002D492A" w:rsidRDefault="002D492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18D341D6" w14:textId="13D590C2" w:rsidR="002F56F8" w:rsidRPr="007B2184" w:rsidRDefault="008F5678" w:rsidP="008F5678">
    <w:pPr>
      <w:rPr>
        <w:rFonts w:ascii="Times New Roman" w:eastAsia="Times New Roman" w:hAnsi="Times New Roman" w:cs="Times New Roman"/>
        <w:sz w:val="24"/>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2F56F8" w:rsidRPr="002F56F8">
      <w:rPr>
        <w:rFonts w:ascii="Times New Roman" w:hAnsi="Times New Roman" w:cs="Times New Roman"/>
        <w:sz w:val="24"/>
        <w:szCs w:val="24"/>
      </w:rPr>
      <w:t>Phenoxymethylpenicillin</w:t>
    </w:r>
    <w:r w:rsidRPr="008F5678">
      <w:rPr>
        <w:rFonts w:ascii="Times New Roman" w:hAnsi="Times New Roman" w:cs="Times New Roman"/>
        <w:sz w:val="24"/>
        <w:szCs w:val="24"/>
      </w:rPr>
      <w:t xml:space="preserve">, </w:t>
    </w:r>
    <w:r w:rsidR="00195A5D">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2F56F8">
      <w:rPr>
        <w:rFonts w:ascii="Times New Roman" w:eastAsia="Times New Roman" w:hAnsi="Times New Roman" w:cs="Times New Roman"/>
        <w:sz w:val="24"/>
        <w:szCs w:val="24"/>
      </w:rPr>
      <w:t>27/09/20219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2D011" w14:textId="77777777" w:rsidR="002D492A" w:rsidRDefault="002D492A" w:rsidP="008F5678">
      <w:pPr>
        <w:spacing w:line="240" w:lineRule="auto"/>
      </w:pPr>
      <w:r>
        <w:separator/>
      </w:r>
    </w:p>
  </w:footnote>
  <w:footnote w:type="continuationSeparator" w:id="0">
    <w:p w14:paraId="59F6465E" w14:textId="77777777" w:rsidR="002D492A" w:rsidRDefault="002D492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245967"/>
    <w:multiLevelType w:val="hybridMultilevel"/>
    <w:tmpl w:val="DAA4892A"/>
    <w:lvl w:ilvl="0" w:tplc="CD2223A6">
      <w:start w:val="4"/>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41D84D31"/>
    <w:multiLevelType w:val="hybridMultilevel"/>
    <w:tmpl w:val="90DE2272"/>
    <w:lvl w:ilvl="0" w:tplc="BBE6EDA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 w15:restartNumberingAfterBreak="0">
    <w:nsid w:val="49C95C4A"/>
    <w:multiLevelType w:val="hybridMultilevel"/>
    <w:tmpl w:val="9C0CDEB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6"/>
  </w:num>
  <w:num w:numId="2" w16cid:durableId="658729891">
    <w:abstractNumId w:val="0"/>
  </w:num>
  <w:num w:numId="3" w16cid:durableId="1826510259">
    <w:abstractNumId w:val="2"/>
  </w:num>
  <w:num w:numId="4" w16cid:durableId="1678921655">
    <w:abstractNumId w:val="3"/>
  </w:num>
  <w:num w:numId="5" w16cid:durableId="771166718">
    <w:abstractNumId w:val="4"/>
  </w:num>
  <w:num w:numId="6" w16cid:durableId="263419413">
    <w:abstractNumId w:val="1"/>
  </w:num>
  <w:num w:numId="7" w16cid:durableId="1842160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3354B"/>
    <w:rsid w:val="00045406"/>
    <w:rsid w:val="000456DD"/>
    <w:rsid w:val="00070173"/>
    <w:rsid w:val="00076AD8"/>
    <w:rsid w:val="000B1761"/>
    <w:rsid w:val="000B26A8"/>
    <w:rsid w:val="000C7ED9"/>
    <w:rsid w:val="000D5368"/>
    <w:rsid w:val="000E46B0"/>
    <w:rsid w:val="001002AD"/>
    <w:rsid w:val="001129B0"/>
    <w:rsid w:val="001162E6"/>
    <w:rsid w:val="00121AE5"/>
    <w:rsid w:val="00155E77"/>
    <w:rsid w:val="00177864"/>
    <w:rsid w:val="00182860"/>
    <w:rsid w:val="001906B9"/>
    <w:rsid w:val="00195A5D"/>
    <w:rsid w:val="0019720A"/>
    <w:rsid w:val="001A39AF"/>
    <w:rsid w:val="001B182E"/>
    <w:rsid w:val="001B1CB6"/>
    <w:rsid w:val="001C3A30"/>
    <w:rsid w:val="001C4072"/>
    <w:rsid w:val="001E1455"/>
    <w:rsid w:val="001E78E0"/>
    <w:rsid w:val="001E7D57"/>
    <w:rsid w:val="001F61E1"/>
    <w:rsid w:val="00200B73"/>
    <w:rsid w:val="00205F16"/>
    <w:rsid w:val="00217343"/>
    <w:rsid w:val="00227701"/>
    <w:rsid w:val="00227FD4"/>
    <w:rsid w:val="00232CA9"/>
    <w:rsid w:val="00233A79"/>
    <w:rsid w:val="00233F23"/>
    <w:rsid w:val="0023745C"/>
    <w:rsid w:val="00254057"/>
    <w:rsid w:val="002B6A42"/>
    <w:rsid w:val="002C5E68"/>
    <w:rsid w:val="002D492A"/>
    <w:rsid w:val="002F56F8"/>
    <w:rsid w:val="002F7EFC"/>
    <w:rsid w:val="00307506"/>
    <w:rsid w:val="00342125"/>
    <w:rsid w:val="00362134"/>
    <w:rsid w:val="0037642B"/>
    <w:rsid w:val="00385779"/>
    <w:rsid w:val="00397295"/>
    <w:rsid w:val="003E2F6A"/>
    <w:rsid w:val="003E72A8"/>
    <w:rsid w:val="00415AF9"/>
    <w:rsid w:val="00427E49"/>
    <w:rsid w:val="0044633C"/>
    <w:rsid w:val="004E5FAB"/>
    <w:rsid w:val="00523664"/>
    <w:rsid w:val="005369D8"/>
    <w:rsid w:val="00552CDB"/>
    <w:rsid w:val="00556F97"/>
    <w:rsid w:val="005574FA"/>
    <w:rsid w:val="00565DA9"/>
    <w:rsid w:val="00584772"/>
    <w:rsid w:val="0059049C"/>
    <w:rsid w:val="005C44E3"/>
    <w:rsid w:val="005E4D15"/>
    <w:rsid w:val="005F6CF4"/>
    <w:rsid w:val="006147EE"/>
    <w:rsid w:val="00615DDA"/>
    <w:rsid w:val="0062302F"/>
    <w:rsid w:val="006336C9"/>
    <w:rsid w:val="00641955"/>
    <w:rsid w:val="00671E86"/>
    <w:rsid w:val="00675A8F"/>
    <w:rsid w:val="00682215"/>
    <w:rsid w:val="0069711D"/>
    <w:rsid w:val="006C5496"/>
    <w:rsid w:val="006C5FF4"/>
    <w:rsid w:val="006D4823"/>
    <w:rsid w:val="006E7537"/>
    <w:rsid w:val="006F1DBE"/>
    <w:rsid w:val="006F742B"/>
    <w:rsid w:val="00702832"/>
    <w:rsid w:val="007258BA"/>
    <w:rsid w:val="00731D18"/>
    <w:rsid w:val="007355A9"/>
    <w:rsid w:val="00757ABD"/>
    <w:rsid w:val="00764CE4"/>
    <w:rsid w:val="0076728F"/>
    <w:rsid w:val="007740D3"/>
    <w:rsid w:val="00781F3D"/>
    <w:rsid w:val="0078726C"/>
    <w:rsid w:val="00792326"/>
    <w:rsid w:val="00795E71"/>
    <w:rsid w:val="007B01F4"/>
    <w:rsid w:val="007B2184"/>
    <w:rsid w:val="007B272B"/>
    <w:rsid w:val="007C35A8"/>
    <w:rsid w:val="007E6300"/>
    <w:rsid w:val="007F6112"/>
    <w:rsid w:val="008011BB"/>
    <w:rsid w:val="00830906"/>
    <w:rsid w:val="00834A79"/>
    <w:rsid w:val="00836AA8"/>
    <w:rsid w:val="00840DD7"/>
    <w:rsid w:val="00842E18"/>
    <w:rsid w:val="0085244F"/>
    <w:rsid w:val="0087728B"/>
    <w:rsid w:val="00877C57"/>
    <w:rsid w:val="00885DD8"/>
    <w:rsid w:val="00893A1A"/>
    <w:rsid w:val="00894F3B"/>
    <w:rsid w:val="008A2A73"/>
    <w:rsid w:val="008E6568"/>
    <w:rsid w:val="008F5678"/>
    <w:rsid w:val="00917E47"/>
    <w:rsid w:val="009242EA"/>
    <w:rsid w:val="009474A3"/>
    <w:rsid w:val="0095296E"/>
    <w:rsid w:val="00955F90"/>
    <w:rsid w:val="00962771"/>
    <w:rsid w:val="00972AD6"/>
    <w:rsid w:val="00982EC5"/>
    <w:rsid w:val="00990ABD"/>
    <w:rsid w:val="009B6383"/>
    <w:rsid w:val="009C1840"/>
    <w:rsid w:val="009D6FFD"/>
    <w:rsid w:val="009E3884"/>
    <w:rsid w:val="009F07AA"/>
    <w:rsid w:val="00A04703"/>
    <w:rsid w:val="00A144D2"/>
    <w:rsid w:val="00A22C1C"/>
    <w:rsid w:val="00A24BCF"/>
    <w:rsid w:val="00A33E6C"/>
    <w:rsid w:val="00A43521"/>
    <w:rsid w:val="00A560E6"/>
    <w:rsid w:val="00A62E6C"/>
    <w:rsid w:val="00A64CA2"/>
    <w:rsid w:val="00A85894"/>
    <w:rsid w:val="00AB6AD4"/>
    <w:rsid w:val="00AC1073"/>
    <w:rsid w:val="00AF212D"/>
    <w:rsid w:val="00B24321"/>
    <w:rsid w:val="00B24340"/>
    <w:rsid w:val="00B2537D"/>
    <w:rsid w:val="00B326D9"/>
    <w:rsid w:val="00B33E35"/>
    <w:rsid w:val="00B36B0E"/>
    <w:rsid w:val="00B378A9"/>
    <w:rsid w:val="00B44B59"/>
    <w:rsid w:val="00B52056"/>
    <w:rsid w:val="00B56225"/>
    <w:rsid w:val="00B61320"/>
    <w:rsid w:val="00B65CC5"/>
    <w:rsid w:val="00B86B7C"/>
    <w:rsid w:val="00B87B23"/>
    <w:rsid w:val="00BC013F"/>
    <w:rsid w:val="00BD279B"/>
    <w:rsid w:val="00BE0013"/>
    <w:rsid w:val="00BE10A8"/>
    <w:rsid w:val="00BE5921"/>
    <w:rsid w:val="00BF1139"/>
    <w:rsid w:val="00BF2951"/>
    <w:rsid w:val="00C04DF2"/>
    <w:rsid w:val="00C20EF4"/>
    <w:rsid w:val="00C218DB"/>
    <w:rsid w:val="00C21A1C"/>
    <w:rsid w:val="00C23F2F"/>
    <w:rsid w:val="00C26AFA"/>
    <w:rsid w:val="00C5591F"/>
    <w:rsid w:val="00C603FE"/>
    <w:rsid w:val="00CA053A"/>
    <w:rsid w:val="00CA2D4C"/>
    <w:rsid w:val="00CA4F5B"/>
    <w:rsid w:val="00CC0176"/>
    <w:rsid w:val="00CD3EF8"/>
    <w:rsid w:val="00CE3CA9"/>
    <w:rsid w:val="00CF0AAD"/>
    <w:rsid w:val="00D076E6"/>
    <w:rsid w:val="00D32C40"/>
    <w:rsid w:val="00D50113"/>
    <w:rsid w:val="00D5236F"/>
    <w:rsid w:val="00D64A11"/>
    <w:rsid w:val="00D66F64"/>
    <w:rsid w:val="00D70220"/>
    <w:rsid w:val="00D84472"/>
    <w:rsid w:val="00D90A3C"/>
    <w:rsid w:val="00DB6202"/>
    <w:rsid w:val="00DE3AC8"/>
    <w:rsid w:val="00DF62F0"/>
    <w:rsid w:val="00E03AFA"/>
    <w:rsid w:val="00E10392"/>
    <w:rsid w:val="00E220BF"/>
    <w:rsid w:val="00E31083"/>
    <w:rsid w:val="00E426D4"/>
    <w:rsid w:val="00E47326"/>
    <w:rsid w:val="00E641A1"/>
    <w:rsid w:val="00E647E4"/>
    <w:rsid w:val="00E72F63"/>
    <w:rsid w:val="00ED711D"/>
    <w:rsid w:val="00EE5855"/>
    <w:rsid w:val="00F101FE"/>
    <w:rsid w:val="00F31D53"/>
    <w:rsid w:val="00F36410"/>
    <w:rsid w:val="00F512AD"/>
    <w:rsid w:val="00F759FA"/>
    <w:rsid w:val="00FA163D"/>
    <w:rsid w:val="00FC40E9"/>
    <w:rsid w:val="00FD7557"/>
    <w:rsid w:val="00FE57BA"/>
    <w:rsid w:val="00FE7B35"/>
    <w:rsid w:val="00FF7B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43743282">
      <w:bodyDiv w:val="1"/>
      <w:marLeft w:val="0"/>
      <w:marRight w:val="0"/>
      <w:marTop w:val="0"/>
      <w:marBottom w:val="0"/>
      <w:divBdr>
        <w:top w:val="none" w:sz="0" w:space="0" w:color="auto"/>
        <w:left w:val="none" w:sz="0" w:space="0" w:color="auto"/>
        <w:bottom w:val="none" w:sz="0" w:space="0" w:color="auto"/>
        <w:right w:val="none" w:sz="0" w:space="0" w:color="auto"/>
      </w:divBdr>
    </w:div>
    <w:div w:id="170343209">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49990713">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6899324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08429720">
      <w:bodyDiv w:val="1"/>
      <w:marLeft w:val="0"/>
      <w:marRight w:val="0"/>
      <w:marTop w:val="0"/>
      <w:marBottom w:val="0"/>
      <w:divBdr>
        <w:top w:val="none" w:sz="0" w:space="0" w:color="auto"/>
        <w:left w:val="none" w:sz="0" w:space="0" w:color="auto"/>
        <w:bottom w:val="none" w:sz="0" w:space="0" w:color="auto"/>
        <w:right w:val="none" w:sz="0" w:space="0" w:color="auto"/>
      </w:divBdr>
    </w:div>
    <w:div w:id="4331384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52748625">
      <w:bodyDiv w:val="1"/>
      <w:marLeft w:val="0"/>
      <w:marRight w:val="0"/>
      <w:marTop w:val="0"/>
      <w:marBottom w:val="0"/>
      <w:divBdr>
        <w:top w:val="none" w:sz="0" w:space="0" w:color="auto"/>
        <w:left w:val="none" w:sz="0" w:space="0" w:color="auto"/>
        <w:bottom w:val="none" w:sz="0" w:space="0" w:color="auto"/>
        <w:right w:val="none" w:sz="0" w:space="0" w:color="auto"/>
      </w:divBdr>
      <w:divsChild>
        <w:div w:id="390152667">
          <w:marLeft w:val="0"/>
          <w:marRight w:val="0"/>
          <w:marTop w:val="0"/>
          <w:marBottom w:val="0"/>
          <w:divBdr>
            <w:top w:val="none" w:sz="0" w:space="0" w:color="auto"/>
            <w:left w:val="none" w:sz="0" w:space="0" w:color="auto"/>
            <w:bottom w:val="none" w:sz="0" w:space="0" w:color="auto"/>
            <w:right w:val="none" w:sz="0" w:space="0" w:color="auto"/>
          </w:divBdr>
        </w:div>
      </w:divsChild>
    </w:div>
    <w:div w:id="458034701">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03008718">
      <w:bodyDiv w:val="1"/>
      <w:marLeft w:val="0"/>
      <w:marRight w:val="0"/>
      <w:marTop w:val="0"/>
      <w:marBottom w:val="0"/>
      <w:divBdr>
        <w:top w:val="none" w:sz="0" w:space="0" w:color="auto"/>
        <w:left w:val="none" w:sz="0" w:space="0" w:color="auto"/>
        <w:bottom w:val="none" w:sz="0" w:space="0" w:color="auto"/>
        <w:right w:val="none" w:sz="0" w:space="0" w:color="auto"/>
      </w:divBdr>
    </w:div>
    <w:div w:id="505485575">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14868200">
      <w:bodyDiv w:val="1"/>
      <w:marLeft w:val="0"/>
      <w:marRight w:val="0"/>
      <w:marTop w:val="0"/>
      <w:marBottom w:val="0"/>
      <w:divBdr>
        <w:top w:val="none" w:sz="0" w:space="0" w:color="auto"/>
        <w:left w:val="none" w:sz="0" w:space="0" w:color="auto"/>
        <w:bottom w:val="none" w:sz="0" w:space="0" w:color="auto"/>
        <w:right w:val="none" w:sz="0" w:space="0" w:color="auto"/>
      </w:divBdr>
    </w:div>
    <w:div w:id="626473584">
      <w:bodyDiv w:val="1"/>
      <w:marLeft w:val="0"/>
      <w:marRight w:val="0"/>
      <w:marTop w:val="0"/>
      <w:marBottom w:val="0"/>
      <w:divBdr>
        <w:top w:val="none" w:sz="0" w:space="0" w:color="auto"/>
        <w:left w:val="none" w:sz="0" w:space="0" w:color="auto"/>
        <w:bottom w:val="none" w:sz="0" w:space="0" w:color="auto"/>
        <w:right w:val="none" w:sz="0" w:space="0" w:color="auto"/>
      </w:divBdr>
    </w:div>
    <w:div w:id="653873253">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24841190">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3444738">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46156136">
      <w:bodyDiv w:val="1"/>
      <w:marLeft w:val="0"/>
      <w:marRight w:val="0"/>
      <w:marTop w:val="0"/>
      <w:marBottom w:val="0"/>
      <w:divBdr>
        <w:top w:val="none" w:sz="0" w:space="0" w:color="auto"/>
        <w:left w:val="none" w:sz="0" w:space="0" w:color="auto"/>
        <w:bottom w:val="none" w:sz="0" w:space="0" w:color="auto"/>
        <w:right w:val="none" w:sz="0" w:space="0" w:color="auto"/>
      </w:divBdr>
    </w:div>
    <w:div w:id="973826209">
      <w:bodyDiv w:val="1"/>
      <w:marLeft w:val="0"/>
      <w:marRight w:val="0"/>
      <w:marTop w:val="0"/>
      <w:marBottom w:val="0"/>
      <w:divBdr>
        <w:top w:val="none" w:sz="0" w:space="0" w:color="auto"/>
        <w:left w:val="none" w:sz="0" w:space="0" w:color="auto"/>
        <w:bottom w:val="none" w:sz="0" w:space="0" w:color="auto"/>
        <w:right w:val="none" w:sz="0" w:space="0" w:color="auto"/>
      </w:divBdr>
    </w:div>
    <w:div w:id="977223238">
      <w:bodyDiv w:val="1"/>
      <w:marLeft w:val="0"/>
      <w:marRight w:val="0"/>
      <w:marTop w:val="0"/>
      <w:marBottom w:val="0"/>
      <w:divBdr>
        <w:top w:val="none" w:sz="0" w:space="0" w:color="auto"/>
        <w:left w:val="none" w:sz="0" w:space="0" w:color="auto"/>
        <w:bottom w:val="none" w:sz="0" w:space="0" w:color="auto"/>
        <w:right w:val="none" w:sz="0" w:space="0" w:color="auto"/>
      </w:divBdr>
    </w:div>
    <w:div w:id="989209968">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928356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4643018">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4009176">
      <w:bodyDiv w:val="1"/>
      <w:marLeft w:val="0"/>
      <w:marRight w:val="0"/>
      <w:marTop w:val="0"/>
      <w:marBottom w:val="0"/>
      <w:divBdr>
        <w:top w:val="none" w:sz="0" w:space="0" w:color="auto"/>
        <w:left w:val="none" w:sz="0" w:space="0" w:color="auto"/>
        <w:bottom w:val="none" w:sz="0" w:space="0" w:color="auto"/>
        <w:right w:val="none" w:sz="0" w:space="0" w:color="auto"/>
      </w:divBdr>
    </w:div>
    <w:div w:id="1113287876">
      <w:bodyDiv w:val="1"/>
      <w:marLeft w:val="0"/>
      <w:marRight w:val="0"/>
      <w:marTop w:val="0"/>
      <w:marBottom w:val="0"/>
      <w:divBdr>
        <w:top w:val="none" w:sz="0" w:space="0" w:color="auto"/>
        <w:left w:val="none" w:sz="0" w:space="0" w:color="auto"/>
        <w:bottom w:val="none" w:sz="0" w:space="0" w:color="auto"/>
        <w:right w:val="none" w:sz="0" w:space="0" w:color="auto"/>
      </w:divBdr>
    </w:div>
    <w:div w:id="1139302336">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853268">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58825635">
      <w:bodyDiv w:val="1"/>
      <w:marLeft w:val="0"/>
      <w:marRight w:val="0"/>
      <w:marTop w:val="0"/>
      <w:marBottom w:val="0"/>
      <w:divBdr>
        <w:top w:val="none" w:sz="0" w:space="0" w:color="auto"/>
        <w:left w:val="none" w:sz="0" w:space="0" w:color="auto"/>
        <w:bottom w:val="none" w:sz="0" w:space="0" w:color="auto"/>
        <w:right w:val="none" w:sz="0" w:space="0" w:color="auto"/>
      </w:divBdr>
    </w:div>
    <w:div w:id="1260139236">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290429118">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03542011">
      <w:bodyDiv w:val="1"/>
      <w:marLeft w:val="0"/>
      <w:marRight w:val="0"/>
      <w:marTop w:val="0"/>
      <w:marBottom w:val="0"/>
      <w:divBdr>
        <w:top w:val="none" w:sz="0" w:space="0" w:color="auto"/>
        <w:left w:val="none" w:sz="0" w:space="0" w:color="auto"/>
        <w:bottom w:val="none" w:sz="0" w:space="0" w:color="auto"/>
        <w:right w:val="none" w:sz="0" w:space="0" w:color="auto"/>
      </w:divBdr>
    </w:div>
    <w:div w:id="1332181221">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36242862">
      <w:bodyDiv w:val="1"/>
      <w:marLeft w:val="0"/>
      <w:marRight w:val="0"/>
      <w:marTop w:val="0"/>
      <w:marBottom w:val="0"/>
      <w:divBdr>
        <w:top w:val="none" w:sz="0" w:space="0" w:color="auto"/>
        <w:left w:val="none" w:sz="0" w:space="0" w:color="auto"/>
        <w:bottom w:val="none" w:sz="0" w:space="0" w:color="auto"/>
        <w:right w:val="none" w:sz="0" w:space="0" w:color="auto"/>
      </w:divBdr>
      <w:divsChild>
        <w:div w:id="1602756802">
          <w:marLeft w:val="0"/>
          <w:marRight w:val="0"/>
          <w:marTop w:val="0"/>
          <w:marBottom w:val="0"/>
          <w:divBdr>
            <w:top w:val="none" w:sz="0" w:space="0" w:color="auto"/>
            <w:left w:val="none" w:sz="0" w:space="0" w:color="auto"/>
            <w:bottom w:val="none" w:sz="0" w:space="0" w:color="auto"/>
            <w:right w:val="none" w:sz="0" w:space="0" w:color="auto"/>
          </w:divBdr>
        </w:div>
      </w:divsChild>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216935">
      <w:bodyDiv w:val="1"/>
      <w:marLeft w:val="0"/>
      <w:marRight w:val="0"/>
      <w:marTop w:val="0"/>
      <w:marBottom w:val="0"/>
      <w:divBdr>
        <w:top w:val="none" w:sz="0" w:space="0" w:color="auto"/>
        <w:left w:val="none" w:sz="0" w:space="0" w:color="auto"/>
        <w:bottom w:val="none" w:sz="0" w:space="0" w:color="auto"/>
        <w:right w:val="none" w:sz="0" w:space="0" w:color="auto"/>
      </w:divBdr>
    </w:div>
    <w:div w:id="1503616723">
      <w:bodyDiv w:val="1"/>
      <w:marLeft w:val="0"/>
      <w:marRight w:val="0"/>
      <w:marTop w:val="0"/>
      <w:marBottom w:val="0"/>
      <w:divBdr>
        <w:top w:val="none" w:sz="0" w:space="0" w:color="auto"/>
        <w:left w:val="none" w:sz="0" w:space="0" w:color="auto"/>
        <w:bottom w:val="none" w:sz="0" w:space="0" w:color="auto"/>
        <w:right w:val="none" w:sz="0" w:space="0" w:color="auto"/>
      </w:divBdr>
    </w:div>
    <w:div w:id="1504709238">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45825891">
      <w:bodyDiv w:val="1"/>
      <w:marLeft w:val="0"/>
      <w:marRight w:val="0"/>
      <w:marTop w:val="0"/>
      <w:marBottom w:val="0"/>
      <w:divBdr>
        <w:top w:val="none" w:sz="0" w:space="0" w:color="auto"/>
        <w:left w:val="none" w:sz="0" w:space="0" w:color="auto"/>
        <w:bottom w:val="none" w:sz="0" w:space="0" w:color="auto"/>
        <w:right w:val="none" w:sz="0" w:space="0" w:color="auto"/>
      </w:divBdr>
    </w:div>
    <w:div w:id="1557013388">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9314729">
      <w:bodyDiv w:val="1"/>
      <w:marLeft w:val="0"/>
      <w:marRight w:val="0"/>
      <w:marTop w:val="0"/>
      <w:marBottom w:val="0"/>
      <w:divBdr>
        <w:top w:val="none" w:sz="0" w:space="0" w:color="auto"/>
        <w:left w:val="none" w:sz="0" w:space="0" w:color="auto"/>
        <w:bottom w:val="none" w:sz="0" w:space="0" w:color="auto"/>
        <w:right w:val="none" w:sz="0" w:space="0" w:color="auto"/>
      </w:divBdr>
    </w:div>
    <w:div w:id="1630629594">
      <w:bodyDiv w:val="1"/>
      <w:marLeft w:val="0"/>
      <w:marRight w:val="0"/>
      <w:marTop w:val="0"/>
      <w:marBottom w:val="0"/>
      <w:divBdr>
        <w:top w:val="none" w:sz="0" w:space="0" w:color="auto"/>
        <w:left w:val="none" w:sz="0" w:space="0" w:color="auto"/>
        <w:bottom w:val="none" w:sz="0" w:space="0" w:color="auto"/>
        <w:right w:val="none" w:sz="0" w:space="0" w:color="auto"/>
      </w:divBdr>
    </w:div>
    <w:div w:id="1647513157">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4700573">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81079155">
      <w:bodyDiv w:val="1"/>
      <w:marLeft w:val="0"/>
      <w:marRight w:val="0"/>
      <w:marTop w:val="0"/>
      <w:marBottom w:val="0"/>
      <w:divBdr>
        <w:top w:val="none" w:sz="0" w:space="0" w:color="auto"/>
        <w:left w:val="none" w:sz="0" w:space="0" w:color="auto"/>
        <w:bottom w:val="none" w:sz="0" w:space="0" w:color="auto"/>
        <w:right w:val="none" w:sz="0" w:space="0" w:color="auto"/>
      </w:divBdr>
    </w:div>
    <w:div w:id="1681615675">
      <w:bodyDiv w:val="1"/>
      <w:marLeft w:val="0"/>
      <w:marRight w:val="0"/>
      <w:marTop w:val="0"/>
      <w:marBottom w:val="0"/>
      <w:divBdr>
        <w:top w:val="none" w:sz="0" w:space="0" w:color="auto"/>
        <w:left w:val="none" w:sz="0" w:space="0" w:color="auto"/>
        <w:bottom w:val="none" w:sz="0" w:space="0" w:color="auto"/>
        <w:right w:val="none" w:sz="0" w:space="0" w:color="auto"/>
      </w:divBdr>
    </w:div>
    <w:div w:id="1724600846">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57164156">
      <w:bodyDiv w:val="1"/>
      <w:marLeft w:val="0"/>
      <w:marRight w:val="0"/>
      <w:marTop w:val="0"/>
      <w:marBottom w:val="0"/>
      <w:divBdr>
        <w:top w:val="none" w:sz="0" w:space="0" w:color="auto"/>
        <w:left w:val="none" w:sz="0" w:space="0" w:color="auto"/>
        <w:bottom w:val="none" w:sz="0" w:space="0" w:color="auto"/>
        <w:right w:val="none" w:sz="0" w:space="0" w:color="auto"/>
      </w:divBdr>
    </w:div>
    <w:div w:id="1761488340">
      <w:bodyDiv w:val="1"/>
      <w:marLeft w:val="0"/>
      <w:marRight w:val="0"/>
      <w:marTop w:val="0"/>
      <w:marBottom w:val="0"/>
      <w:divBdr>
        <w:top w:val="none" w:sz="0" w:space="0" w:color="auto"/>
        <w:left w:val="none" w:sz="0" w:space="0" w:color="auto"/>
        <w:bottom w:val="none" w:sz="0" w:space="0" w:color="auto"/>
        <w:right w:val="none" w:sz="0" w:space="0" w:color="auto"/>
      </w:divBdr>
    </w:div>
    <w:div w:id="1784643509">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24854375">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27499156">
      <w:bodyDiv w:val="1"/>
      <w:marLeft w:val="0"/>
      <w:marRight w:val="0"/>
      <w:marTop w:val="0"/>
      <w:marBottom w:val="0"/>
      <w:divBdr>
        <w:top w:val="none" w:sz="0" w:space="0" w:color="auto"/>
        <w:left w:val="none" w:sz="0" w:space="0" w:color="auto"/>
        <w:bottom w:val="none" w:sz="0" w:space="0" w:color="auto"/>
        <w:right w:val="none" w:sz="0" w:space="0" w:color="auto"/>
      </w:divBdr>
    </w:div>
    <w:div w:id="2129080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2041</Words>
  <Characters>11638</Characters>
  <Application>Microsoft Office Word</Application>
  <DocSecurity>0</DocSecurity>
  <Lines>96</Lines>
  <Paragraphs>27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2024-07-31T08:25:00Z</dcterms:created>
  <dcterms:modified xsi:type="dcterms:W3CDTF">2024-07-31T08:45:00Z</dcterms:modified>
</cp:coreProperties>
</file>