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67019" w14:textId="77777777" w:rsidR="00AB56F3" w:rsidRPr="00EA57E8" w:rsidRDefault="00000000" w:rsidP="00EA57E8">
      <w:pPr>
        <w:spacing w:after="0" w:line="480" w:lineRule="auto"/>
        <w:ind w:left="10" w:hanging="10"/>
        <w:jc w:val="center"/>
        <w:rPr>
          <w:rFonts w:ascii="Times New Roman" w:hAnsi="Times New Roman" w:cs="Times New Roman"/>
        </w:rPr>
      </w:pPr>
      <w:r w:rsidRPr="00EA57E8">
        <w:rPr>
          <w:rFonts w:ascii="Times New Roman" w:eastAsia="Times New Roman" w:hAnsi="Times New Roman" w:cs="Times New Roman"/>
          <w:b/>
          <w:sz w:val="28"/>
        </w:rPr>
        <w:t>SUMMARY OF PRODUCT CHARACTERISTICS</w:t>
      </w:r>
    </w:p>
    <w:p w14:paraId="7C06AB56" w14:textId="77777777" w:rsidR="00EA57E8" w:rsidRPr="00EA57E8" w:rsidRDefault="00000000" w:rsidP="00EA57E8">
      <w:pPr>
        <w:pStyle w:val="Heading1"/>
        <w:numPr>
          <w:ilvl w:val="0"/>
          <w:numId w:val="7"/>
        </w:numPr>
        <w:tabs>
          <w:tab w:val="center" w:pos="3300"/>
        </w:tabs>
        <w:spacing w:after="240" w:line="360" w:lineRule="auto"/>
        <w:ind w:left="368" w:hanging="357"/>
        <w:rPr>
          <w:szCs w:val="28"/>
        </w:rPr>
      </w:pPr>
      <w:r w:rsidRPr="00EA57E8">
        <w:rPr>
          <w:szCs w:val="28"/>
        </w:rPr>
        <w:t>NAME OF THE MEDICINAL PRODUCT</w:t>
      </w:r>
    </w:p>
    <w:p w14:paraId="533CE0B4" w14:textId="77777777" w:rsidR="00EA57E8" w:rsidRPr="00EA57E8" w:rsidRDefault="00000000" w:rsidP="00EA57E8">
      <w:pPr>
        <w:pStyle w:val="Heading1"/>
        <w:tabs>
          <w:tab w:val="center" w:pos="3300"/>
        </w:tabs>
        <w:spacing w:line="360" w:lineRule="auto"/>
        <w:ind w:left="370" w:firstLine="0"/>
        <w:rPr>
          <w:b w:val="0"/>
          <w:bCs/>
          <w:szCs w:val="28"/>
        </w:rPr>
      </w:pPr>
      <w:r w:rsidRPr="00EA57E8">
        <w:rPr>
          <w:color w:val="FF0000"/>
          <w:szCs w:val="28"/>
        </w:rPr>
        <w:t>&lt;</w:t>
      </w:r>
      <w:r w:rsidRPr="00EA57E8">
        <w:rPr>
          <w:b w:val="0"/>
          <w:bCs/>
          <w:color w:val="FF0000"/>
          <w:szCs w:val="28"/>
        </w:rPr>
        <w:t xml:space="preserve">TRADE NAME&gt; &lt;STRENGTH&gt; </w:t>
      </w:r>
      <w:r w:rsidRPr="00EA57E8">
        <w:rPr>
          <w:b w:val="0"/>
          <w:bCs/>
          <w:szCs w:val="28"/>
        </w:rPr>
        <w:t>Oral Solution</w:t>
      </w:r>
    </w:p>
    <w:p w14:paraId="124D3514" w14:textId="218A571E" w:rsidR="00AB56F3" w:rsidRPr="00EA57E8" w:rsidRDefault="00000000" w:rsidP="00EA57E8">
      <w:pPr>
        <w:pStyle w:val="Heading1"/>
        <w:tabs>
          <w:tab w:val="center" w:pos="3300"/>
        </w:tabs>
        <w:spacing w:after="240" w:line="360" w:lineRule="auto"/>
        <w:ind w:left="369" w:firstLine="0"/>
        <w:rPr>
          <w:b w:val="0"/>
          <w:bCs/>
          <w:szCs w:val="28"/>
        </w:rPr>
      </w:pPr>
      <w:r w:rsidRPr="00EA57E8">
        <w:rPr>
          <w:rFonts w:eastAsia="Calibri"/>
          <w:b w:val="0"/>
          <w:bCs/>
          <w:color w:val="FF0000"/>
          <w:szCs w:val="28"/>
        </w:rPr>
        <w:t>&lt;REGARDING THE APPROVAL&gt;</w:t>
      </w:r>
    </w:p>
    <w:p w14:paraId="5B93FAE1" w14:textId="77777777" w:rsidR="00EA57E8" w:rsidRDefault="00000000" w:rsidP="00EA57E8">
      <w:pPr>
        <w:pStyle w:val="Heading2"/>
        <w:numPr>
          <w:ilvl w:val="0"/>
          <w:numId w:val="7"/>
        </w:numPr>
        <w:tabs>
          <w:tab w:val="center" w:pos="3765"/>
        </w:tabs>
        <w:spacing w:line="360" w:lineRule="auto"/>
        <w:rPr>
          <w:sz w:val="28"/>
          <w:szCs w:val="28"/>
        </w:rPr>
      </w:pPr>
      <w:r w:rsidRPr="00EA57E8">
        <w:rPr>
          <w:sz w:val="28"/>
          <w:szCs w:val="28"/>
        </w:rPr>
        <w:t>QUALITATIVE AND QUANTITATIVE COMPOSITION</w:t>
      </w:r>
    </w:p>
    <w:p w14:paraId="5F435621" w14:textId="77777777" w:rsidR="00EA57E8" w:rsidRPr="00EA57E8" w:rsidRDefault="00000000" w:rsidP="00EA57E8">
      <w:pPr>
        <w:pStyle w:val="Heading2"/>
        <w:tabs>
          <w:tab w:val="center" w:pos="3765"/>
        </w:tabs>
        <w:spacing w:after="240" w:line="360" w:lineRule="auto"/>
        <w:ind w:left="369" w:firstLine="0"/>
        <w:rPr>
          <w:b w:val="0"/>
          <w:bCs/>
          <w:color w:val="FF0000"/>
          <w:sz w:val="28"/>
          <w:szCs w:val="28"/>
        </w:rPr>
      </w:pPr>
      <w:r w:rsidRPr="00EA57E8">
        <w:rPr>
          <w:b w:val="0"/>
          <w:bCs/>
          <w:sz w:val="28"/>
          <w:szCs w:val="28"/>
        </w:rPr>
        <w:t xml:space="preserve">Each ml of solution contains </w:t>
      </w:r>
      <w:r w:rsidRPr="00EA57E8">
        <w:rPr>
          <w:b w:val="0"/>
          <w:bCs/>
          <w:color w:val="FF0000"/>
          <w:sz w:val="28"/>
          <w:szCs w:val="28"/>
        </w:rPr>
        <w:t>&lt;GENERIC NAME&gt; &lt;STRENGTH&gt;</w:t>
      </w:r>
    </w:p>
    <w:p w14:paraId="3500368B" w14:textId="77777777" w:rsidR="00EA57E8" w:rsidRPr="00EA57E8" w:rsidRDefault="00000000" w:rsidP="00EA57E8">
      <w:pPr>
        <w:pStyle w:val="Heading2"/>
        <w:tabs>
          <w:tab w:val="center" w:pos="3765"/>
        </w:tabs>
        <w:spacing w:after="0" w:line="360" w:lineRule="auto"/>
        <w:ind w:left="370" w:firstLine="0"/>
        <w:rPr>
          <w:b w:val="0"/>
          <w:bCs/>
          <w:sz w:val="28"/>
          <w:szCs w:val="28"/>
          <w:u w:val="single" w:color="000000"/>
        </w:rPr>
      </w:pPr>
      <w:r w:rsidRPr="00EA57E8">
        <w:rPr>
          <w:b w:val="0"/>
          <w:bCs/>
          <w:sz w:val="28"/>
          <w:szCs w:val="28"/>
          <w:u w:val="single" w:color="000000"/>
        </w:rPr>
        <w:t>Excipients with known effect</w:t>
      </w:r>
    </w:p>
    <w:p w14:paraId="44AF61E0" w14:textId="77777777" w:rsidR="00EA57E8" w:rsidRPr="00EA57E8" w:rsidRDefault="00000000" w:rsidP="00EA57E8">
      <w:pPr>
        <w:pStyle w:val="Heading2"/>
        <w:tabs>
          <w:tab w:val="center" w:pos="3765"/>
        </w:tabs>
        <w:spacing w:after="240" w:line="360" w:lineRule="auto"/>
        <w:ind w:left="369" w:firstLine="0"/>
        <w:rPr>
          <w:b w:val="0"/>
          <w:bCs/>
          <w:color w:val="FF0000"/>
          <w:sz w:val="28"/>
          <w:szCs w:val="28"/>
        </w:rPr>
      </w:pPr>
      <w:r w:rsidRPr="00EA57E8">
        <w:rPr>
          <w:b w:val="0"/>
          <w:bCs/>
          <w:color w:val="FF0000"/>
          <w:sz w:val="28"/>
          <w:szCs w:val="28"/>
        </w:rPr>
        <w:t>&lt;REGARDING THE APPROVAL&gt;</w:t>
      </w:r>
    </w:p>
    <w:p w14:paraId="4C2C35F4" w14:textId="72FBE5E4" w:rsidR="00AB56F3" w:rsidRPr="00EA57E8" w:rsidRDefault="00000000" w:rsidP="00EA57E8">
      <w:pPr>
        <w:pStyle w:val="Heading2"/>
        <w:tabs>
          <w:tab w:val="center" w:pos="3765"/>
        </w:tabs>
        <w:spacing w:after="240" w:line="360" w:lineRule="auto"/>
        <w:ind w:left="369" w:firstLine="0"/>
        <w:rPr>
          <w:b w:val="0"/>
          <w:bCs/>
          <w:sz w:val="28"/>
          <w:szCs w:val="28"/>
        </w:rPr>
      </w:pPr>
      <w:r w:rsidRPr="00EA57E8">
        <w:rPr>
          <w:b w:val="0"/>
          <w:bCs/>
          <w:sz w:val="28"/>
          <w:szCs w:val="28"/>
        </w:rPr>
        <w:t>For the full list of excipients, see section 6.1</w:t>
      </w:r>
    </w:p>
    <w:p w14:paraId="11A21EE6" w14:textId="77777777" w:rsidR="00EA57E8" w:rsidRDefault="00000000" w:rsidP="00EA57E8">
      <w:pPr>
        <w:pStyle w:val="Heading1"/>
        <w:numPr>
          <w:ilvl w:val="0"/>
          <w:numId w:val="7"/>
        </w:numPr>
        <w:tabs>
          <w:tab w:val="center" w:pos="2565"/>
        </w:tabs>
        <w:spacing w:after="240" w:line="360" w:lineRule="auto"/>
        <w:ind w:left="368" w:hanging="357"/>
        <w:rPr>
          <w:szCs w:val="28"/>
        </w:rPr>
      </w:pPr>
      <w:r w:rsidRPr="00EA57E8">
        <w:rPr>
          <w:szCs w:val="28"/>
        </w:rPr>
        <w:t>PHARMACEUTICAL FORM</w:t>
      </w:r>
    </w:p>
    <w:p w14:paraId="77EBEB01" w14:textId="77777777" w:rsidR="00EA57E8" w:rsidRPr="00EA57E8" w:rsidRDefault="00000000" w:rsidP="00EA57E8">
      <w:pPr>
        <w:pStyle w:val="Heading1"/>
        <w:tabs>
          <w:tab w:val="center" w:pos="2565"/>
        </w:tabs>
        <w:spacing w:line="360" w:lineRule="auto"/>
        <w:ind w:left="370" w:firstLine="0"/>
        <w:rPr>
          <w:b w:val="0"/>
          <w:bCs/>
          <w:szCs w:val="28"/>
        </w:rPr>
      </w:pPr>
      <w:r w:rsidRPr="00EA57E8">
        <w:rPr>
          <w:b w:val="0"/>
          <w:bCs/>
          <w:szCs w:val="28"/>
        </w:rPr>
        <w:t>Oral Solution</w:t>
      </w:r>
    </w:p>
    <w:p w14:paraId="58ED638A" w14:textId="6FFA7F20" w:rsidR="00AB56F3" w:rsidRPr="00EA57E8" w:rsidRDefault="00000000" w:rsidP="00EA57E8">
      <w:pPr>
        <w:pStyle w:val="Heading1"/>
        <w:tabs>
          <w:tab w:val="center" w:pos="2565"/>
        </w:tabs>
        <w:spacing w:after="240" w:line="360" w:lineRule="auto"/>
        <w:ind w:left="369" w:firstLine="0"/>
        <w:rPr>
          <w:b w:val="0"/>
          <w:bCs/>
          <w:szCs w:val="28"/>
        </w:rPr>
      </w:pPr>
      <w:r w:rsidRPr="00EA57E8">
        <w:rPr>
          <w:b w:val="0"/>
          <w:bCs/>
          <w:color w:val="FF0000"/>
          <w:szCs w:val="28"/>
        </w:rPr>
        <w:t>&lt;REGARDING THE APPROVAL&gt;</w:t>
      </w:r>
    </w:p>
    <w:p w14:paraId="0276C4F6" w14:textId="77777777" w:rsidR="00EA57E8" w:rsidRDefault="00000000" w:rsidP="00EA57E8">
      <w:pPr>
        <w:pStyle w:val="Heading2"/>
        <w:numPr>
          <w:ilvl w:val="0"/>
          <w:numId w:val="7"/>
        </w:numPr>
        <w:tabs>
          <w:tab w:val="center" w:pos="2235"/>
        </w:tabs>
        <w:spacing w:after="240" w:line="360" w:lineRule="auto"/>
        <w:ind w:left="357" w:hanging="357"/>
        <w:rPr>
          <w:sz w:val="28"/>
          <w:szCs w:val="28"/>
        </w:rPr>
      </w:pPr>
      <w:r w:rsidRPr="00EA57E8">
        <w:rPr>
          <w:sz w:val="28"/>
          <w:szCs w:val="28"/>
        </w:rPr>
        <w:t>CLINICAL PARTICULARS</w:t>
      </w:r>
    </w:p>
    <w:p w14:paraId="61BE89CF" w14:textId="7757E846" w:rsidR="00AB56F3" w:rsidRPr="00EA57E8" w:rsidRDefault="00000000" w:rsidP="00EA57E8">
      <w:pPr>
        <w:pStyle w:val="Heading2"/>
        <w:numPr>
          <w:ilvl w:val="1"/>
          <w:numId w:val="7"/>
        </w:numPr>
        <w:tabs>
          <w:tab w:val="center" w:pos="2235"/>
        </w:tabs>
        <w:spacing w:after="284" w:line="360" w:lineRule="auto"/>
        <w:rPr>
          <w:sz w:val="28"/>
          <w:szCs w:val="28"/>
        </w:rPr>
      </w:pPr>
      <w:r w:rsidRPr="00EA57E8">
        <w:rPr>
          <w:sz w:val="28"/>
          <w:szCs w:val="28"/>
        </w:rPr>
        <w:t>Therapeutic indications</w:t>
      </w:r>
    </w:p>
    <w:p w14:paraId="65B9B2CC" w14:textId="77777777" w:rsidR="00AB56F3" w:rsidRPr="00EA57E8" w:rsidRDefault="00000000" w:rsidP="00EA57E8">
      <w:pPr>
        <w:spacing w:after="240" w:line="360" w:lineRule="auto"/>
        <w:ind w:left="731" w:right="227" w:hanging="11"/>
        <w:jc w:val="thaiDistribute"/>
        <w:rPr>
          <w:rFonts w:ascii="Times New Roman" w:hAnsi="Times New Roman" w:cs="Times New Roman"/>
          <w:sz w:val="28"/>
          <w:szCs w:val="28"/>
        </w:rPr>
      </w:pPr>
      <w:r w:rsidRPr="00EA57E8">
        <w:rPr>
          <w:rFonts w:ascii="Times New Roman" w:eastAsia="Times New Roman" w:hAnsi="Times New Roman" w:cs="Times New Roman"/>
          <w:sz w:val="28"/>
          <w:szCs w:val="28"/>
        </w:rPr>
        <w:t>Dexamethasone is a corticosteroid. It is designed for use in certain endocrine and non-endocrine disorders, in certain cases of cerebral oedema and for diagnostic testing of adrenocortical hyperfunction.</w:t>
      </w:r>
    </w:p>
    <w:p w14:paraId="200D2BD4" w14:textId="77777777" w:rsidR="00AB56F3" w:rsidRPr="00EA57E8" w:rsidRDefault="00000000" w:rsidP="00EA57E8">
      <w:pPr>
        <w:spacing w:after="26" w:line="360" w:lineRule="auto"/>
        <w:ind w:left="730" w:hanging="10"/>
        <w:jc w:val="thaiDistribute"/>
        <w:rPr>
          <w:rFonts w:ascii="Times New Roman" w:hAnsi="Times New Roman" w:cs="Times New Roman"/>
          <w:sz w:val="28"/>
          <w:szCs w:val="28"/>
        </w:rPr>
      </w:pPr>
      <w:r w:rsidRPr="00EA57E8">
        <w:rPr>
          <w:rFonts w:ascii="Times New Roman" w:eastAsia="Times New Roman" w:hAnsi="Times New Roman" w:cs="Times New Roman"/>
          <w:sz w:val="28"/>
          <w:szCs w:val="28"/>
          <w:u w:val="single" w:color="000000"/>
        </w:rPr>
        <w:t>Endocrine disorders</w:t>
      </w:r>
      <w:r w:rsidRPr="00EA57E8">
        <w:rPr>
          <w:rFonts w:ascii="Times New Roman" w:eastAsia="Times New Roman" w:hAnsi="Times New Roman" w:cs="Times New Roman"/>
          <w:sz w:val="28"/>
          <w:szCs w:val="28"/>
        </w:rPr>
        <w:t>:</w:t>
      </w:r>
    </w:p>
    <w:p w14:paraId="34573730" w14:textId="77777777" w:rsidR="00AB56F3" w:rsidRPr="00EA57E8" w:rsidRDefault="00000000" w:rsidP="00EA57E8">
      <w:pPr>
        <w:spacing w:after="281" w:line="360" w:lineRule="auto"/>
        <w:ind w:left="730" w:right="224" w:hanging="10"/>
        <w:jc w:val="thaiDistribute"/>
        <w:rPr>
          <w:rFonts w:ascii="Times New Roman" w:hAnsi="Times New Roman" w:cs="Times New Roman"/>
          <w:sz w:val="28"/>
          <w:szCs w:val="28"/>
        </w:rPr>
      </w:pPr>
      <w:r w:rsidRPr="00EA57E8">
        <w:rPr>
          <w:rFonts w:ascii="Times New Roman" w:eastAsia="Times New Roman" w:hAnsi="Times New Roman" w:cs="Times New Roman"/>
          <w:sz w:val="28"/>
          <w:szCs w:val="28"/>
        </w:rPr>
        <w:t>Endocrine exophthalmos.</w:t>
      </w:r>
    </w:p>
    <w:p w14:paraId="71B311E6" w14:textId="77777777" w:rsidR="00EA57E8" w:rsidRDefault="00EA57E8">
      <w:pPr>
        <w:spacing w:line="278" w:lineRule="auto"/>
        <w:rPr>
          <w:rFonts w:ascii="Times New Roman" w:eastAsia="Times New Roman" w:hAnsi="Times New Roman" w:cs="Times New Roman"/>
          <w:sz w:val="28"/>
          <w:szCs w:val="28"/>
          <w:u w:val="single" w:color="000000"/>
        </w:rPr>
      </w:pPr>
      <w:r>
        <w:rPr>
          <w:rFonts w:ascii="Times New Roman" w:eastAsia="Times New Roman" w:hAnsi="Times New Roman" w:cs="Times New Roman"/>
          <w:sz w:val="28"/>
          <w:szCs w:val="28"/>
          <w:u w:val="single" w:color="000000"/>
        </w:rPr>
        <w:br w:type="page"/>
      </w:r>
    </w:p>
    <w:p w14:paraId="10ECF7BE" w14:textId="7966A41E" w:rsidR="00AB56F3" w:rsidRPr="00EA57E8" w:rsidRDefault="00000000" w:rsidP="00EA57E8">
      <w:pPr>
        <w:spacing w:after="240" w:line="360" w:lineRule="auto"/>
        <w:ind w:left="731" w:hanging="11"/>
        <w:jc w:val="thaiDistribute"/>
        <w:rPr>
          <w:rFonts w:ascii="Times New Roman" w:hAnsi="Times New Roman" w:cs="Times New Roman"/>
          <w:sz w:val="28"/>
          <w:szCs w:val="28"/>
        </w:rPr>
      </w:pPr>
      <w:r w:rsidRPr="00EA57E8">
        <w:rPr>
          <w:rFonts w:ascii="Times New Roman" w:eastAsia="Times New Roman" w:hAnsi="Times New Roman" w:cs="Times New Roman"/>
          <w:sz w:val="28"/>
          <w:szCs w:val="28"/>
          <w:u w:val="single" w:color="000000"/>
        </w:rPr>
        <w:lastRenderedPageBreak/>
        <w:t>Non-endocrine disorders</w:t>
      </w:r>
      <w:r w:rsidRPr="00EA57E8">
        <w:rPr>
          <w:rFonts w:ascii="Times New Roman" w:eastAsia="Times New Roman" w:hAnsi="Times New Roman" w:cs="Times New Roman"/>
          <w:sz w:val="28"/>
          <w:szCs w:val="28"/>
        </w:rPr>
        <w:t>:</w:t>
      </w:r>
    </w:p>
    <w:p w14:paraId="6DE8FC8D" w14:textId="77777777" w:rsidR="00AB56F3" w:rsidRPr="00EA57E8" w:rsidRDefault="00000000" w:rsidP="00EA57E8">
      <w:pPr>
        <w:spacing w:after="240" w:line="360" w:lineRule="auto"/>
        <w:ind w:left="731" w:right="227" w:hanging="11"/>
        <w:jc w:val="thaiDistribute"/>
        <w:rPr>
          <w:rFonts w:ascii="Times New Roman" w:hAnsi="Times New Roman" w:cs="Times New Roman"/>
          <w:sz w:val="28"/>
          <w:szCs w:val="28"/>
        </w:rPr>
      </w:pPr>
      <w:r w:rsidRPr="00EA57E8">
        <w:rPr>
          <w:rFonts w:ascii="Times New Roman" w:eastAsia="Times New Roman" w:hAnsi="Times New Roman" w:cs="Times New Roman"/>
          <w:sz w:val="28"/>
          <w:szCs w:val="28"/>
        </w:rPr>
        <w:t>Dexamethasone may be used in the treatment of non-endocrine corticosteroid responsive conditions including:</w:t>
      </w:r>
    </w:p>
    <w:p w14:paraId="1E2DA6D5" w14:textId="77777777" w:rsidR="00AB56F3" w:rsidRPr="00EA57E8" w:rsidRDefault="00000000" w:rsidP="00EA57E8">
      <w:pPr>
        <w:spacing w:after="240" w:line="360" w:lineRule="auto"/>
        <w:ind w:left="731" w:hanging="11"/>
        <w:jc w:val="thaiDistribute"/>
        <w:rPr>
          <w:rFonts w:ascii="Times New Roman" w:hAnsi="Times New Roman" w:cs="Times New Roman"/>
          <w:sz w:val="28"/>
          <w:szCs w:val="28"/>
        </w:rPr>
      </w:pPr>
      <w:r w:rsidRPr="00EA57E8">
        <w:rPr>
          <w:rFonts w:ascii="Times New Roman" w:eastAsia="Times New Roman" w:hAnsi="Times New Roman" w:cs="Times New Roman"/>
          <w:sz w:val="28"/>
          <w:szCs w:val="28"/>
          <w:u w:val="single" w:color="000000"/>
        </w:rPr>
        <w:t>Allergy and anaphylaxis</w:t>
      </w:r>
      <w:r w:rsidRPr="00EA57E8">
        <w:rPr>
          <w:rFonts w:ascii="Times New Roman" w:eastAsia="Times New Roman" w:hAnsi="Times New Roman" w:cs="Times New Roman"/>
          <w:sz w:val="28"/>
          <w:szCs w:val="28"/>
        </w:rPr>
        <w:t>: Anaphylaxis.</w:t>
      </w:r>
    </w:p>
    <w:p w14:paraId="58660BB9" w14:textId="77777777" w:rsidR="00AB56F3" w:rsidRPr="00EA57E8" w:rsidRDefault="00000000" w:rsidP="00EA57E8">
      <w:pPr>
        <w:spacing w:after="240" w:line="360" w:lineRule="auto"/>
        <w:ind w:left="731" w:right="227" w:hanging="11"/>
        <w:jc w:val="thaiDistribute"/>
        <w:rPr>
          <w:rFonts w:ascii="Times New Roman" w:hAnsi="Times New Roman" w:cs="Times New Roman"/>
          <w:sz w:val="28"/>
          <w:szCs w:val="28"/>
        </w:rPr>
      </w:pPr>
      <w:r w:rsidRPr="00EA57E8">
        <w:rPr>
          <w:rFonts w:ascii="Times New Roman" w:eastAsia="Times New Roman" w:hAnsi="Times New Roman" w:cs="Times New Roman"/>
          <w:sz w:val="28"/>
          <w:szCs w:val="28"/>
          <w:u w:val="single" w:color="000000"/>
        </w:rPr>
        <w:t>Arteritis collagenosis</w:t>
      </w:r>
      <w:r w:rsidRPr="00EA57E8">
        <w:rPr>
          <w:rFonts w:ascii="Times New Roman" w:eastAsia="Times New Roman" w:hAnsi="Times New Roman" w:cs="Times New Roman"/>
          <w:sz w:val="28"/>
          <w:szCs w:val="28"/>
        </w:rPr>
        <w:t>: Polymyalgia rheumatica, polyarteritis nodosa.</w:t>
      </w:r>
    </w:p>
    <w:p w14:paraId="05A9AF5D" w14:textId="77777777" w:rsidR="00EA57E8" w:rsidRDefault="00000000" w:rsidP="00EA57E8">
      <w:pPr>
        <w:spacing w:after="240" w:line="360" w:lineRule="auto"/>
        <w:ind w:left="731" w:right="227" w:hanging="11"/>
        <w:jc w:val="thaiDistribute"/>
        <w:rPr>
          <w:rFonts w:ascii="Times New Roman" w:hAnsi="Times New Roman" w:cs="Times New Roman"/>
          <w:sz w:val="28"/>
          <w:szCs w:val="28"/>
        </w:rPr>
      </w:pPr>
      <w:r w:rsidRPr="00EA57E8">
        <w:rPr>
          <w:rFonts w:ascii="Times New Roman" w:eastAsia="Times New Roman" w:hAnsi="Times New Roman" w:cs="Times New Roman"/>
          <w:sz w:val="28"/>
          <w:szCs w:val="28"/>
          <w:u w:val="single" w:color="000000"/>
        </w:rPr>
        <w:t>Haematological disorders</w:t>
      </w:r>
      <w:r w:rsidRPr="00EA57E8">
        <w:rPr>
          <w:rFonts w:ascii="Times New Roman" w:eastAsia="Times New Roman" w:hAnsi="Times New Roman" w:cs="Times New Roman"/>
          <w:sz w:val="28"/>
          <w:szCs w:val="28"/>
        </w:rPr>
        <w:t>: Haemolytic anaemia (also auto immune), leukaemia, myeloma, idiopathic thrombocytopenic purpura in adults, reticulolymphoproliferative disorders (see also under oncological disorders).</w:t>
      </w:r>
    </w:p>
    <w:p w14:paraId="75709EC6" w14:textId="20700CD9" w:rsidR="00AB56F3" w:rsidRPr="00EA57E8" w:rsidRDefault="00000000" w:rsidP="00EA57E8">
      <w:pPr>
        <w:spacing w:after="240" w:line="360" w:lineRule="auto"/>
        <w:ind w:left="731" w:right="227" w:hanging="11"/>
        <w:jc w:val="thaiDistribute"/>
        <w:rPr>
          <w:rFonts w:ascii="Times New Roman" w:hAnsi="Times New Roman" w:cs="Times New Roman"/>
          <w:sz w:val="28"/>
          <w:szCs w:val="28"/>
        </w:rPr>
      </w:pPr>
      <w:r w:rsidRPr="00EA57E8">
        <w:rPr>
          <w:rFonts w:ascii="Times New Roman" w:eastAsia="Times New Roman" w:hAnsi="Times New Roman" w:cs="Times New Roman"/>
          <w:sz w:val="28"/>
          <w:szCs w:val="28"/>
          <w:u w:val="single" w:color="000000"/>
        </w:rPr>
        <w:t>Gastroenterological disorders</w:t>
      </w:r>
      <w:r w:rsidRPr="00EA57E8">
        <w:rPr>
          <w:rFonts w:ascii="Times New Roman" w:eastAsia="Times New Roman" w:hAnsi="Times New Roman" w:cs="Times New Roman"/>
          <w:sz w:val="28"/>
          <w:szCs w:val="28"/>
        </w:rPr>
        <w:t>: For treatment during the critical stage in: ulcerative colitis (rectal only); regional enteritis (Crohn's disease), certain forms of hepatitis.</w:t>
      </w:r>
    </w:p>
    <w:p w14:paraId="7C88076A" w14:textId="77777777" w:rsidR="00AB56F3" w:rsidRPr="00EA57E8" w:rsidRDefault="00000000" w:rsidP="00EA57E8">
      <w:pPr>
        <w:spacing w:after="240" w:line="360" w:lineRule="auto"/>
        <w:ind w:left="731" w:hanging="11"/>
        <w:jc w:val="thaiDistribute"/>
        <w:rPr>
          <w:rFonts w:ascii="Times New Roman" w:hAnsi="Times New Roman" w:cs="Times New Roman"/>
          <w:sz w:val="28"/>
          <w:szCs w:val="28"/>
        </w:rPr>
      </w:pPr>
      <w:r w:rsidRPr="00EA57E8">
        <w:rPr>
          <w:rFonts w:ascii="Times New Roman" w:eastAsia="Times New Roman" w:hAnsi="Times New Roman" w:cs="Times New Roman"/>
          <w:sz w:val="28"/>
          <w:szCs w:val="28"/>
          <w:u w:val="single" w:color="000000"/>
        </w:rPr>
        <w:t>Muscular disorders</w:t>
      </w:r>
      <w:r w:rsidRPr="00EA57E8">
        <w:rPr>
          <w:rFonts w:ascii="Times New Roman" w:eastAsia="Times New Roman" w:hAnsi="Times New Roman" w:cs="Times New Roman"/>
          <w:sz w:val="28"/>
          <w:szCs w:val="28"/>
        </w:rPr>
        <w:t>: Polymyositis.</w:t>
      </w:r>
    </w:p>
    <w:p w14:paraId="09916685" w14:textId="77777777" w:rsidR="00AB56F3" w:rsidRPr="00EA57E8" w:rsidRDefault="00000000" w:rsidP="00EA57E8">
      <w:pPr>
        <w:spacing w:after="240" w:line="360" w:lineRule="auto"/>
        <w:ind w:left="731" w:right="227" w:hanging="11"/>
        <w:jc w:val="thaiDistribute"/>
        <w:rPr>
          <w:rFonts w:ascii="Times New Roman" w:hAnsi="Times New Roman" w:cs="Times New Roman"/>
          <w:sz w:val="28"/>
          <w:szCs w:val="28"/>
        </w:rPr>
      </w:pPr>
      <w:r w:rsidRPr="00EA57E8">
        <w:rPr>
          <w:rFonts w:ascii="Times New Roman" w:eastAsia="Times New Roman" w:hAnsi="Times New Roman" w:cs="Times New Roman"/>
          <w:sz w:val="28"/>
          <w:szCs w:val="28"/>
          <w:u w:val="single" w:color="000000"/>
        </w:rPr>
        <w:t>Neurological disorders</w:t>
      </w:r>
      <w:r w:rsidRPr="00EA57E8">
        <w:rPr>
          <w:rFonts w:ascii="Times New Roman" w:eastAsia="Times New Roman" w:hAnsi="Times New Roman" w:cs="Times New Roman"/>
          <w:sz w:val="28"/>
          <w:szCs w:val="28"/>
        </w:rPr>
        <w:t>: Raised intra-cranial pressure secondary to cerebral tumours, acute exacerbations of multiple sclerosis.</w:t>
      </w:r>
    </w:p>
    <w:p w14:paraId="2A16BD48" w14:textId="77777777" w:rsidR="00AB56F3" w:rsidRPr="00EA57E8" w:rsidRDefault="00000000" w:rsidP="00EA57E8">
      <w:pPr>
        <w:spacing w:after="240" w:line="360" w:lineRule="auto"/>
        <w:ind w:left="731" w:right="227" w:hanging="11"/>
        <w:jc w:val="thaiDistribute"/>
        <w:rPr>
          <w:rFonts w:ascii="Times New Roman" w:hAnsi="Times New Roman" w:cs="Times New Roman"/>
          <w:sz w:val="28"/>
          <w:szCs w:val="28"/>
        </w:rPr>
      </w:pPr>
      <w:r w:rsidRPr="00EA57E8">
        <w:rPr>
          <w:rFonts w:ascii="Times New Roman" w:eastAsia="Times New Roman" w:hAnsi="Times New Roman" w:cs="Times New Roman"/>
          <w:sz w:val="28"/>
          <w:szCs w:val="28"/>
          <w:u w:val="single" w:color="000000"/>
        </w:rPr>
        <w:t>Ocular disorders</w:t>
      </w:r>
      <w:r w:rsidRPr="00EA57E8">
        <w:rPr>
          <w:rFonts w:ascii="Times New Roman" w:eastAsia="Times New Roman" w:hAnsi="Times New Roman" w:cs="Times New Roman"/>
          <w:sz w:val="28"/>
          <w:szCs w:val="28"/>
        </w:rPr>
        <w:t>: Anterior and posterior uveitis, optic neuritis, chorioretinitis, iridocyclitis, temporal arteritis, orbital pseudotumour.</w:t>
      </w:r>
    </w:p>
    <w:p w14:paraId="45683924" w14:textId="77777777" w:rsidR="00AB56F3" w:rsidRPr="00EA57E8" w:rsidRDefault="00000000" w:rsidP="00EA57E8">
      <w:pPr>
        <w:spacing w:after="240" w:line="360" w:lineRule="auto"/>
        <w:ind w:left="731" w:right="227" w:hanging="11"/>
        <w:jc w:val="thaiDistribute"/>
        <w:rPr>
          <w:rFonts w:ascii="Times New Roman" w:hAnsi="Times New Roman" w:cs="Times New Roman"/>
          <w:sz w:val="28"/>
          <w:szCs w:val="28"/>
        </w:rPr>
      </w:pPr>
      <w:r w:rsidRPr="00EA57E8">
        <w:rPr>
          <w:rFonts w:ascii="Times New Roman" w:eastAsia="Times New Roman" w:hAnsi="Times New Roman" w:cs="Times New Roman"/>
          <w:sz w:val="28"/>
          <w:szCs w:val="28"/>
          <w:u w:val="single" w:color="000000"/>
        </w:rPr>
        <w:t>Renal disorders</w:t>
      </w:r>
      <w:r w:rsidRPr="00EA57E8">
        <w:rPr>
          <w:rFonts w:ascii="Times New Roman" w:eastAsia="Times New Roman" w:hAnsi="Times New Roman" w:cs="Times New Roman"/>
          <w:sz w:val="28"/>
          <w:szCs w:val="28"/>
        </w:rPr>
        <w:t>: Nephrotic syndrome.</w:t>
      </w:r>
    </w:p>
    <w:p w14:paraId="4A64E694" w14:textId="77777777" w:rsidR="00AB56F3" w:rsidRPr="00EA57E8" w:rsidRDefault="00000000" w:rsidP="00EA57E8">
      <w:pPr>
        <w:spacing w:after="240" w:line="360" w:lineRule="auto"/>
        <w:ind w:left="731" w:right="227" w:hanging="11"/>
        <w:jc w:val="thaiDistribute"/>
        <w:rPr>
          <w:rFonts w:ascii="Times New Roman" w:hAnsi="Times New Roman" w:cs="Times New Roman"/>
          <w:sz w:val="28"/>
          <w:szCs w:val="28"/>
        </w:rPr>
      </w:pPr>
      <w:r w:rsidRPr="00EA57E8">
        <w:rPr>
          <w:rFonts w:ascii="Times New Roman" w:eastAsia="Times New Roman" w:hAnsi="Times New Roman" w:cs="Times New Roman"/>
          <w:sz w:val="28"/>
          <w:szCs w:val="28"/>
          <w:u w:val="single" w:color="000000"/>
        </w:rPr>
        <w:t>Pulmonary disorders</w:t>
      </w:r>
      <w:r w:rsidRPr="00EA57E8">
        <w:rPr>
          <w:rFonts w:ascii="Times New Roman" w:eastAsia="Times New Roman" w:hAnsi="Times New Roman" w:cs="Times New Roman"/>
          <w:sz w:val="28"/>
          <w:szCs w:val="28"/>
        </w:rPr>
        <w:t>: Chronic bronchial asthma, aspiration pneumonitis, chronic obstructive pulmonary disease (COPD), sarcoidosis, allergic pulmonary disease such as farmer's and pigeon breeder's lung, Löffler's syndrome, cryptogenic fibrosing alveolitis.</w:t>
      </w:r>
    </w:p>
    <w:p w14:paraId="1BEEA711" w14:textId="68954C83" w:rsidR="00AB56F3" w:rsidRPr="00EA57E8" w:rsidRDefault="00000000" w:rsidP="00EA57E8">
      <w:pPr>
        <w:spacing w:after="240" w:line="360" w:lineRule="auto"/>
        <w:ind w:left="731" w:right="227" w:hanging="11"/>
        <w:jc w:val="thaiDistribute"/>
        <w:rPr>
          <w:rFonts w:ascii="Times New Roman" w:hAnsi="Times New Roman" w:cs="Times New Roman"/>
          <w:sz w:val="28"/>
          <w:szCs w:val="28"/>
        </w:rPr>
      </w:pPr>
      <w:r w:rsidRPr="00EA57E8">
        <w:rPr>
          <w:rFonts w:ascii="Times New Roman" w:eastAsia="Times New Roman" w:hAnsi="Times New Roman" w:cs="Times New Roman"/>
          <w:sz w:val="28"/>
          <w:szCs w:val="28"/>
        </w:rPr>
        <w:lastRenderedPageBreak/>
        <w:t xml:space="preserve">Dexamethasone </w:t>
      </w:r>
      <w:r w:rsidR="00EA57E8" w:rsidRPr="00EA57E8">
        <w:rPr>
          <w:rFonts w:ascii="Times New Roman" w:eastAsia="Times New Roman" w:hAnsi="Times New Roman" w:cs="Times New Roman"/>
          <w:color w:val="FF0000"/>
          <w:sz w:val="28"/>
          <w:szCs w:val="28"/>
        </w:rPr>
        <w:t>&lt;STRENGTH&gt;</w:t>
      </w:r>
      <w:r w:rsidR="00EA57E8" w:rsidRPr="00EA57E8">
        <w:rPr>
          <w:rFonts w:ascii="Times New Roman" w:eastAsia="Times New Roman" w:hAnsi="Times New Roman" w:cs="Times New Roman"/>
          <w:b/>
          <w:bCs/>
          <w:color w:val="FF0000"/>
          <w:sz w:val="28"/>
          <w:szCs w:val="28"/>
        </w:rPr>
        <w:t xml:space="preserve"> </w:t>
      </w:r>
      <w:r w:rsidRPr="00EA57E8">
        <w:rPr>
          <w:rFonts w:ascii="Times New Roman" w:eastAsia="Times New Roman" w:hAnsi="Times New Roman" w:cs="Times New Roman"/>
          <w:sz w:val="28"/>
          <w:szCs w:val="28"/>
        </w:rPr>
        <w:t>Oral Solution is indicated in the treatment of coronavirus disease 2019 (COVID-19) in adult and adolescent patients (aged 12 years and older with body weight at least 40 kg) who are hospitalized and require supplemental oxygen therapy.</w:t>
      </w:r>
    </w:p>
    <w:p w14:paraId="2D8BEED9" w14:textId="153A7D9E" w:rsidR="00AB56F3" w:rsidRPr="00EA57E8" w:rsidRDefault="00000000" w:rsidP="00EA57E8">
      <w:pPr>
        <w:spacing w:after="240" w:line="360" w:lineRule="auto"/>
        <w:ind w:left="731" w:right="227" w:hanging="11"/>
        <w:jc w:val="thaiDistribute"/>
        <w:rPr>
          <w:rFonts w:ascii="Times New Roman" w:hAnsi="Times New Roman" w:cs="Times New Roman"/>
          <w:sz w:val="28"/>
          <w:szCs w:val="28"/>
        </w:rPr>
      </w:pPr>
      <w:r w:rsidRPr="00EA57E8">
        <w:rPr>
          <w:rFonts w:ascii="Times New Roman" w:eastAsia="Times New Roman" w:hAnsi="Times New Roman" w:cs="Times New Roman"/>
          <w:sz w:val="28"/>
          <w:szCs w:val="28"/>
        </w:rPr>
        <w:t xml:space="preserve">Administration of </w:t>
      </w:r>
      <w:r w:rsidR="00EA57E8" w:rsidRPr="00EA57E8">
        <w:rPr>
          <w:rFonts w:ascii="Times New Roman" w:eastAsia="Times New Roman" w:hAnsi="Times New Roman" w:cs="Times New Roman"/>
          <w:color w:val="FF0000"/>
          <w:sz w:val="28"/>
          <w:szCs w:val="28"/>
        </w:rPr>
        <w:t>&lt;TRADE NAME&gt;</w:t>
      </w:r>
      <w:r w:rsidR="00EA57E8" w:rsidRPr="00EA57E8">
        <w:rPr>
          <w:rFonts w:ascii="Times New Roman" w:eastAsia="Times New Roman" w:hAnsi="Times New Roman" w:cs="Times New Roman"/>
          <w:b/>
          <w:bCs/>
          <w:color w:val="FF0000"/>
          <w:sz w:val="28"/>
          <w:szCs w:val="28"/>
        </w:rPr>
        <w:t xml:space="preserve"> </w:t>
      </w:r>
      <w:r w:rsidR="00EA57E8" w:rsidRPr="00EA57E8">
        <w:rPr>
          <w:rFonts w:ascii="Times New Roman" w:eastAsia="Times New Roman" w:hAnsi="Times New Roman" w:cs="Times New Roman"/>
          <w:color w:val="FF0000"/>
          <w:sz w:val="28"/>
          <w:szCs w:val="28"/>
        </w:rPr>
        <w:t xml:space="preserve">&lt;STRENGTH&gt; </w:t>
      </w:r>
      <w:r w:rsidRPr="00EA57E8">
        <w:rPr>
          <w:rFonts w:ascii="Times New Roman" w:eastAsia="Times New Roman" w:hAnsi="Times New Roman" w:cs="Times New Roman"/>
          <w:sz w:val="28"/>
          <w:szCs w:val="28"/>
        </w:rPr>
        <w:t>Oral Solution is not indicated in nonhospitalized patients with COVID-19 and in patients with duration of symptomatic disease of less than 7 days.</w:t>
      </w:r>
    </w:p>
    <w:p w14:paraId="6C56D318" w14:textId="77777777" w:rsidR="00AB56F3" w:rsidRPr="00EA57E8" w:rsidRDefault="00000000" w:rsidP="00EA57E8">
      <w:pPr>
        <w:spacing w:after="240" w:line="360" w:lineRule="auto"/>
        <w:ind w:left="731" w:right="227" w:hanging="11"/>
        <w:jc w:val="thaiDistribute"/>
        <w:rPr>
          <w:rFonts w:ascii="Times New Roman" w:hAnsi="Times New Roman" w:cs="Times New Roman"/>
          <w:sz w:val="28"/>
          <w:szCs w:val="28"/>
        </w:rPr>
      </w:pPr>
      <w:r w:rsidRPr="00EA57E8">
        <w:rPr>
          <w:rFonts w:ascii="Times New Roman" w:eastAsia="Times New Roman" w:hAnsi="Times New Roman" w:cs="Times New Roman"/>
          <w:sz w:val="28"/>
          <w:szCs w:val="28"/>
          <w:u w:val="single" w:color="000000"/>
        </w:rPr>
        <w:t>Rheumatic disorders</w:t>
      </w:r>
      <w:r w:rsidRPr="00EA57E8">
        <w:rPr>
          <w:rFonts w:ascii="Times New Roman" w:eastAsia="Times New Roman" w:hAnsi="Times New Roman" w:cs="Times New Roman"/>
          <w:sz w:val="28"/>
          <w:szCs w:val="28"/>
        </w:rPr>
        <w:t>: some cases or specific forms (Felty's syndrome, Sjögrens syndrome) of rheumatoid arthritis, including juvenile rheumatoid arthritis, acute rheumatism, lupus erythematosus disseminatus, temporal arteritis (polymyalgia rheumatica).</w:t>
      </w:r>
    </w:p>
    <w:p w14:paraId="59ED3EDF" w14:textId="77777777" w:rsidR="00AB56F3" w:rsidRPr="00EA57E8" w:rsidRDefault="00000000" w:rsidP="00EA57E8">
      <w:pPr>
        <w:spacing w:after="240" w:line="360" w:lineRule="auto"/>
        <w:ind w:left="731" w:right="227" w:hanging="11"/>
        <w:jc w:val="thaiDistribute"/>
        <w:rPr>
          <w:rFonts w:ascii="Times New Roman" w:hAnsi="Times New Roman" w:cs="Times New Roman"/>
          <w:sz w:val="28"/>
          <w:szCs w:val="28"/>
        </w:rPr>
      </w:pPr>
      <w:r w:rsidRPr="00EA57E8">
        <w:rPr>
          <w:rFonts w:ascii="Times New Roman" w:eastAsia="Times New Roman" w:hAnsi="Times New Roman" w:cs="Times New Roman"/>
          <w:sz w:val="28"/>
          <w:szCs w:val="28"/>
          <w:u w:val="single" w:color="000000"/>
        </w:rPr>
        <w:t>Skin disorders</w:t>
      </w:r>
      <w:r w:rsidRPr="00EA57E8">
        <w:rPr>
          <w:rFonts w:ascii="Times New Roman" w:eastAsia="Times New Roman" w:hAnsi="Times New Roman" w:cs="Times New Roman"/>
          <w:sz w:val="28"/>
          <w:szCs w:val="28"/>
        </w:rPr>
        <w:t>: Pemphigus vulgaris, bullous pemphigoid, erythrodermas, serious forms of erythema multiforme (Stevens-Johnson syndrome), mycosis fungoides, bullous dermatitis herpetiformis.</w:t>
      </w:r>
    </w:p>
    <w:p w14:paraId="7D91D44A" w14:textId="77777777" w:rsidR="00AB56F3" w:rsidRPr="00EA57E8" w:rsidRDefault="00000000" w:rsidP="00EA57E8">
      <w:pPr>
        <w:spacing w:after="240" w:line="360" w:lineRule="auto"/>
        <w:ind w:left="731" w:right="227" w:hanging="11"/>
        <w:jc w:val="thaiDistribute"/>
        <w:rPr>
          <w:rFonts w:ascii="Times New Roman" w:hAnsi="Times New Roman" w:cs="Times New Roman"/>
          <w:sz w:val="28"/>
          <w:szCs w:val="28"/>
        </w:rPr>
      </w:pPr>
      <w:r w:rsidRPr="00EA57E8">
        <w:rPr>
          <w:rFonts w:ascii="Times New Roman" w:eastAsia="Times New Roman" w:hAnsi="Times New Roman" w:cs="Times New Roman"/>
          <w:sz w:val="28"/>
          <w:szCs w:val="28"/>
          <w:u w:val="single" w:color="000000"/>
        </w:rPr>
        <w:t>Oncological Disorders</w:t>
      </w:r>
      <w:r w:rsidRPr="00EA57E8">
        <w:rPr>
          <w:rFonts w:ascii="Times New Roman" w:eastAsia="Times New Roman" w:hAnsi="Times New Roman" w:cs="Times New Roman"/>
          <w:sz w:val="28"/>
          <w:szCs w:val="28"/>
        </w:rPr>
        <w:t>: lymphatic leukaemia, especially acute forms, malignant lymphoma (Hodgkin's disease, non-Hodgkin's lymphoma), metastasized breast cancer, hypercalcaemia as a result of bone metastasis or Kahler's disease.</w:t>
      </w:r>
    </w:p>
    <w:p w14:paraId="5E8A0E92" w14:textId="77777777" w:rsidR="00AB56F3" w:rsidRPr="00EA57E8" w:rsidRDefault="00000000" w:rsidP="00EA57E8">
      <w:pPr>
        <w:spacing w:after="854" w:line="360" w:lineRule="auto"/>
        <w:ind w:left="730" w:right="224" w:hanging="10"/>
        <w:jc w:val="thaiDistribute"/>
        <w:rPr>
          <w:rFonts w:ascii="Times New Roman" w:hAnsi="Times New Roman" w:cs="Times New Roman"/>
          <w:sz w:val="28"/>
          <w:szCs w:val="28"/>
        </w:rPr>
      </w:pPr>
      <w:r w:rsidRPr="00EA57E8">
        <w:rPr>
          <w:rFonts w:ascii="Times New Roman" w:eastAsia="Times New Roman" w:hAnsi="Times New Roman" w:cs="Times New Roman"/>
          <w:sz w:val="28"/>
          <w:szCs w:val="28"/>
          <w:u w:val="single" w:color="000000"/>
        </w:rPr>
        <w:t>Various</w:t>
      </w:r>
      <w:r w:rsidRPr="00EA57E8">
        <w:rPr>
          <w:rFonts w:ascii="Times New Roman" w:eastAsia="Times New Roman" w:hAnsi="Times New Roman" w:cs="Times New Roman"/>
          <w:sz w:val="28"/>
          <w:szCs w:val="28"/>
        </w:rPr>
        <w:t>: intense allergic reactions; as immunosuppressant in organ transplantation; as an adjuvant in the prevention of nausea and vomiting and in the treatment of cancer with oncolytics that have a serious emetic effect.</w:t>
      </w:r>
    </w:p>
    <w:p w14:paraId="715DE242" w14:textId="41D1E18A" w:rsidR="00AB56F3" w:rsidRPr="00E11FF4" w:rsidRDefault="00000000" w:rsidP="00EA57E8">
      <w:pPr>
        <w:pStyle w:val="Heading3"/>
        <w:numPr>
          <w:ilvl w:val="1"/>
          <w:numId w:val="7"/>
        </w:numPr>
        <w:tabs>
          <w:tab w:val="center" w:pos="2745"/>
        </w:tabs>
        <w:rPr>
          <w:sz w:val="28"/>
          <w:szCs w:val="28"/>
        </w:rPr>
      </w:pPr>
      <w:r w:rsidRPr="00E11FF4">
        <w:rPr>
          <w:sz w:val="28"/>
          <w:szCs w:val="28"/>
        </w:rPr>
        <w:lastRenderedPageBreak/>
        <w:t>Posology and method of administration</w:t>
      </w:r>
    </w:p>
    <w:p w14:paraId="39BDFB68" w14:textId="77777777" w:rsidR="00AB56F3" w:rsidRPr="00E11FF4" w:rsidRDefault="00000000" w:rsidP="00EA57E8">
      <w:pPr>
        <w:spacing w:after="278" w:line="360" w:lineRule="auto"/>
        <w:ind w:left="735"/>
        <w:jc w:val="thaiDistribute"/>
        <w:rPr>
          <w:rFonts w:ascii="Times New Roman" w:hAnsi="Times New Roman" w:cs="Times New Roman"/>
          <w:bCs/>
          <w:i/>
          <w:sz w:val="28"/>
          <w:szCs w:val="28"/>
        </w:rPr>
      </w:pPr>
      <w:r w:rsidRPr="00E11FF4">
        <w:rPr>
          <w:rFonts w:ascii="Times New Roman" w:eastAsia="Times New Roman" w:hAnsi="Times New Roman" w:cs="Times New Roman"/>
          <w:bCs/>
          <w:i/>
          <w:sz w:val="28"/>
          <w:szCs w:val="28"/>
          <w:u w:color="000000"/>
        </w:rPr>
        <w:t>Posology</w:t>
      </w:r>
    </w:p>
    <w:p w14:paraId="4862A12B" w14:textId="77777777" w:rsidR="00AB56F3" w:rsidRPr="00E11FF4" w:rsidRDefault="00000000" w:rsidP="00EA57E8">
      <w:pPr>
        <w:spacing w:after="281" w:line="360" w:lineRule="auto"/>
        <w:ind w:left="730" w:right="224" w:hanging="10"/>
        <w:jc w:val="thaiDistribute"/>
        <w:rPr>
          <w:rFonts w:ascii="Times New Roman" w:hAnsi="Times New Roman" w:cs="Times New Roman"/>
          <w:sz w:val="28"/>
          <w:szCs w:val="28"/>
          <w:u w:val="single"/>
        </w:rPr>
      </w:pPr>
      <w:r w:rsidRPr="00E11FF4">
        <w:rPr>
          <w:rFonts w:ascii="Times New Roman" w:eastAsia="Times New Roman" w:hAnsi="Times New Roman" w:cs="Times New Roman"/>
          <w:sz w:val="28"/>
          <w:szCs w:val="28"/>
          <w:u w:val="single"/>
        </w:rPr>
        <w:t>Adults</w:t>
      </w:r>
    </w:p>
    <w:p w14:paraId="0ACDC70A" w14:textId="77777777" w:rsidR="00AB56F3" w:rsidRPr="00E11FF4" w:rsidRDefault="00000000" w:rsidP="00EA57E8">
      <w:pPr>
        <w:spacing w:after="240" w:line="360" w:lineRule="auto"/>
        <w:ind w:left="731" w:hanging="11"/>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u w:val="single" w:color="000000"/>
        </w:rPr>
        <w:t>General considerations</w:t>
      </w:r>
      <w:r w:rsidRPr="00E11FF4">
        <w:rPr>
          <w:rFonts w:ascii="Times New Roman" w:eastAsia="Times New Roman" w:hAnsi="Times New Roman" w:cs="Times New Roman"/>
          <w:sz w:val="28"/>
          <w:szCs w:val="28"/>
        </w:rPr>
        <w:t>:</w:t>
      </w:r>
    </w:p>
    <w:p w14:paraId="13598B00" w14:textId="77777777" w:rsidR="00AB56F3" w:rsidRPr="00E11FF4" w:rsidRDefault="00000000" w:rsidP="00EA57E8">
      <w:pPr>
        <w:spacing w:after="10" w:line="360" w:lineRule="auto"/>
        <w:ind w:left="730" w:right="224" w:hanging="10"/>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rPr>
        <w:t>The dosage should be titrated to the individual response and the nature of the disease.</w:t>
      </w:r>
    </w:p>
    <w:p w14:paraId="6D363399" w14:textId="77777777" w:rsidR="00AB56F3" w:rsidRPr="00E11FF4" w:rsidRDefault="00000000" w:rsidP="00EA57E8">
      <w:pPr>
        <w:spacing w:after="240" w:line="360" w:lineRule="auto"/>
        <w:ind w:left="731" w:right="227" w:hanging="11"/>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rPr>
        <w:t>In order to minimise side effects, the lowest effective possible dosage should be used (see 'Side effects').</w:t>
      </w:r>
    </w:p>
    <w:p w14:paraId="5366620D" w14:textId="77777777" w:rsidR="00AB56F3" w:rsidRPr="00E11FF4" w:rsidRDefault="00000000" w:rsidP="00EA57E8">
      <w:pPr>
        <w:spacing w:after="240" w:line="360" w:lineRule="auto"/>
        <w:ind w:left="731" w:right="227" w:hanging="11"/>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rPr>
        <w:t>The initial dosage varies from 0.5 – 9mg a day depending on the disease being treated. In more severe diseases, doses higher than 9mg may be required. The initial dosage should be maintained or adjusted until the patient's response is satisfactory. Both the dose in the evening, which is useful in alleviating morning stiffness and the divided dosage regimen are associated with greater suppression of the hypothalamopituitary-adrenal axis. If satisfactory clinical response does not occur after a reasonable period of time, discontinue treatment with dexamethasone and transfer the patient to another therapy.</w:t>
      </w:r>
    </w:p>
    <w:p w14:paraId="19CC751A" w14:textId="77777777" w:rsidR="00AB56F3" w:rsidRPr="00E11FF4" w:rsidRDefault="00000000" w:rsidP="00EA57E8">
      <w:pPr>
        <w:spacing w:after="240" w:line="360" w:lineRule="auto"/>
        <w:ind w:left="731" w:right="227" w:hanging="11"/>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rPr>
        <w:t>If the initial response is favourable, the maintenance dosage should be determined by lowering the dose gradually to the lowest dose required to maintain an adequate clinical response. Chronic dosage should preferably not exceed 1.5mg dexamethasone daily.</w:t>
      </w:r>
    </w:p>
    <w:p w14:paraId="53B51AE5" w14:textId="77777777" w:rsidR="00AB56F3" w:rsidRPr="00E11FF4" w:rsidRDefault="00000000" w:rsidP="00EA57E8">
      <w:pPr>
        <w:spacing w:after="240" w:line="360" w:lineRule="auto"/>
        <w:ind w:left="731" w:right="227" w:hanging="11"/>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rPr>
        <w:t xml:space="preserve">Patients should be monitored for signs that may require dosage adjustment. These may be changes in clinical status resulting from </w:t>
      </w:r>
      <w:r w:rsidRPr="00E11FF4">
        <w:rPr>
          <w:rFonts w:ascii="Times New Roman" w:eastAsia="Times New Roman" w:hAnsi="Times New Roman" w:cs="Times New Roman"/>
          <w:sz w:val="28"/>
          <w:szCs w:val="28"/>
        </w:rPr>
        <w:lastRenderedPageBreak/>
        <w:t>remissions or exacerbations of the disease, individual drug responsiveness and the effect of stress (e.g. surgery, infection, trauma). During stress it may be necessary to increase dosage temporarily.</w:t>
      </w:r>
    </w:p>
    <w:p w14:paraId="7E475C2A" w14:textId="3CCB9902" w:rsidR="00AB56F3" w:rsidRPr="00E11FF4" w:rsidRDefault="00000000" w:rsidP="00EA57E8">
      <w:pPr>
        <w:spacing w:after="240" w:line="360" w:lineRule="auto"/>
        <w:ind w:left="731" w:right="227" w:hanging="11"/>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rPr>
        <w:t>If the drug is to be stopped after more than a few days of treatment, it should be withdrawn gradually.The following equivalents facilitate changing to dexamethasone from other glucocorticoids:</w:t>
      </w:r>
      <w:r w:rsidR="00EA57E8" w:rsidRPr="00E11FF4">
        <w:rPr>
          <w:rFonts w:ascii="Times New Roman" w:hAnsi="Times New Roman" w:cs="Times New Roman"/>
          <w:sz w:val="28"/>
          <w:szCs w:val="28"/>
        </w:rPr>
        <w:t xml:space="preserve"> </w:t>
      </w:r>
      <w:r w:rsidRPr="00E11FF4">
        <w:rPr>
          <w:rFonts w:ascii="Times New Roman" w:eastAsia="Times New Roman" w:hAnsi="Times New Roman" w:cs="Times New Roman"/>
          <w:sz w:val="28"/>
          <w:szCs w:val="28"/>
        </w:rPr>
        <w:t>Milligram for milligram, dexamethasone is approximately equivalent to</w:t>
      </w:r>
      <w:r w:rsidR="00EA57E8" w:rsidRPr="00E11FF4">
        <w:rPr>
          <w:rFonts w:ascii="Times New Roman" w:hAnsi="Times New Roman" w:cs="Times New Roman"/>
          <w:sz w:val="28"/>
          <w:szCs w:val="28"/>
        </w:rPr>
        <w:t xml:space="preserve"> </w:t>
      </w:r>
      <w:r w:rsidRPr="00E11FF4">
        <w:rPr>
          <w:rFonts w:ascii="Times New Roman" w:eastAsia="Times New Roman" w:hAnsi="Times New Roman" w:cs="Times New Roman"/>
          <w:sz w:val="28"/>
          <w:szCs w:val="28"/>
        </w:rPr>
        <w:t>betamethasone, 4 to 6 times more potent than methylprednisolone and triamcinolone, 6 to 8 times more potent than prednisone and prednisolone, 25 to 30 times more potent than hydrocortisone and about 35 times more potent than cortisone.</w:t>
      </w:r>
    </w:p>
    <w:p w14:paraId="12A7AA47" w14:textId="77777777" w:rsidR="00AB56F3" w:rsidRPr="00EA57E8" w:rsidRDefault="00000000" w:rsidP="00EA57E8">
      <w:pPr>
        <w:spacing w:after="281" w:line="360" w:lineRule="auto"/>
        <w:ind w:left="730" w:right="224" w:hanging="10"/>
        <w:jc w:val="thaiDistribute"/>
        <w:rPr>
          <w:rFonts w:ascii="Times New Roman" w:hAnsi="Times New Roman" w:cs="Times New Roman"/>
        </w:rPr>
      </w:pPr>
      <w:r w:rsidRPr="00E11FF4">
        <w:rPr>
          <w:rFonts w:ascii="Times New Roman" w:eastAsia="Times New Roman" w:hAnsi="Times New Roman" w:cs="Times New Roman"/>
          <w:sz w:val="28"/>
          <w:szCs w:val="28"/>
        </w:rPr>
        <w:t>Acute, self-limiting allergic disorders or acute exacerbations of chronic allergic disorders</w:t>
      </w:r>
      <w:r w:rsidRPr="00EA57E8">
        <w:rPr>
          <w:rFonts w:ascii="Times New Roman" w:eastAsia="Times New Roman" w:hAnsi="Times New Roman" w:cs="Times New Roman"/>
        </w:rPr>
        <w:t>.</w:t>
      </w:r>
    </w:p>
    <w:p w14:paraId="453C1260" w14:textId="77777777" w:rsidR="00AB56F3" w:rsidRPr="00E11FF4" w:rsidRDefault="00000000">
      <w:pPr>
        <w:spacing w:after="335" w:line="268" w:lineRule="auto"/>
        <w:ind w:left="730" w:hanging="10"/>
        <w:rPr>
          <w:rFonts w:ascii="Times New Roman" w:eastAsia="Times New Roman" w:hAnsi="Times New Roman" w:cs="Times New Roman"/>
          <w:sz w:val="28"/>
          <w:szCs w:val="28"/>
        </w:rPr>
      </w:pPr>
      <w:r w:rsidRPr="00E11FF4">
        <w:rPr>
          <w:rFonts w:ascii="Times New Roman" w:eastAsia="Times New Roman" w:hAnsi="Times New Roman" w:cs="Times New Roman"/>
          <w:sz w:val="28"/>
          <w:szCs w:val="28"/>
          <w:u w:val="single" w:color="000000"/>
        </w:rPr>
        <w:t>The following dosage schedule combining parenteral and oral therapy is suggested</w:t>
      </w:r>
      <w:r w:rsidRPr="00E11FF4">
        <w:rPr>
          <w:rFonts w:ascii="Times New Roman" w:eastAsia="Times New Roman" w:hAnsi="Times New Roman" w:cs="Times New Roman"/>
          <w:sz w:val="28"/>
          <w:szCs w:val="28"/>
        </w:rPr>
        <w:t>:</w:t>
      </w:r>
    </w:p>
    <w:tbl>
      <w:tblPr>
        <w:tblStyle w:val="TableGrid0"/>
        <w:tblW w:w="0" w:type="auto"/>
        <w:tblInd w:w="730" w:type="dxa"/>
        <w:tblLook w:val="04A0" w:firstRow="1" w:lastRow="0" w:firstColumn="1" w:lastColumn="0" w:noHBand="0" w:noVBand="1"/>
      </w:tblPr>
      <w:tblGrid>
        <w:gridCol w:w="1533"/>
        <w:gridCol w:w="6528"/>
      </w:tblGrid>
      <w:tr w:rsidR="00EA57E8" w:rsidRPr="00E11FF4" w14:paraId="39FADF44" w14:textId="77777777" w:rsidTr="00EA57E8">
        <w:trPr>
          <w:trHeight w:val="509"/>
        </w:trPr>
        <w:tc>
          <w:tcPr>
            <w:tcW w:w="1533" w:type="dxa"/>
          </w:tcPr>
          <w:p w14:paraId="39F14D93" w14:textId="4F72AA4F" w:rsidR="00EA57E8" w:rsidRPr="00E11FF4" w:rsidRDefault="00EA57E8" w:rsidP="00EA57E8">
            <w:pPr>
              <w:spacing w:after="0" w:line="276" w:lineRule="auto"/>
              <w:rPr>
                <w:rFonts w:ascii="Times New Roman" w:hAnsi="Times New Roman" w:cs="Times New Roman"/>
                <w:sz w:val="24"/>
                <w:szCs w:val="32"/>
              </w:rPr>
            </w:pPr>
            <w:r w:rsidRPr="00E11FF4">
              <w:rPr>
                <w:rFonts w:ascii="Times New Roman" w:eastAsia="Times New Roman" w:hAnsi="Times New Roman" w:cs="Times New Roman"/>
                <w:sz w:val="24"/>
                <w:szCs w:val="32"/>
              </w:rPr>
              <w:t>First day:</w:t>
            </w:r>
          </w:p>
        </w:tc>
        <w:tc>
          <w:tcPr>
            <w:tcW w:w="6528" w:type="dxa"/>
          </w:tcPr>
          <w:p w14:paraId="1FB322AB" w14:textId="77777777" w:rsidR="00EA57E8" w:rsidRPr="00E11FF4" w:rsidRDefault="00EA57E8" w:rsidP="00EA57E8">
            <w:pPr>
              <w:spacing w:after="0" w:line="276" w:lineRule="auto"/>
              <w:rPr>
                <w:rFonts w:ascii="Times New Roman" w:eastAsia="Times New Roman" w:hAnsi="Times New Roman" w:cs="Times New Roman"/>
                <w:sz w:val="24"/>
                <w:szCs w:val="32"/>
              </w:rPr>
            </w:pPr>
            <w:r w:rsidRPr="00E11FF4">
              <w:rPr>
                <w:rFonts w:ascii="Times New Roman" w:eastAsia="Times New Roman" w:hAnsi="Times New Roman" w:cs="Times New Roman"/>
                <w:sz w:val="24"/>
                <w:szCs w:val="32"/>
              </w:rPr>
              <w:t xml:space="preserve">Dexamethasone sodium phosphate injection 4 mg or 8 mg </w:t>
            </w:r>
          </w:p>
          <w:p w14:paraId="7939D059" w14:textId="5AE85FE1" w:rsidR="00EA57E8" w:rsidRPr="00E11FF4" w:rsidRDefault="00EA57E8" w:rsidP="00EA57E8">
            <w:pPr>
              <w:spacing w:after="0" w:line="276" w:lineRule="auto"/>
              <w:rPr>
                <w:rFonts w:ascii="Times New Roman" w:hAnsi="Times New Roman" w:cs="Times New Roman"/>
                <w:sz w:val="24"/>
                <w:szCs w:val="32"/>
              </w:rPr>
            </w:pPr>
            <w:r w:rsidRPr="00E11FF4">
              <w:rPr>
                <w:rFonts w:ascii="Times New Roman" w:eastAsia="Times New Roman" w:hAnsi="Times New Roman" w:cs="Times New Roman"/>
                <w:sz w:val="24"/>
                <w:szCs w:val="32"/>
              </w:rPr>
              <w:t>(1 ml or 2 ml) intramuscularly.</w:t>
            </w:r>
          </w:p>
        </w:tc>
      </w:tr>
      <w:tr w:rsidR="00EA57E8" w:rsidRPr="00E11FF4" w14:paraId="2B2F609C" w14:textId="77777777" w:rsidTr="00EA57E8">
        <w:trPr>
          <w:trHeight w:val="56"/>
        </w:trPr>
        <w:tc>
          <w:tcPr>
            <w:tcW w:w="1533" w:type="dxa"/>
          </w:tcPr>
          <w:p w14:paraId="685413FC" w14:textId="5414D726" w:rsidR="00EA57E8" w:rsidRPr="00E11FF4" w:rsidRDefault="00EA57E8" w:rsidP="00EA57E8">
            <w:pPr>
              <w:spacing w:after="0" w:line="276" w:lineRule="auto"/>
              <w:rPr>
                <w:rFonts w:ascii="Times New Roman" w:hAnsi="Times New Roman" w:cs="Times New Roman"/>
                <w:sz w:val="24"/>
                <w:szCs w:val="32"/>
              </w:rPr>
            </w:pPr>
            <w:r w:rsidRPr="00E11FF4">
              <w:rPr>
                <w:rFonts w:ascii="Times New Roman" w:hAnsi="Times New Roman" w:cs="Times New Roman"/>
                <w:sz w:val="24"/>
                <w:szCs w:val="32"/>
              </w:rPr>
              <w:t>Second day:</w:t>
            </w:r>
          </w:p>
        </w:tc>
        <w:tc>
          <w:tcPr>
            <w:tcW w:w="6528" w:type="dxa"/>
          </w:tcPr>
          <w:p w14:paraId="7C8F940B" w14:textId="78406ED2" w:rsidR="00EA57E8" w:rsidRPr="00E11FF4" w:rsidRDefault="00EA57E8" w:rsidP="00EA57E8">
            <w:pPr>
              <w:spacing w:after="0" w:line="276" w:lineRule="auto"/>
              <w:rPr>
                <w:rFonts w:ascii="Times New Roman" w:hAnsi="Times New Roman" w:cs="Times New Roman"/>
                <w:sz w:val="24"/>
                <w:szCs w:val="32"/>
              </w:rPr>
            </w:pPr>
            <w:r w:rsidRPr="00E11FF4">
              <w:rPr>
                <w:rFonts w:ascii="Times New Roman" w:hAnsi="Times New Roman" w:cs="Times New Roman"/>
                <w:sz w:val="24"/>
                <w:szCs w:val="32"/>
              </w:rPr>
              <w:t>1 mg (2.5 ml) Dexamethasone 2 mg/5ml Oral Solution twice a</w:t>
            </w:r>
            <w:r w:rsidRPr="00E11FF4">
              <w:rPr>
                <w:rFonts w:ascii="Times New Roman" w:hAnsi="Times New Roman" w:cs="Times New Roman"/>
                <w:sz w:val="24"/>
                <w:szCs w:val="32"/>
              </w:rPr>
              <w:t xml:space="preserve"> </w:t>
            </w:r>
            <w:r w:rsidRPr="00E11FF4">
              <w:rPr>
                <w:rFonts w:ascii="Times New Roman" w:hAnsi="Times New Roman" w:cs="Times New Roman"/>
                <w:sz w:val="24"/>
                <w:szCs w:val="32"/>
              </w:rPr>
              <w:t>da</w:t>
            </w:r>
            <w:r w:rsidRPr="00E11FF4">
              <w:rPr>
                <w:rFonts w:ascii="Times New Roman" w:hAnsi="Times New Roman" w:cs="Times New Roman"/>
                <w:sz w:val="24"/>
                <w:szCs w:val="32"/>
              </w:rPr>
              <w:t>y.</w:t>
            </w:r>
          </w:p>
        </w:tc>
      </w:tr>
      <w:tr w:rsidR="00EA57E8" w:rsidRPr="00E11FF4" w14:paraId="6D397688" w14:textId="77777777" w:rsidTr="00EA57E8">
        <w:tc>
          <w:tcPr>
            <w:tcW w:w="1533" w:type="dxa"/>
          </w:tcPr>
          <w:p w14:paraId="539A08D4" w14:textId="76529A18" w:rsidR="00EA57E8" w:rsidRPr="00E11FF4" w:rsidRDefault="00EA57E8" w:rsidP="00EA57E8">
            <w:pPr>
              <w:spacing w:after="0" w:line="276" w:lineRule="auto"/>
              <w:rPr>
                <w:rFonts w:ascii="Times New Roman" w:hAnsi="Times New Roman" w:cs="Times New Roman"/>
                <w:sz w:val="24"/>
                <w:szCs w:val="32"/>
              </w:rPr>
            </w:pPr>
            <w:r w:rsidRPr="00E11FF4">
              <w:rPr>
                <w:rFonts w:ascii="Times New Roman" w:eastAsia="Times New Roman" w:hAnsi="Times New Roman" w:cs="Times New Roman"/>
                <w:sz w:val="24"/>
                <w:szCs w:val="32"/>
              </w:rPr>
              <w:t>Third day:</w:t>
            </w:r>
          </w:p>
        </w:tc>
        <w:tc>
          <w:tcPr>
            <w:tcW w:w="6528" w:type="dxa"/>
          </w:tcPr>
          <w:p w14:paraId="575183C8" w14:textId="7F07A687" w:rsidR="00EA57E8" w:rsidRPr="00E11FF4" w:rsidRDefault="00EA57E8" w:rsidP="00EA57E8">
            <w:pPr>
              <w:spacing w:after="0" w:line="276" w:lineRule="auto"/>
              <w:rPr>
                <w:rFonts w:ascii="Times New Roman" w:hAnsi="Times New Roman" w:cs="Times New Roman"/>
                <w:sz w:val="24"/>
                <w:szCs w:val="32"/>
              </w:rPr>
            </w:pPr>
            <w:r w:rsidRPr="00E11FF4">
              <w:rPr>
                <w:rFonts w:ascii="Times New Roman" w:eastAsia="Times New Roman" w:hAnsi="Times New Roman" w:cs="Times New Roman"/>
                <w:sz w:val="24"/>
                <w:szCs w:val="32"/>
              </w:rPr>
              <w:t>1 mg (2.5 ml) Dexamethasone 2 mg/5ml Oral Solution twice a</w:t>
            </w:r>
            <w:r w:rsidRPr="00E11FF4">
              <w:rPr>
                <w:rFonts w:ascii="Times New Roman" w:eastAsia="Times New Roman" w:hAnsi="Times New Roman" w:cs="Times New Roman"/>
                <w:sz w:val="24"/>
                <w:szCs w:val="32"/>
              </w:rPr>
              <w:t xml:space="preserve"> </w:t>
            </w:r>
            <w:r w:rsidRPr="00E11FF4">
              <w:rPr>
                <w:rFonts w:ascii="Times New Roman" w:eastAsia="Times New Roman" w:hAnsi="Times New Roman" w:cs="Times New Roman"/>
                <w:sz w:val="24"/>
                <w:szCs w:val="32"/>
              </w:rPr>
              <w:t>day.</w:t>
            </w:r>
          </w:p>
        </w:tc>
      </w:tr>
      <w:tr w:rsidR="00EA57E8" w:rsidRPr="00E11FF4" w14:paraId="7843065C" w14:textId="77777777" w:rsidTr="00EA57E8">
        <w:tc>
          <w:tcPr>
            <w:tcW w:w="1533" w:type="dxa"/>
          </w:tcPr>
          <w:p w14:paraId="5085284E" w14:textId="2D4F64DE" w:rsidR="00EA57E8" w:rsidRPr="00E11FF4" w:rsidRDefault="00EA57E8" w:rsidP="00EA57E8">
            <w:pPr>
              <w:spacing w:after="0" w:line="276" w:lineRule="auto"/>
              <w:rPr>
                <w:rFonts w:ascii="Times New Roman" w:hAnsi="Times New Roman" w:cs="Times New Roman"/>
                <w:sz w:val="24"/>
                <w:szCs w:val="32"/>
              </w:rPr>
            </w:pPr>
            <w:r w:rsidRPr="00E11FF4">
              <w:rPr>
                <w:rFonts w:ascii="Times New Roman" w:eastAsia="Times New Roman" w:hAnsi="Times New Roman" w:cs="Times New Roman"/>
                <w:sz w:val="24"/>
                <w:szCs w:val="32"/>
              </w:rPr>
              <w:t>Fourth day:</w:t>
            </w:r>
          </w:p>
        </w:tc>
        <w:tc>
          <w:tcPr>
            <w:tcW w:w="6528" w:type="dxa"/>
          </w:tcPr>
          <w:p w14:paraId="1F681D91" w14:textId="0D7D8D58" w:rsidR="00EA57E8" w:rsidRPr="00E11FF4" w:rsidRDefault="00EA57E8" w:rsidP="00EA57E8">
            <w:pPr>
              <w:spacing w:after="0" w:line="276" w:lineRule="auto"/>
              <w:rPr>
                <w:rFonts w:ascii="Times New Roman" w:hAnsi="Times New Roman" w:cs="Times New Roman"/>
                <w:sz w:val="24"/>
                <w:szCs w:val="32"/>
              </w:rPr>
            </w:pPr>
            <w:r w:rsidRPr="00E11FF4">
              <w:rPr>
                <w:rFonts w:ascii="Times New Roman" w:eastAsia="Times New Roman" w:hAnsi="Times New Roman" w:cs="Times New Roman"/>
                <w:sz w:val="24"/>
                <w:szCs w:val="32"/>
              </w:rPr>
              <w:t>500 micrograms (1.25 ml) Dexamethasone 2 mg/5ml Oral</w:t>
            </w:r>
            <w:r w:rsidRPr="00E11FF4">
              <w:rPr>
                <w:rFonts w:ascii="Times New Roman" w:eastAsia="Times New Roman" w:hAnsi="Times New Roman" w:cs="Times New Roman"/>
                <w:sz w:val="24"/>
                <w:szCs w:val="32"/>
              </w:rPr>
              <w:t xml:space="preserve"> </w:t>
            </w:r>
            <w:r w:rsidRPr="00E11FF4">
              <w:rPr>
                <w:rFonts w:ascii="Times New Roman" w:eastAsia="Times New Roman" w:hAnsi="Times New Roman" w:cs="Times New Roman"/>
                <w:sz w:val="24"/>
                <w:szCs w:val="32"/>
              </w:rPr>
              <w:t>Solution twice a day.</w:t>
            </w:r>
          </w:p>
        </w:tc>
      </w:tr>
      <w:tr w:rsidR="00EA57E8" w:rsidRPr="00E11FF4" w14:paraId="273E0065" w14:textId="77777777" w:rsidTr="00EA57E8">
        <w:tc>
          <w:tcPr>
            <w:tcW w:w="1533" w:type="dxa"/>
          </w:tcPr>
          <w:p w14:paraId="3E57EA96" w14:textId="4A5A25F5" w:rsidR="00EA57E8" w:rsidRPr="00E11FF4" w:rsidRDefault="00EA57E8" w:rsidP="00EA57E8">
            <w:pPr>
              <w:spacing w:after="0" w:line="276" w:lineRule="auto"/>
              <w:rPr>
                <w:rFonts w:ascii="Times New Roman" w:hAnsi="Times New Roman" w:cs="Times New Roman"/>
                <w:sz w:val="24"/>
                <w:szCs w:val="32"/>
              </w:rPr>
            </w:pPr>
            <w:r w:rsidRPr="00E11FF4">
              <w:rPr>
                <w:rFonts w:ascii="Times New Roman" w:eastAsia="Times New Roman" w:hAnsi="Times New Roman" w:cs="Times New Roman"/>
                <w:sz w:val="24"/>
                <w:szCs w:val="32"/>
              </w:rPr>
              <w:t>Fifth day:</w:t>
            </w:r>
          </w:p>
        </w:tc>
        <w:tc>
          <w:tcPr>
            <w:tcW w:w="6528" w:type="dxa"/>
          </w:tcPr>
          <w:p w14:paraId="4DCF5D60" w14:textId="738E9FAE" w:rsidR="00EA57E8" w:rsidRPr="00E11FF4" w:rsidRDefault="00EA57E8" w:rsidP="00EA57E8">
            <w:pPr>
              <w:spacing w:after="0" w:line="276" w:lineRule="auto"/>
              <w:rPr>
                <w:rFonts w:ascii="Times New Roman" w:hAnsi="Times New Roman" w:cs="Times New Roman"/>
                <w:sz w:val="24"/>
                <w:szCs w:val="32"/>
              </w:rPr>
            </w:pPr>
            <w:r w:rsidRPr="00E11FF4">
              <w:rPr>
                <w:rFonts w:ascii="Times New Roman" w:eastAsia="Times New Roman" w:hAnsi="Times New Roman" w:cs="Times New Roman"/>
                <w:sz w:val="24"/>
                <w:szCs w:val="32"/>
              </w:rPr>
              <w:t>500 micrograms (1.25 ml) Dexamethasone 2 mg/5ml Oral Solution twice a day.</w:t>
            </w:r>
          </w:p>
        </w:tc>
      </w:tr>
      <w:tr w:rsidR="00EA57E8" w:rsidRPr="00E11FF4" w14:paraId="6E8511C7" w14:textId="77777777" w:rsidTr="00EA57E8">
        <w:tc>
          <w:tcPr>
            <w:tcW w:w="1533" w:type="dxa"/>
          </w:tcPr>
          <w:p w14:paraId="10A1F856" w14:textId="22D30C3E" w:rsidR="00EA57E8" w:rsidRPr="00E11FF4" w:rsidRDefault="00EA57E8" w:rsidP="00EA57E8">
            <w:pPr>
              <w:spacing w:after="0" w:line="276" w:lineRule="auto"/>
              <w:rPr>
                <w:rFonts w:ascii="Times New Roman" w:hAnsi="Times New Roman" w:cs="Times New Roman"/>
                <w:sz w:val="24"/>
                <w:szCs w:val="32"/>
              </w:rPr>
            </w:pPr>
            <w:r w:rsidRPr="00E11FF4">
              <w:rPr>
                <w:rFonts w:ascii="Times New Roman" w:hAnsi="Times New Roman" w:cs="Times New Roman"/>
                <w:sz w:val="24"/>
                <w:szCs w:val="32"/>
              </w:rPr>
              <w:t>Sixth day:</w:t>
            </w:r>
          </w:p>
        </w:tc>
        <w:tc>
          <w:tcPr>
            <w:tcW w:w="6528" w:type="dxa"/>
          </w:tcPr>
          <w:p w14:paraId="30C0C652" w14:textId="680F0543" w:rsidR="00EA57E8" w:rsidRPr="00E11FF4" w:rsidRDefault="00EA57E8" w:rsidP="00EA57E8">
            <w:pPr>
              <w:spacing w:after="0" w:line="276" w:lineRule="auto"/>
              <w:rPr>
                <w:rFonts w:ascii="Times New Roman" w:hAnsi="Times New Roman" w:cs="Times New Roman"/>
                <w:sz w:val="24"/>
                <w:szCs w:val="32"/>
              </w:rPr>
            </w:pPr>
            <w:r w:rsidRPr="00E11FF4">
              <w:rPr>
                <w:rFonts w:ascii="Times New Roman" w:eastAsia="Times New Roman" w:hAnsi="Times New Roman" w:cs="Times New Roman"/>
                <w:sz w:val="24"/>
                <w:szCs w:val="32"/>
              </w:rPr>
              <w:t xml:space="preserve">500 micrograms (1.25 ml) Dexamethasone 2 mg/5ml Oral Solution </w:t>
            </w:r>
          </w:p>
        </w:tc>
      </w:tr>
      <w:tr w:rsidR="00EA57E8" w:rsidRPr="00E11FF4" w14:paraId="0ED7FC28" w14:textId="77777777" w:rsidTr="00EA57E8">
        <w:tc>
          <w:tcPr>
            <w:tcW w:w="1533" w:type="dxa"/>
          </w:tcPr>
          <w:p w14:paraId="0207DEE8" w14:textId="47A605A4" w:rsidR="00EA57E8" w:rsidRPr="00E11FF4" w:rsidRDefault="00EA57E8" w:rsidP="00EA57E8">
            <w:pPr>
              <w:spacing w:after="0" w:line="276" w:lineRule="auto"/>
              <w:rPr>
                <w:rFonts w:ascii="Times New Roman" w:hAnsi="Times New Roman" w:cs="Times New Roman"/>
                <w:sz w:val="24"/>
                <w:szCs w:val="32"/>
              </w:rPr>
            </w:pPr>
            <w:r w:rsidRPr="00E11FF4">
              <w:rPr>
                <w:rFonts w:ascii="Times New Roman" w:hAnsi="Times New Roman" w:cs="Times New Roman"/>
                <w:sz w:val="24"/>
                <w:szCs w:val="32"/>
              </w:rPr>
              <w:lastRenderedPageBreak/>
              <w:t>Seventh day:</w:t>
            </w:r>
          </w:p>
        </w:tc>
        <w:tc>
          <w:tcPr>
            <w:tcW w:w="6528" w:type="dxa"/>
          </w:tcPr>
          <w:p w14:paraId="02FF1512" w14:textId="15E569EA" w:rsidR="00EA57E8" w:rsidRPr="00E11FF4" w:rsidRDefault="00EA57E8" w:rsidP="00EA57E8">
            <w:pPr>
              <w:spacing w:after="0" w:line="276" w:lineRule="auto"/>
              <w:rPr>
                <w:rFonts w:ascii="Times New Roman" w:hAnsi="Times New Roman" w:cs="Times New Roman"/>
                <w:sz w:val="24"/>
                <w:szCs w:val="32"/>
              </w:rPr>
            </w:pPr>
            <w:r w:rsidRPr="00E11FF4">
              <w:rPr>
                <w:rFonts w:ascii="Times New Roman" w:eastAsia="Times New Roman" w:hAnsi="Times New Roman" w:cs="Times New Roman"/>
                <w:sz w:val="24"/>
                <w:szCs w:val="32"/>
              </w:rPr>
              <w:t>500 micrograms (1.25 ml) Dexamethasone 2 mg/5ml Oral Solution</w:t>
            </w:r>
          </w:p>
        </w:tc>
      </w:tr>
      <w:tr w:rsidR="00EA57E8" w:rsidRPr="00E11FF4" w14:paraId="17516BCD" w14:textId="77777777" w:rsidTr="00EA57E8">
        <w:tc>
          <w:tcPr>
            <w:tcW w:w="1533" w:type="dxa"/>
          </w:tcPr>
          <w:p w14:paraId="721A8AA0" w14:textId="25DFD837" w:rsidR="00EA57E8" w:rsidRPr="00E11FF4" w:rsidRDefault="00EA57E8" w:rsidP="00EA57E8">
            <w:pPr>
              <w:spacing w:after="0" w:line="276" w:lineRule="auto"/>
              <w:rPr>
                <w:rFonts w:ascii="Times New Roman" w:hAnsi="Times New Roman" w:cs="Times New Roman"/>
                <w:sz w:val="24"/>
                <w:szCs w:val="32"/>
              </w:rPr>
            </w:pPr>
            <w:r w:rsidRPr="00E11FF4">
              <w:rPr>
                <w:rFonts w:ascii="Times New Roman" w:eastAsia="Times New Roman" w:hAnsi="Times New Roman" w:cs="Times New Roman"/>
                <w:sz w:val="24"/>
                <w:szCs w:val="32"/>
              </w:rPr>
              <w:t>Eighth day:</w:t>
            </w:r>
          </w:p>
        </w:tc>
        <w:tc>
          <w:tcPr>
            <w:tcW w:w="6528" w:type="dxa"/>
          </w:tcPr>
          <w:p w14:paraId="7F450EB0" w14:textId="22AF7F5B" w:rsidR="00EA57E8" w:rsidRPr="00E11FF4" w:rsidRDefault="00EA57E8" w:rsidP="00EA57E8">
            <w:pPr>
              <w:spacing w:after="0" w:line="276" w:lineRule="auto"/>
              <w:rPr>
                <w:rFonts w:ascii="Times New Roman" w:eastAsia="Times New Roman" w:hAnsi="Times New Roman" w:cs="Times New Roman"/>
                <w:sz w:val="24"/>
                <w:szCs w:val="32"/>
              </w:rPr>
            </w:pPr>
            <w:r w:rsidRPr="00E11FF4">
              <w:rPr>
                <w:rFonts w:ascii="Times New Roman" w:eastAsia="Times New Roman" w:hAnsi="Times New Roman" w:cs="Times New Roman"/>
                <w:sz w:val="24"/>
                <w:szCs w:val="32"/>
              </w:rPr>
              <w:t>Re-assessment.</w:t>
            </w:r>
          </w:p>
        </w:tc>
      </w:tr>
    </w:tbl>
    <w:p w14:paraId="014AC765" w14:textId="4440D8D7" w:rsidR="00AB56F3" w:rsidRPr="00E11FF4" w:rsidRDefault="00000000" w:rsidP="00E11FF4">
      <w:pPr>
        <w:spacing w:before="240" w:after="281" w:line="360" w:lineRule="auto"/>
        <w:ind w:left="720" w:right="224" w:firstLine="10"/>
        <w:jc w:val="thaiDistribute"/>
        <w:rPr>
          <w:rFonts w:ascii="Times New Roman" w:hAnsi="Times New Roman" w:cs="Times New Roman"/>
          <w:sz w:val="28"/>
          <w:szCs w:val="36"/>
        </w:rPr>
      </w:pPr>
      <w:r w:rsidRPr="00E11FF4">
        <w:rPr>
          <w:rFonts w:ascii="Times New Roman" w:eastAsia="Times New Roman" w:hAnsi="Times New Roman" w:cs="Times New Roman"/>
          <w:sz w:val="28"/>
          <w:szCs w:val="36"/>
        </w:rPr>
        <w:t>This schedule is designed to ensure adequate therapy during acute episodes whilst minimizing the risk of over dosage in chronic cases.</w:t>
      </w:r>
    </w:p>
    <w:p w14:paraId="2CD01781" w14:textId="77777777" w:rsidR="00AB56F3" w:rsidRPr="00E11FF4" w:rsidRDefault="00000000" w:rsidP="00E11FF4">
      <w:pPr>
        <w:spacing w:after="240" w:line="360" w:lineRule="auto"/>
        <w:ind w:left="731" w:right="227" w:hanging="11"/>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rPr>
        <w:t>Raised intracranial pressure: Initial therapy is usually by injection. When maintenance therapy is required, this should be changed to dexamethasone oral solution as soon as possible. For the palliative management of patients with recurrent or inoperable brain tumours, maintenance dosage should be calculated individually. A dosage of 2mg two or three times a day may be effective. The smallest dosage necessary to control symptoms should always be used.</w:t>
      </w:r>
    </w:p>
    <w:p w14:paraId="001586B0" w14:textId="77777777" w:rsidR="00E11FF4" w:rsidRPr="00E11FF4" w:rsidRDefault="00000000" w:rsidP="00E11FF4">
      <w:pPr>
        <w:spacing w:after="240" w:line="269" w:lineRule="auto"/>
        <w:ind w:left="731" w:right="227" w:hanging="11"/>
        <w:rPr>
          <w:rFonts w:ascii="Times New Roman" w:hAnsi="Times New Roman" w:cs="Times New Roman"/>
          <w:sz w:val="28"/>
          <w:szCs w:val="28"/>
          <w:u w:val="single"/>
        </w:rPr>
      </w:pPr>
      <w:r w:rsidRPr="00E11FF4">
        <w:rPr>
          <w:rFonts w:ascii="Times New Roman" w:eastAsia="Times New Roman" w:hAnsi="Times New Roman" w:cs="Times New Roman"/>
          <w:sz w:val="28"/>
          <w:szCs w:val="28"/>
          <w:u w:val="single"/>
        </w:rPr>
        <w:t>Dexamethasone suppression tests:</w:t>
      </w:r>
    </w:p>
    <w:p w14:paraId="2CF6AA82" w14:textId="77777777" w:rsidR="00E11FF4" w:rsidRPr="00E11FF4" w:rsidRDefault="00000000" w:rsidP="00E11FF4">
      <w:pPr>
        <w:pStyle w:val="ListParagraph"/>
        <w:numPr>
          <w:ilvl w:val="0"/>
          <w:numId w:val="9"/>
        </w:numPr>
        <w:spacing w:after="240" w:line="360" w:lineRule="auto"/>
        <w:ind w:left="1434" w:right="227" w:hanging="357"/>
        <w:contextualSpacing w:val="0"/>
        <w:jc w:val="thaiDistribute"/>
        <w:rPr>
          <w:rFonts w:ascii="Times New Roman" w:hAnsi="Times New Roman" w:cs="Times New Roman"/>
          <w:sz w:val="28"/>
          <w:szCs w:val="28"/>
        </w:rPr>
      </w:pPr>
      <w:r w:rsidRPr="00E11FF4">
        <w:rPr>
          <w:rFonts w:ascii="Times New Roman" w:eastAsia="Times New Roman" w:hAnsi="Times New Roman" w:cs="Times New Roman"/>
          <w:i/>
          <w:iCs/>
          <w:sz w:val="28"/>
          <w:szCs w:val="28"/>
          <w:u w:color="000000"/>
        </w:rPr>
        <w:t>Tests for Cushing's syndrome</w:t>
      </w:r>
      <w:r w:rsidRPr="00E11FF4">
        <w:rPr>
          <w:rFonts w:ascii="Times New Roman" w:eastAsia="Times New Roman" w:hAnsi="Times New Roman" w:cs="Times New Roman"/>
          <w:sz w:val="28"/>
          <w:szCs w:val="28"/>
        </w:rPr>
        <w:t>:</w:t>
      </w:r>
    </w:p>
    <w:p w14:paraId="43552E43" w14:textId="188987E4" w:rsidR="00E11FF4" w:rsidRPr="00E11FF4" w:rsidRDefault="00000000" w:rsidP="00E11FF4">
      <w:pPr>
        <w:pStyle w:val="ListParagraph"/>
        <w:spacing w:after="281" w:line="360" w:lineRule="auto"/>
        <w:ind w:left="1440" w:right="224"/>
        <w:jc w:val="thaiDistribute"/>
        <w:rPr>
          <w:rFonts w:ascii="Times New Roman" w:eastAsia="Times New Roman" w:hAnsi="Times New Roman" w:cs="Times New Roman"/>
          <w:sz w:val="28"/>
          <w:szCs w:val="28"/>
        </w:rPr>
      </w:pPr>
      <w:r w:rsidRPr="00E11FF4">
        <w:rPr>
          <w:rFonts w:ascii="Times New Roman" w:eastAsia="Times New Roman" w:hAnsi="Times New Roman" w:cs="Times New Roman"/>
          <w:sz w:val="28"/>
          <w:szCs w:val="28"/>
        </w:rPr>
        <w:t>2mg (5ml)</w:t>
      </w:r>
      <w:r w:rsidR="00E11FF4" w:rsidRPr="00E11FF4">
        <w:rPr>
          <w:rFonts w:ascii="Times New Roman" w:eastAsia="Times New Roman" w:hAnsi="Times New Roman" w:cs="Times New Roman"/>
          <w:sz w:val="28"/>
          <w:szCs w:val="28"/>
        </w:rPr>
        <w:t xml:space="preserve"> </w:t>
      </w:r>
      <w:r w:rsidR="00E11FF4" w:rsidRPr="00E11FF4">
        <w:rPr>
          <w:rFonts w:ascii="Times New Roman" w:eastAsia="Times New Roman" w:hAnsi="Times New Roman" w:cs="Times New Roman"/>
          <w:color w:val="FF0000"/>
          <w:sz w:val="28"/>
          <w:szCs w:val="28"/>
        </w:rPr>
        <w:t>&lt;REGARDING THE APPROVAL&gt;</w:t>
      </w:r>
      <w:r w:rsidRPr="00E11FF4">
        <w:rPr>
          <w:rFonts w:ascii="Times New Roman" w:eastAsia="Times New Roman" w:hAnsi="Times New Roman" w:cs="Times New Roman"/>
          <w:color w:val="FF0000"/>
          <w:sz w:val="28"/>
          <w:szCs w:val="28"/>
        </w:rPr>
        <w:t xml:space="preserve"> </w:t>
      </w:r>
      <w:r w:rsidRPr="00E11FF4">
        <w:rPr>
          <w:rFonts w:ascii="Times New Roman" w:eastAsia="Times New Roman" w:hAnsi="Times New Roman" w:cs="Times New Roman"/>
          <w:sz w:val="28"/>
          <w:szCs w:val="28"/>
        </w:rPr>
        <w:t xml:space="preserve">Dexamethasone </w:t>
      </w:r>
      <w:r w:rsidR="00E11FF4" w:rsidRPr="00E11FF4">
        <w:rPr>
          <w:rFonts w:ascii="Times New Roman" w:eastAsia="Times New Roman" w:hAnsi="Times New Roman" w:cs="Times New Roman"/>
          <w:color w:val="FF0000"/>
          <w:sz w:val="28"/>
          <w:szCs w:val="28"/>
        </w:rPr>
        <w:t xml:space="preserve">&lt;STRENGTH&gt; </w:t>
      </w:r>
      <w:r w:rsidRPr="00E11FF4">
        <w:rPr>
          <w:rFonts w:ascii="Times New Roman" w:eastAsia="Times New Roman" w:hAnsi="Times New Roman" w:cs="Times New Roman"/>
          <w:sz w:val="28"/>
          <w:szCs w:val="28"/>
        </w:rPr>
        <w:t>Oral Solution should be administered at 11pm. Blood samples are then taken at 8am the next morning for plasma cortisol determination.</w:t>
      </w:r>
    </w:p>
    <w:p w14:paraId="1E7DD2F5" w14:textId="542407A0" w:rsidR="00AB56F3" w:rsidRPr="00E11FF4" w:rsidRDefault="00000000" w:rsidP="00E11FF4">
      <w:pPr>
        <w:pStyle w:val="ListParagraph"/>
        <w:spacing w:after="281" w:line="360" w:lineRule="auto"/>
        <w:ind w:left="1440" w:right="224"/>
        <w:jc w:val="thaiDistribute"/>
        <w:rPr>
          <w:rFonts w:ascii="Times New Roman" w:eastAsia="Times New Roman" w:hAnsi="Times New Roman" w:cs="Times New Roman"/>
          <w:sz w:val="28"/>
          <w:szCs w:val="28"/>
        </w:rPr>
      </w:pPr>
      <w:r w:rsidRPr="00E11FF4">
        <w:rPr>
          <w:rFonts w:ascii="Times New Roman" w:eastAsia="Times New Roman" w:hAnsi="Times New Roman" w:cs="Times New Roman"/>
          <w:sz w:val="28"/>
          <w:szCs w:val="28"/>
        </w:rPr>
        <w:t xml:space="preserve">If greater accuracy is required, 500 micrograms (1.25ml) </w:t>
      </w:r>
      <w:r w:rsidR="00E11FF4" w:rsidRPr="00E11FF4">
        <w:rPr>
          <w:rFonts w:ascii="Times New Roman" w:eastAsia="Times New Roman" w:hAnsi="Times New Roman" w:cs="Times New Roman"/>
          <w:color w:val="FF0000"/>
          <w:sz w:val="28"/>
          <w:szCs w:val="28"/>
        </w:rPr>
        <w:t xml:space="preserve">&lt;REGARDING THE APPROVAL&gt; </w:t>
      </w:r>
      <w:r w:rsidRPr="00E11FF4">
        <w:rPr>
          <w:rFonts w:ascii="Times New Roman" w:eastAsia="Times New Roman" w:hAnsi="Times New Roman" w:cs="Times New Roman"/>
          <w:sz w:val="28"/>
          <w:szCs w:val="28"/>
        </w:rPr>
        <w:t xml:space="preserve">Dexamethasone </w:t>
      </w:r>
      <w:r w:rsidR="00E11FF4" w:rsidRPr="00E11FF4">
        <w:rPr>
          <w:rFonts w:ascii="Times New Roman" w:eastAsia="Times New Roman" w:hAnsi="Times New Roman" w:cs="Times New Roman"/>
          <w:color w:val="FF0000"/>
          <w:sz w:val="28"/>
          <w:szCs w:val="28"/>
        </w:rPr>
        <w:t>&lt;STRENGTH&gt;</w:t>
      </w:r>
      <w:r w:rsidR="00E11FF4" w:rsidRPr="00E11FF4">
        <w:rPr>
          <w:rFonts w:ascii="Times New Roman" w:eastAsia="Times New Roman" w:hAnsi="Times New Roman" w:cs="Times New Roman"/>
          <w:color w:val="FF0000"/>
          <w:sz w:val="28"/>
          <w:szCs w:val="28"/>
        </w:rPr>
        <w:t xml:space="preserve"> </w:t>
      </w:r>
      <w:r w:rsidRPr="00E11FF4">
        <w:rPr>
          <w:rFonts w:ascii="Times New Roman" w:eastAsia="Times New Roman" w:hAnsi="Times New Roman" w:cs="Times New Roman"/>
          <w:sz w:val="28"/>
          <w:szCs w:val="28"/>
        </w:rPr>
        <w:t>Oral Solution should be administered every 6 hours for 48 hours. Blood should be drawn at 8am for plasma cortisol determination on the third morning.</w:t>
      </w:r>
      <w:r w:rsidR="00E11FF4" w:rsidRPr="00E11FF4">
        <w:rPr>
          <w:rFonts w:ascii="Times New Roman" w:eastAsia="Times New Roman" w:hAnsi="Times New Roman" w:cs="Times New Roman"/>
          <w:sz w:val="28"/>
          <w:szCs w:val="28"/>
        </w:rPr>
        <w:t xml:space="preserve"> </w:t>
      </w:r>
      <w:r w:rsidRPr="00E11FF4">
        <w:rPr>
          <w:rFonts w:ascii="Times New Roman" w:eastAsia="Times New Roman" w:hAnsi="Times New Roman" w:cs="Times New Roman"/>
          <w:sz w:val="28"/>
          <w:szCs w:val="28"/>
        </w:rPr>
        <w:t>24-hour urine collection should be employed for 17-hydroxycorticosteroid excretion determination.</w:t>
      </w:r>
    </w:p>
    <w:p w14:paraId="5B36CA94" w14:textId="749DA816" w:rsidR="00E11FF4" w:rsidRPr="00E11FF4" w:rsidRDefault="00E11FF4" w:rsidP="00E11FF4">
      <w:pPr>
        <w:pStyle w:val="ListParagraph"/>
        <w:numPr>
          <w:ilvl w:val="0"/>
          <w:numId w:val="9"/>
        </w:numPr>
        <w:spacing w:line="278" w:lineRule="auto"/>
        <w:rPr>
          <w:rFonts w:ascii="Times New Roman" w:eastAsia="Times New Roman" w:hAnsi="Times New Roman" w:cs="Times New Roman"/>
          <w:sz w:val="28"/>
          <w:szCs w:val="28"/>
          <w:u w:val="single" w:color="000000"/>
        </w:rPr>
      </w:pPr>
      <w:r w:rsidRPr="00E11FF4">
        <w:rPr>
          <w:rFonts w:ascii="Times New Roman" w:eastAsia="Times New Roman" w:hAnsi="Times New Roman" w:cs="Times New Roman"/>
          <w:u w:val="single" w:color="000000"/>
        </w:rPr>
        <w:br w:type="page"/>
      </w:r>
      <w:r w:rsidR="00000000" w:rsidRPr="00E11FF4">
        <w:rPr>
          <w:rFonts w:ascii="Times New Roman" w:eastAsia="Times New Roman" w:hAnsi="Times New Roman" w:cs="Times New Roman"/>
          <w:i/>
          <w:iCs/>
          <w:sz w:val="28"/>
          <w:szCs w:val="28"/>
          <w:u w:color="000000"/>
        </w:rPr>
        <w:lastRenderedPageBreak/>
        <w:t>Test to distinguish Cushing's syndrome caused by pituitary ACTH excess from the syndrome induced by other causes</w:t>
      </w:r>
      <w:r w:rsidR="00000000" w:rsidRPr="00E11FF4">
        <w:rPr>
          <w:rFonts w:ascii="Times New Roman" w:eastAsia="Times New Roman" w:hAnsi="Times New Roman" w:cs="Times New Roman"/>
          <w:i/>
          <w:iCs/>
          <w:sz w:val="28"/>
          <w:szCs w:val="28"/>
        </w:rPr>
        <w:t>:</w:t>
      </w:r>
    </w:p>
    <w:p w14:paraId="1CEFF666" w14:textId="51073487" w:rsidR="00E11FF4" w:rsidRPr="00E11FF4" w:rsidRDefault="00000000" w:rsidP="00E11FF4">
      <w:pPr>
        <w:spacing w:after="26" w:line="360" w:lineRule="auto"/>
        <w:ind w:left="1440"/>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rPr>
        <w:t xml:space="preserve">2mg (5ml) Dexamethasone </w:t>
      </w:r>
      <w:r w:rsidR="00E11FF4">
        <w:rPr>
          <w:rFonts w:ascii="Times New Roman" w:eastAsia="Times New Roman" w:hAnsi="Times New Roman" w:cs="Times New Roman"/>
          <w:sz w:val="28"/>
          <w:szCs w:val="28"/>
        </w:rPr>
        <w:t xml:space="preserve">&lt;STRENGTH&gt; </w:t>
      </w:r>
      <w:r w:rsidRPr="00E11FF4">
        <w:rPr>
          <w:rFonts w:ascii="Times New Roman" w:eastAsia="Times New Roman" w:hAnsi="Times New Roman" w:cs="Times New Roman"/>
          <w:sz w:val="28"/>
          <w:szCs w:val="28"/>
        </w:rPr>
        <w:t>Oral Solution should be administered every 6 hours for 48 hours. Blood should be drawn at 8am for plasma cortisol determination on the third morning.</w:t>
      </w:r>
    </w:p>
    <w:p w14:paraId="07ED773E" w14:textId="2A11D071" w:rsidR="00E11FF4" w:rsidRPr="00E11FF4" w:rsidRDefault="00000000" w:rsidP="00E11FF4">
      <w:pPr>
        <w:spacing w:after="240" w:line="360" w:lineRule="auto"/>
        <w:ind w:left="1440"/>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rPr>
        <w:t>24-hour urine collection should be employed for 17-hydroxycorticosteroid excretion determination.</w:t>
      </w:r>
    </w:p>
    <w:p w14:paraId="39B7DC5F" w14:textId="77777777" w:rsidR="00E11FF4" w:rsidRPr="00E11FF4" w:rsidRDefault="00000000" w:rsidP="00E11FF4">
      <w:pPr>
        <w:pStyle w:val="ListParagraph"/>
        <w:numPr>
          <w:ilvl w:val="0"/>
          <w:numId w:val="10"/>
        </w:numPr>
        <w:spacing w:after="240" w:line="360" w:lineRule="auto"/>
        <w:ind w:left="1434" w:right="227" w:hanging="357"/>
        <w:contextualSpacing w:val="0"/>
        <w:jc w:val="thaiDistribute"/>
        <w:rPr>
          <w:rFonts w:ascii="Times New Roman" w:hAnsi="Times New Roman" w:cs="Times New Roman"/>
          <w:sz w:val="28"/>
          <w:szCs w:val="28"/>
          <w:u w:val="single"/>
        </w:rPr>
      </w:pPr>
      <w:r w:rsidRPr="00E11FF4">
        <w:rPr>
          <w:rFonts w:ascii="Times New Roman" w:eastAsia="Times New Roman" w:hAnsi="Times New Roman" w:cs="Times New Roman"/>
          <w:sz w:val="28"/>
          <w:szCs w:val="28"/>
          <w:u w:val="single"/>
        </w:rPr>
        <w:t>Paediatric population</w:t>
      </w:r>
    </w:p>
    <w:p w14:paraId="725F8D29" w14:textId="77777777" w:rsidR="00E11FF4" w:rsidRPr="00E11FF4" w:rsidRDefault="00000000" w:rsidP="00E11FF4">
      <w:pPr>
        <w:pStyle w:val="ListParagraph"/>
        <w:spacing w:after="240" w:line="360" w:lineRule="auto"/>
        <w:ind w:left="1440" w:right="227"/>
        <w:contextualSpacing w:val="0"/>
        <w:jc w:val="thaiDistribute"/>
        <w:rPr>
          <w:rFonts w:ascii="Times New Roman" w:eastAsia="Times New Roman" w:hAnsi="Times New Roman" w:cs="Times New Roman"/>
          <w:sz w:val="28"/>
          <w:szCs w:val="28"/>
        </w:rPr>
      </w:pPr>
      <w:r w:rsidRPr="00E11FF4">
        <w:rPr>
          <w:rFonts w:ascii="Times New Roman" w:eastAsia="Times New Roman" w:hAnsi="Times New Roman" w:cs="Times New Roman"/>
          <w:sz w:val="28"/>
          <w:szCs w:val="28"/>
        </w:rPr>
        <w:t>Dosage should be limited to a single dose on alternate days to lessen retardation of growth and minimize suppression of hypothalamo-pituitary-adrenal axis.</w:t>
      </w:r>
    </w:p>
    <w:p w14:paraId="13C1D484" w14:textId="77777777" w:rsidR="00E11FF4" w:rsidRPr="00E11FF4" w:rsidRDefault="00000000" w:rsidP="00E11FF4">
      <w:pPr>
        <w:pStyle w:val="ListParagraph"/>
        <w:numPr>
          <w:ilvl w:val="0"/>
          <w:numId w:val="10"/>
        </w:numPr>
        <w:spacing w:after="240" w:line="360" w:lineRule="auto"/>
        <w:ind w:left="1434" w:right="227" w:hanging="357"/>
        <w:contextualSpacing w:val="0"/>
        <w:jc w:val="thaiDistribute"/>
        <w:rPr>
          <w:rFonts w:ascii="Times New Roman" w:hAnsi="Times New Roman" w:cs="Times New Roman"/>
          <w:sz w:val="28"/>
          <w:szCs w:val="28"/>
          <w:u w:val="single"/>
        </w:rPr>
      </w:pPr>
      <w:r w:rsidRPr="00E11FF4">
        <w:rPr>
          <w:rFonts w:ascii="Times New Roman" w:eastAsia="Times New Roman" w:hAnsi="Times New Roman" w:cs="Times New Roman"/>
          <w:sz w:val="28"/>
          <w:szCs w:val="28"/>
          <w:u w:val="single"/>
        </w:rPr>
        <w:t>Elderly</w:t>
      </w:r>
    </w:p>
    <w:p w14:paraId="38BAB7C4" w14:textId="26C5F7D8" w:rsidR="00AB56F3" w:rsidRPr="00E11FF4" w:rsidRDefault="00000000" w:rsidP="00E11FF4">
      <w:pPr>
        <w:pStyle w:val="ListParagraph"/>
        <w:spacing w:after="307" w:line="360" w:lineRule="auto"/>
        <w:ind w:left="1440" w:right="224"/>
        <w:jc w:val="thaiDistribute"/>
        <w:rPr>
          <w:rFonts w:ascii="Times New Roman" w:hAnsi="Times New Roman" w:cs="Times New Roman"/>
          <w:sz w:val="28"/>
          <w:szCs w:val="28"/>
          <w:u w:val="single"/>
        </w:rPr>
      </w:pPr>
      <w:r w:rsidRPr="00E11FF4">
        <w:rPr>
          <w:rFonts w:ascii="Times New Roman" w:eastAsia="Times New Roman" w:hAnsi="Times New Roman" w:cs="Times New Roman"/>
          <w:sz w:val="28"/>
          <w:szCs w:val="28"/>
        </w:rPr>
        <w:t>Treatment of elderly patients, particularly if long term, should be planned bearing in mind the more serious consequences of the common side effects of corticosteroids in old age.</w:t>
      </w:r>
    </w:p>
    <w:p w14:paraId="6E28BCE2" w14:textId="77777777" w:rsidR="00AB56F3" w:rsidRPr="00E11FF4" w:rsidRDefault="00000000" w:rsidP="00E11FF4">
      <w:pPr>
        <w:spacing w:after="281" w:line="360" w:lineRule="auto"/>
        <w:ind w:left="730" w:right="224" w:hanging="10"/>
        <w:jc w:val="thaiDistribute"/>
        <w:rPr>
          <w:rFonts w:ascii="Times New Roman" w:hAnsi="Times New Roman" w:cs="Times New Roman"/>
          <w:sz w:val="28"/>
          <w:szCs w:val="28"/>
          <w:u w:val="single"/>
        </w:rPr>
      </w:pPr>
      <w:r w:rsidRPr="00E11FF4">
        <w:rPr>
          <w:rFonts w:ascii="Times New Roman" w:eastAsia="Times New Roman" w:hAnsi="Times New Roman" w:cs="Times New Roman"/>
          <w:sz w:val="28"/>
          <w:szCs w:val="28"/>
          <w:u w:val="single"/>
        </w:rPr>
        <w:t>For the treatment of Covid-19</w:t>
      </w:r>
    </w:p>
    <w:p w14:paraId="070DB1C4" w14:textId="77777777" w:rsidR="00E11FF4" w:rsidRPr="00E11FF4" w:rsidRDefault="00000000" w:rsidP="00E11FF4">
      <w:pPr>
        <w:pStyle w:val="ListParagraph"/>
        <w:numPr>
          <w:ilvl w:val="0"/>
          <w:numId w:val="10"/>
        </w:numPr>
        <w:spacing w:after="281" w:line="360" w:lineRule="auto"/>
        <w:ind w:right="224"/>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u w:val="single"/>
        </w:rPr>
        <w:t>Adult patients</w:t>
      </w:r>
      <w:r w:rsidR="00E11FF4" w:rsidRPr="00E11FF4">
        <w:rPr>
          <w:rFonts w:ascii="Times New Roman" w:eastAsia="Times New Roman" w:hAnsi="Times New Roman" w:cs="Times New Roman"/>
          <w:sz w:val="28"/>
          <w:szCs w:val="28"/>
        </w:rPr>
        <w:t xml:space="preserve">: </w:t>
      </w:r>
      <w:r w:rsidRPr="00E11FF4">
        <w:rPr>
          <w:rFonts w:ascii="Times New Roman" w:eastAsia="Times New Roman" w:hAnsi="Times New Roman" w:cs="Times New Roman"/>
          <w:sz w:val="28"/>
          <w:szCs w:val="28"/>
        </w:rPr>
        <w:t>6 mg PO, once a day for up to 10 days.</w:t>
      </w:r>
    </w:p>
    <w:p w14:paraId="5ADCBF0F" w14:textId="77777777" w:rsidR="00E11FF4" w:rsidRPr="00E11FF4" w:rsidRDefault="00000000" w:rsidP="00E11FF4">
      <w:pPr>
        <w:pStyle w:val="ListParagraph"/>
        <w:numPr>
          <w:ilvl w:val="0"/>
          <w:numId w:val="10"/>
        </w:numPr>
        <w:spacing w:after="281" w:line="360" w:lineRule="auto"/>
        <w:ind w:right="224"/>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u w:val="single"/>
        </w:rPr>
        <w:t>Paediatric population</w:t>
      </w:r>
      <w:r w:rsidR="00E11FF4" w:rsidRPr="00E11FF4">
        <w:rPr>
          <w:rFonts w:ascii="Times New Roman" w:eastAsia="Times New Roman" w:hAnsi="Times New Roman" w:cs="Times New Roman"/>
          <w:sz w:val="28"/>
          <w:szCs w:val="28"/>
        </w:rPr>
        <w:t xml:space="preserve">: </w:t>
      </w:r>
      <w:r w:rsidRPr="00E11FF4">
        <w:rPr>
          <w:rFonts w:ascii="Times New Roman" w:eastAsia="Times New Roman" w:hAnsi="Times New Roman" w:cs="Times New Roman"/>
          <w:sz w:val="28"/>
          <w:szCs w:val="28"/>
        </w:rPr>
        <w:t>Paediatric patients (adolescents aged 12 years and older) are recommended to take 6mg/dose PO once a day for up to 10 days.</w:t>
      </w:r>
    </w:p>
    <w:p w14:paraId="41B36172" w14:textId="77777777" w:rsidR="00E11FF4" w:rsidRPr="00E11FF4" w:rsidRDefault="00000000" w:rsidP="00E11FF4">
      <w:pPr>
        <w:pStyle w:val="ListParagraph"/>
        <w:numPr>
          <w:ilvl w:val="0"/>
          <w:numId w:val="10"/>
        </w:numPr>
        <w:spacing w:after="281" w:line="360" w:lineRule="auto"/>
        <w:ind w:right="224"/>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rPr>
        <w:t>Duration of treatment should be guided by clinical response and individual patient requirements.</w:t>
      </w:r>
    </w:p>
    <w:p w14:paraId="46DF8E26" w14:textId="3ED6F851" w:rsidR="00AB56F3" w:rsidRPr="00E11FF4" w:rsidRDefault="00000000" w:rsidP="00E11FF4">
      <w:pPr>
        <w:pStyle w:val="ListParagraph"/>
        <w:numPr>
          <w:ilvl w:val="0"/>
          <w:numId w:val="10"/>
        </w:numPr>
        <w:spacing w:after="240" w:line="360" w:lineRule="auto"/>
        <w:ind w:left="1434" w:right="227" w:hanging="357"/>
        <w:contextualSpacing w:val="0"/>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u w:val="single"/>
        </w:rPr>
        <w:lastRenderedPageBreak/>
        <w:t>Elderly, renal impairment, hepatic impairment</w:t>
      </w:r>
      <w:r w:rsidR="00E11FF4" w:rsidRPr="00E11FF4">
        <w:rPr>
          <w:rFonts w:ascii="Times New Roman" w:eastAsia="Times New Roman" w:hAnsi="Times New Roman" w:cs="Times New Roman"/>
          <w:sz w:val="28"/>
          <w:szCs w:val="28"/>
        </w:rPr>
        <w:t xml:space="preserve">: </w:t>
      </w:r>
      <w:r w:rsidRPr="00E11FF4">
        <w:rPr>
          <w:rFonts w:ascii="Times New Roman" w:eastAsia="Times New Roman" w:hAnsi="Times New Roman" w:cs="Times New Roman"/>
          <w:sz w:val="28"/>
          <w:szCs w:val="28"/>
        </w:rPr>
        <w:t>No dose adjustment is needed.</w:t>
      </w:r>
    </w:p>
    <w:p w14:paraId="03D31002" w14:textId="77777777" w:rsidR="00E11FF4" w:rsidRPr="00E11FF4" w:rsidRDefault="00000000" w:rsidP="00E11FF4">
      <w:pPr>
        <w:spacing w:after="240" w:line="269" w:lineRule="auto"/>
        <w:ind w:left="731" w:right="4774" w:hanging="11"/>
        <w:rPr>
          <w:rFonts w:ascii="Times New Roman" w:eastAsia="Times New Roman" w:hAnsi="Times New Roman" w:cs="Times New Roman"/>
          <w:sz w:val="28"/>
          <w:szCs w:val="28"/>
        </w:rPr>
      </w:pPr>
      <w:r w:rsidRPr="00E11FF4">
        <w:rPr>
          <w:rFonts w:ascii="Times New Roman" w:eastAsia="Times New Roman" w:hAnsi="Times New Roman" w:cs="Times New Roman"/>
          <w:i/>
          <w:iCs/>
          <w:sz w:val="28"/>
          <w:szCs w:val="28"/>
          <w:u w:color="000000"/>
        </w:rPr>
        <w:t>Method of administration</w:t>
      </w:r>
      <w:r w:rsidRPr="00E11FF4">
        <w:rPr>
          <w:rFonts w:ascii="Times New Roman" w:eastAsia="Times New Roman" w:hAnsi="Times New Roman" w:cs="Times New Roman"/>
          <w:sz w:val="28"/>
          <w:szCs w:val="28"/>
          <w:u w:val="single" w:color="000000"/>
        </w:rPr>
        <w:t xml:space="preserve"> </w:t>
      </w:r>
    </w:p>
    <w:p w14:paraId="095D1F8D" w14:textId="31040F7E" w:rsidR="00AB56F3" w:rsidRPr="00E11FF4" w:rsidRDefault="00000000" w:rsidP="00E11FF4">
      <w:pPr>
        <w:spacing w:after="240" w:line="269" w:lineRule="auto"/>
        <w:ind w:left="731" w:right="4774" w:hanging="11"/>
        <w:rPr>
          <w:rFonts w:ascii="Times New Roman" w:hAnsi="Times New Roman" w:cs="Times New Roman"/>
          <w:sz w:val="28"/>
          <w:szCs w:val="28"/>
        </w:rPr>
      </w:pPr>
      <w:r w:rsidRPr="00E11FF4">
        <w:rPr>
          <w:rFonts w:ascii="Times New Roman" w:eastAsia="Times New Roman" w:hAnsi="Times New Roman" w:cs="Times New Roman"/>
          <w:sz w:val="28"/>
          <w:szCs w:val="28"/>
        </w:rPr>
        <w:t>For Oral use.</w:t>
      </w:r>
    </w:p>
    <w:p w14:paraId="54900C3C" w14:textId="4F320118" w:rsidR="00AB56F3" w:rsidRPr="00E11FF4" w:rsidRDefault="00000000" w:rsidP="00E11FF4">
      <w:pPr>
        <w:pStyle w:val="ListParagraph"/>
        <w:numPr>
          <w:ilvl w:val="1"/>
          <w:numId w:val="7"/>
        </w:numPr>
        <w:spacing w:after="240" w:line="360" w:lineRule="auto"/>
        <w:ind w:left="788" w:hanging="431"/>
        <w:contextualSpacing w:val="0"/>
        <w:jc w:val="thaiDistribute"/>
        <w:rPr>
          <w:rFonts w:ascii="Times New Roman" w:eastAsia="Times New Roman" w:hAnsi="Times New Roman" w:cs="Times New Roman"/>
          <w:b/>
          <w:sz w:val="28"/>
          <w:szCs w:val="28"/>
        </w:rPr>
      </w:pPr>
      <w:r w:rsidRPr="00E11FF4">
        <w:rPr>
          <w:rFonts w:ascii="Times New Roman" w:hAnsi="Times New Roman" w:cs="Times New Roman"/>
          <w:sz w:val="28"/>
          <w:szCs w:val="28"/>
        </w:rPr>
        <w:t>Contraindications</w:t>
      </w:r>
    </w:p>
    <w:p w14:paraId="3532337D" w14:textId="77777777" w:rsidR="00AB56F3" w:rsidRPr="00E11FF4" w:rsidRDefault="00000000" w:rsidP="00E11FF4">
      <w:pPr>
        <w:pStyle w:val="ListParagraph"/>
        <w:numPr>
          <w:ilvl w:val="0"/>
          <w:numId w:val="11"/>
        </w:numPr>
        <w:spacing w:after="306" w:line="360" w:lineRule="auto"/>
        <w:ind w:right="154"/>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rPr>
        <w:t>Hypersensitivity to the active substance or to any of the excipients listed in section 6.1.</w:t>
      </w:r>
    </w:p>
    <w:p w14:paraId="61EE0625" w14:textId="77777777" w:rsidR="00AB56F3" w:rsidRPr="00E11FF4" w:rsidRDefault="00000000" w:rsidP="00E11FF4">
      <w:pPr>
        <w:pStyle w:val="ListParagraph"/>
        <w:numPr>
          <w:ilvl w:val="0"/>
          <w:numId w:val="11"/>
        </w:numPr>
        <w:spacing w:after="306" w:line="360" w:lineRule="auto"/>
        <w:ind w:right="154"/>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rPr>
        <w:t>Systemic infection unless specific anti-infective therapy is employed.</w:t>
      </w:r>
    </w:p>
    <w:p w14:paraId="036E9B14" w14:textId="77777777" w:rsidR="00AB56F3" w:rsidRPr="00E11FF4" w:rsidRDefault="00000000" w:rsidP="00E11FF4">
      <w:pPr>
        <w:pStyle w:val="ListParagraph"/>
        <w:numPr>
          <w:ilvl w:val="0"/>
          <w:numId w:val="11"/>
        </w:numPr>
        <w:spacing w:after="306" w:line="360" w:lineRule="auto"/>
        <w:ind w:right="154"/>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rPr>
        <w:t>Systemic fungal infections.</w:t>
      </w:r>
    </w:p>
    <w:p w14:paraId="453FF561" w14:textId="77777777" w:rsidR="00AB56F3" w:rsidRPr="00E11FF4" w:rsidRDefault="00000000" w:rsidP="00E11FF4">
      <w:pPr>
        <w:pStyle w:val="ListParagraph"/>
        <w:numPr>
          <w:ilvl w:val="0"/>
          <w:numId w:val="11"/>
        </w:numPr>
        <w:spacing w:after="306" w:line="360" w:lineRule="auto"/>
        <w:ind w:right="154"/>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rPr>
        <w:t>Stomach ulcer or duodenal ulcer.</w:t>
      </w:r>
    </w:p>
    <w:p w14:paraId="70D23EAC" w14:textId="77777777" w:rsidR="00E11FF4" w:rsidRPr="00E11FF4" w:rsidRDefault="00000000" w:rsidP="00E11FF4">
      <w:pPr>
        <w:pStyle w:val="ListParagraph"/>
        <w:numPr>
          <w:ilvl w:val="0"/>
          <w:numId w:val="11"/>
        </w:numPr>
        <w:spacing w:after="240" w:line="360" w:lineRule="auto"/>
        <w:ind w:left="1423" w:right="153" w:hanging="357"/>
        <w:contextualSpacing w:val="0"/>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rPr>
        <w:t>Infection with tropical worms.</w:t>
      </w:r>
    </w:p>
    <w:p w14:paraId="13B40489" w14:textId="77777777" w:rsidR="00E11FF4" w:rsidRPr="00E11FF4" w:rsidRDefault="00000000" w:rsidP="00E11FF4">
      <w:pPr>
        <w:pStyle w:val="ListParagraph"/>
        <w:numPr>
          <w:ilvl w:val="1"/>
          <w:numId w:val="7"/>
        </w:numPr>
        <w:spacing w:after="240" w:line="360" w:lineRule="auto"/>
        <w:ind w:left="788" w:right="153" w:hanging="431"/>
        <w:contextualSpacing w:val="0"/>
        <w:jc w:val="thaiDistribute"/>
        <w:rPr>
          <w:rFonts w:ascii="Times New Roman" w:hAnsi="Times New Roman" w:cs="Times New Roman"/>
          <w:b/>
          <w:bCs/>
          <w:sz w:val="28"/>
          <w:szCs w:val="28"/>
        </w:rPr>
      </w:pPr>
      <w:r w:rsidRPr="00E11FF4">
        <w:rPr>
          <w:rFonts w:ascii="Times New Roman" w:hAnsi="Times New Roman" w:cs="Times New Roman"/>
          <w:b/>
          <w:bCs/>
          <w:sz w:val="28"/>
          <w:szCs w:val="28"/>
        </w:rPr>
        <w:t>Special warnings and precautions for us</w:t>
      </w:r>
      <w:r w:rsidR="00E11FF4" w:rsidRPr="00E11FF4">
        <w:rPr>
          <w:rFonts w:ascii="Times New Roman" w:hAnsi="Times New Roman" w:cs="Times New Roman"/>
          <w:b/>
          <w:bCs/>
          <w:sz w:val="28"/>
          <w:szCs w:val="28"/>
        </w:rPr>
        <w:t>e</w:t>
      </w:r>
    </w:p>
    <w:p w14:paraId="1D347E23" w14:textId="77777777" w:rsidR="00E11FF4" w:rsidRPr="00E11FF4" w:rsidRDefault="00000000" w:rsidP="00E11FF4">
      <w:pPr>
        <w:pStyle w:val="ListParagraph"/>
        <w:spacing w:after="240" w:line="360" w:lineRule="auto"/>
        <w:ind w:left="794" w:right="153"/>
        <w:contextualSpacing w:val="0"/>
        <w:jc w:val="thaiDistribute"/>
        <w:rPr>
          <w:rFonts w:ascii="Times New Roman" w:hAnsi="Times New Roman" w:cs="Times New Roman"/>
          <w:sz w:val="28"/>
          <w:szCs w:val="28"/>
        </w:rPr>
      </w:pPr>
      <w:r w:rsidRPr="00E11FF4">
        <w:rPr>
          <w:rFonts w:ascii="Times New Roman" w:hAnsi="Times New Roman" w:cs="Times New Roman"/>
          <w:sz w:val="28"/>
          <w:szCs w:val="28"/>
        </w:rPr>
        <w:t>Patients should carry “steroid treatment” cards which give clear guidance on the precautions to be taken to minimise risk and which provide details of prescriber, drug, dosage and the duration of treatment.</w:t>
      </w:r>
    </w:p>
    <w:p w14:paraId="0B5E5CEF" w14:textId="622DF156" w:rsidR="00AB56F3" w:rsidRPr="00E11FF4" w:rsidRDefault="00000000" w:rsidP="00E11FF4">
      <w:pPr>
        <w:pStyle w:val="ListParagraph"/>
        <w:spacing w:after="240" w:line="360" w:lineRule="auto"/>
        <w:ind w:left="794" w:right="153"/>
        <w:contextualSpacing w:val="0"/>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rPr>
        <w:t xml:space="preserve">An adrenocortical insufficiency, which is caused by glucocorticoid treatment, can, depending on the dose and length of treatment, remain for many months, and in some cases more than a year, after discontinuation of treatment. During treatment with Dexamethasone 2 mg/5ml Oral Solution for specific physical stress conditions (trauma, surgery, childbirth, etc.), a temporary increase in dose may be </w:t>
      </w:r>
      <w:r w:rsidRPr="00E11FF4">
        <w:rPr>
          <w:rFonts w:ascii="Times New Roman" w:eastAsia="Times New Roman" w:hAnsi="Times New Roman" w:cs="Times New Roman"/>
          <w:sz w:val="28"/>
          <w:szCs w:val="28"/>
        </w:rPr>
        <w:lastRenderedPageBreak/>
        <w:t xml:space="preserve">required. Because of the possible risk in stressful conditions, a corticosteroid ID should be made for patients undergoing long-term treatment. Even in cases of prolonged adrenocortical insufficiency after discontinuation of treatment, the administration of glucocorticoids can be necessary in physically stressful situations. An acute therapyinduced adrenocortical insufficiency can be minimized by slow dose reduction until a planned discontinuation time. Treatment with Dexamethasone </w:t>
      </w:r>
      <w:r w:rsidR="00E11FF4" w:rsidRPr="00E11FF4">
        <w:rPr>
          <w:rFonts w:ascii="Times New Roman" w:eastAsia="Times New Roman" w:hAnsi="Times New Roman" w:cs="Times New Roman"/>
          <w:color w:val="FF0000"/>
          <w:sz w:val="28"/>
          <w:szCs w:val="28"/>
        </w:rPr>
        <w:t xml:space="preserve">&lt;STRENGTH&gt; </w:t>
      </w:r>
      <w:r w:rsidRPr="00E11FF4">
        <w:rPr>
          <w:rFonts w:ascii="Times New Roman" w:eastAsia="Times New Roman" w:hAnsi="Times New Roman" w:cs="Times New Roman"/>
          <w:sz w:val="28"/>
          <w:szCs w:val="28"/>
        </w:rPr>
        <w:t>Oral Solution should only be implemented in the event of the strongest indications and, if necessary, additional targeted anti-infective treatment administered for the following illnesses:</w:t>
      </w:r>
    </w:p>
    <w:p w14:paraId="3E1FFA57" w14:textId="77777777" w:rsidR="00AB56F3" w:rsidRPr="00E11FF4" w:rsidRDefault="00000000" w:rsidP="00E11FF4">
      <w:pPr>
        <w:pStyle w:val="ListParagraph"/>
        <w:numPr>
          <w:ilvl w:val="0"/>
          <w:numId w:val="12"/>
        </w:numPr>
        <w:spacing w:after="0" w:line="360" w:lineRule="auto"/>
        <w:ind w:right="224"/>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rPr>
        <w:t>Acute viral infections (Herpes zoster, Herpes simplex, Varicella, herpetic keratitis)</w:t>
      </w:r>
    </w:p>
    <w:p w14:paraId="6BD3BA50" w14:textId="77777777" w:rsidR="00AB56F3" w:rsidRPr="00E11FF4" w:rsidRDefault="00000000" w:rsidP="00E11FF4">
      <w:pPr>
        <w:pStyle w:val="ListParagraph"/>
        <w:numPr>
          <w:ilvl w:val="0"/>
          <w:numId w:val="12"/>
        </w:numPr>
        <w:spacing w:after="0" w:line="360" w:lineRule="auto"/>
        <w:ind w:right="224"/>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rPr>
        <w:t>HBsAG-positive chronic active Hepatitis</w:t>
      </w:r>
    </w:p>
    <w:p w14:paraId="349F7FAE" w14:textId="77777777" w:rsidR="00AB56F3" w:rsidRPr="00E11FF4" w:rsidRDefault="00000000" w:rsidP="00E11FF4">
      <w:pPr>
        <w:pStyle w:val="ListParagraph"/>
        <w:numPr>
          <w:ilvl w:val="0"/>
          <w:numId w:val="12"/>
        </w:numPr>
        <w:spacing w:after="0" w:line="360" w:lineRule="auto"/>
        <w:ind w:right="224"/>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rPr>
        <w:t>Approx. 8 weeks prior through 2 weeks after vaccinations with live vaccines - Systemic mycoses and parasitosis (e.g. Nematodes)</w:t>
      </w:r>
    </w:p>
    <w:p w14:paraId="65F21059" w14:textId="77777777" w:rsidR="00AB56F3" w:rsidRPr="00E11FF4" w:rsidRDefault="00000000" w:rsidP="00E11FF4">
      <w:pPr>
        <w:pStyle w:val="ListParagraph"/>
        <w:numPr>
          <w:ilvl w:val="0"/>
          <w:numId w:val="12"/>
        </w:numPr>
        <w:spacing w:after="0" w:line="360" w:lineRule="auto"/>
        <w:ind w:right="224"/>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rPr>
        <w:t>Poliomyelitis</w:t>
      </w:r>
    </w:p>
    <w:p w14:paraId="126A13E1" w14:textId="77777777" w:rsidR="00AB56F3" w:rsidRPr="00E11FF4" w:rsidRDefault="00000000" w:rsidP="00E11FF4">
      <w:pPr>
        <w:pStyle w:val="ListParagraph"/>
        <w:numPr>
          <w:ilvl w:val="0"/>
          <w:numId w:val="12"/>
        </w:numPr>
        <w:spacing w:after="0" w:line="360" w:lineRule="auto"/>
        <w:ind w:right="224"/>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rPr>
        <w:t>Lymphadenitis after BCG vaccination - Acute and chronic bacterial infections</w:t>
      </w:r>
    </w:p>
    <w:p w14:paraId="0A8967A6" w14:textId="77777777" w:rsidR="00AB56F3" w:rsidRPr="00E11FF4" w:rsidRDefault="00000000" w:rsidP="00E11FF4">
      <w:pPr>
        <w:pStyle w:val="ListParagraph"/>
        <w:numPr>
          <w:ilvl w:val="0"/>
          <w:numId w:val="12"/>
        </w:numPr>
        <w:spacing w:after="240" w:line="360" w:lineRule="auto"/>
        <w:ind w:left="1434" w:right="227" w:hanging="357"/>
        <w:contextualSpacing w:val="0"/>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rPr>
        <w:t>History of tuberculosis (active or latent) without complete treatment (risk of recurrence). It is used only under anti-tuberculous protection.</w:t>
      </w:r>
    </w:p>
    <w:p w14:paraId="3FAD6218" w14:textId="24A709D5" w:rsidR="00E11FF4" w:rsidRPr="00E11FF4" w:rsidRDefault="00000000" w:rsidP="00E11FF4">
      <w:pPr>
        <w:spacing w:after="240" w:line="360" w:lineRule="auto"/>
        <w:ind w:left="714" w:right="153" w:hanging="11"/>
        <w:jc w:val="thaiDistribute"/>
        <w:rPr>
          <w:rFonts w:ascii="Times New Roman" w:eastAsia="Times New Roman" w:hAnsi="Times New Roman" w:cs="Times New Roman"/>
          <w:sz w:val="28"/>
          <w:szCs w:val="28"/>
        </w:rPr>
      </w:pPr>
      <w:r w:rsidRPr="00E11FF4">
        <w:rPr>
          <w:rFonts w:ascii="Times New Roman" w:eastAsia="Times New Roman" w:hAnsi="Times New Roman" w:cs="Times New Roman"/>
          <w:sz w:val="28"/>
          <w:szCs w:val="28"/>
        </w:rPr>
        <w:lastRenderedPageBreak/>
        <w:t xml:space="preserve">In addition, treatment with Dexamethasone </w:t>
      </w:r>
      <w:r w:rsidR="00E11FF4" w:rsidRPr="00E11FF4">
        <w:rPr>
          <w:rFonts w:ascii="Times New Roman" w:eastAsia="Times New Roman" w:hAnsi="Times New Roman" w:cs="Times New Roman"/>
          <w:color w:val="FF0000"/>
          <w:sz w:val="28"/>
          <w:szCs w:val="28"/>
        </w:rPr>
        <w:t xml:space="preserve">&lt;STRENGTH&gt; </w:t>
      </w:r>
      <w:r w:rsidRPr="00E11FF4">
        <w:rPr>
          <w:rFonts w:ascii="Times New Roman" w:eastAsia="Times New Roman" w:hAnsi="Times New Roman" w:cs="Times New Roman"/>
          <w:sz w:val="28"/>
          <w:szCs w:val="28"/>
        </w:rPr>
        <w:t xml:space="preserve">Oral Solution should only be implemented under strong indications and, if necessary, additional specific treatment must be implemented for: </w:t>
      </w:r>
    </w:p>
    <w:p w14:paraId="5459F4AA" w14:textId="03F3EBE5" w:rsidR="00AB56F3" w:rsidRPr="00E11FF4" w:rsidRDefault="00000000" w:rsidP="00E11FF4">
      <w:pPr>
        <w:pStyle w:val="ListParagraph"/>
        <w:numPr>
          <w:ilvl w:val="0"/>
          <w:numId w:val="16"/>
        </w:numPr>
        <w:spacing w:after="117" w:line="360" w:lineRule="auto"/>
        <w:ind w:right="155"/>
        <w:rPr>
          <w:rFonts w:ascii="Times New Roman" w:eastAsia="Times New Roman" w:hAnsi="Times New Roman" w:cs="Times New Roman"/>
          <w:sz w:val="28"/>
          <w:szCs w:val="28"/>
        </w:rPr>
      </w:pPr>
      <w:r w:rsidRPr="00E11FF4">
        <w:rPr>
          <w:rFonts w:ascii="Times New Roman" w:eastAsia="Times New Roman" w:hAnsi="Times New Roman" w:cs="Times New Roman"/>
          <w:sz w:val="28"/>
          <w:szCs w:val="28"/>
        </w:rPr>
        <w:t>Gastrointestinal ulcers</w:t>
      </w:r>
    </w:p>
    <w:p w14:paraId="1A0C01CA" w14:textId="77777777" w:rsidR="00AB56F3" w:rsidRPr="00E11FF4" w:rsidRDefault="00000000" w:rsidP="00E11FF4">
      <w:pPr>
        <w:pStyle w:val="ListParagraph"/>
        <w:numPr>
          <w:ilvl w:val="0"/>
          <w:numId w:val="16"/>
        </w:numPr>
        <w:spacing w:after="116" w:line="360" w:lineRule="auto"/>
        <w:ind w:right="224"/>
        <w:rPr>
          <w:rFonts w:ascii="Times New Roman" w:hAnsi="Times New Roman" w:cs="Times New Roman"/>
          <w:sz w:val="28"/>
          <w:szCs w:val="28"/>
        </w:rPr>
      </w:pPr>
      <w:r w:rsidRPr="00E11FF4">
        <w:rPr>
          <w:rFonts w:ascii="Times New Roman" w:eastAsia="Times New Roman" w:hAnsi="Times New Roman" w:cs="Times New Roman"/>
          <w:sz w:val="28"/>
          <w:szCs w:val="28"/>
        </w:rPr>
        <w:t>Severe osteoporosis</w:t>
      </w:r>
    </w:p>
    <w:p w14:paraId="59AD68AA" w14:textId="77777777" w:rsidR="00AB56F3" w:rsidRPr="00E11FF4" w:rsidRDefault="00000000" w:rsidP="00E11FF4">
      <w:pPr>
        <w:pStyle w:val="ListParagraph"/>
        <w:numPr>
          <w:ilvl w:val="0"/>
          <w:numId w:val="16"/>
        </w:numPr>
        <w:spacing w:after="0" w:line="360" w:lineRule="auto"/>
        <w:ind w:right="224"/>
        <w:rPr>
          <w:rFonts w:ascii="Times New Roman" w:hAnsi="Times New Roman" w:cs="Times New Roman"/>
          <w:sz w:val="28"/>
          <w:szCs w:val="28"/>
        </w:rPr>
      </w:pPr>
      <w:r w:rsidRPr="00E11FF4">
        <w:rPr>
          <w:rFonts w:ascii="Times New Roman" w:eastAsia="Times New Roman" w:hAnsi="Times New Roman" w:cs="Times New Roman"/>
          <w:sz w:val="28"/>
          <w:szCs w:val="28"/>
        </w:rPr>
        <w:t>Difficult to regulate high blood pressure - Difficult to regulate Diabetes mellitus</w:t>
      </w:r>
    </w:p>
    <w:p w14:paraId="6C952A21" w14:textId="77777777" w:rsidR="00AB56F3" w:rsidRPr="00E11FF4" w:rsidRDefault="00000000" w:rsidP="00E11FF4">
      <w:pPr>
        <w:pStyle w:val="ListParagraph"/>
        <w:numPr>
          <w:ilvl w:val="0"/>
          <w:numId w:val="16"/>
        </w:numPr>
        <w:spacing w:after="119" w:line="360" w:lineRule="auto"/>
        <w:ind w:right="224"/>
        <w:rPr>
          <w:rFonts w:ascii="Times New Roman" w:hAnsi="Times New Roman" w:cs="Times New Roman"/>
          <w:sz w:val="28"/>
          <w:szCs w:val="28"/>
        </w:rPr>
      </w:pPr>
      <w:r w:rsidRPr="00E11FF4">
        <w:rPr>
          <w:rFonts w:ascii="Times New Roman" w:eastAsia="Times New Roman" w:hAnsi="Times New Roman" w:cs="Times New Roman"/>
          <w:sz w:val="28"/>
          <w:szCs w:val="28"/>
        </w:rPr>
        <w:t>Psychiatric disorders (including history)</w:t>
      </w:r>
    </w:p>
    <w:p w14:paraId="317E352A" w14:textId="77777777" w:rsidR="00AB56F3" w:rsidRPr="00E11FF4" w:rsidRDefault="00000000" w:rsidP="00E11FF4">
      <w:pPr>
        <w:pStyle w:val="ListParagraph"/>
        <w:numPr>
          <w:ilvl w:val="0"/>
          <w:numId w:val="16"/>
        </w:numPr>
        <w:spacing w:after="116" w:line="360" w:lineRule="auto"/>
        <w:ind w:right="224"/>
        <w:rPr>
          <w:rFonts w:ascii="Times New Roman" w:hAnsi="Times New Roman" w:cs="Times New Roman"/>
          <w:sz w:val="28"/>
          <w:szCs w:val="28"/>
        </w:rPr>
      </w:pPr>
      <w:r w:rsidRPr="00E11FF4">
        <w:rPr>
          <w:rFonts w:ascii="Times New Roman" w:eastAsia="Times New Roman" w:hAnsi="Times New Roman" w:cs="Times New Roman"/>
          <w:sz w:val="28"/>
          <w:szCs w:val="28"/>
        </w:rPr>
        <w:t>Angle closure glaucoma and wide-angle glaucoma</w:t>
      </w:r>
    </w:p>
    <w:p w14:paraId="51CA6BCA" w14:textId="77777777" w:rsidR="00AB56F3" w:rsidRPr="00E11FF4" w:rsidRDefault="00000000" w:rsidP="00E11FF4">
      <w:pPr>
        <w:pStyle w:val="ListParagraph"/>
        <w:numPr>
          <w:ilvl w:val="0"/>
          <w:numId w:val="16"/>
        </w:numPr>
        <w:spacing w:after="119" w:line="360" w:lineRule="auto"/>
        <w:ind w:right="224"/>
        <w:rPr>
          <w:rFonts w:ascii="Times New Roman" w:hAnsi="Times New Roman" w:cs="Times New Roman"/>
          <w:sz w:val="28"/>
          <w:szCs w:val="28"/>
        </w:rPr>
      </w:pPr>
      <w:r w:rsidRPr="00E11FF4">
        <w:rPr>
          <w:rFonts w:ascii="Times New Roman" w:eastAsia="Times New Roman" w:hAnsi="Times New Roman" w:cs="Times New Roman"/>
          <w:sz w:val="28"/>
          <w:szCs w:val="28"/>
        </w:rPr>
        <w:t>Corneal ulcerations and corneal injuries</w:t>
      </w:r>
    </w:p>
    <w:p w14:paraId="5D9614EC" w14:textId="5828EC07" w:rsidR="00AB56F3" w:rsidRPr="00E11FF4" w:rsidRDefault="00000000" w:rsidP="00E11FF4">
      <w:pPr>
        <w:spacing w:after="117" w:line="360" w:lineRule="auto"/>
        <w:ind w:left="715" w:right="155" w:hanging="10"/>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rPr>
        <w:t xml:space="preserve">Because of the risk of an intestinal perforation, Dexamethasone </w:t>
      </w:r>
      <w:r w:rsidR="00E11FF4" w:rsidRPr="00E11FF4">
        <w:rPr>
          <w:rFonts w:ascii="Times New Roman" w:eastAsia="Times New Roman" w:hAnsi="Times New Roman" w:cs="Times New Roman"/>
          <w:color w:val="FF0000"/>
          <w:sz w:val="28"/>
          <w:szCs w:val="28"/>
        </w:rPr>
        <w:t xml:space="preserve">&lt;STRENGTH&gt; </w:t>
      </w:r>
      <w:r w:rsidRPr="00E11FF4">
        <w:rPr>
          <w:rFonts w:ascii="Times New Roman" w:eastAsia="Times New Roman" w:hAnsi="Times New Roman" w:cs="Times New Roman"/>
          <w:sz w:val="28"/>
          <w:szCs w:val="28"/>
        </w:rPr>
        <w:t>Oral Solution must only be used under urgent indication and under appropriate monitoring for:</w:t>
      </w:r>
    </w:p>
    <w:p w14:paraId="61AD9B31" w14:textId="77777777" w:rsidR="00AB56F3" w:rsidRPr="00E11FF4" w:rsidRDefault="00000000" w:rsidP="00E11FF4">
      <w:pPr>
        <w:pStyle w:val="ListParagraph"/>
        <w:numPr>
          <w:ilvl w:val="0"/>
          <w:numId w:val="17"/>
        </w:numPr>
        <w:spacing w:after="116" w:line="360" w:lineRule="auto"/>
        <w:ind w:right="224"/>
        <w:rPr>
          <w:rFonts w:ascii="Times New Roman" w:hAnsi="Times New Roman" w:cs="Times New Roman"/>
          <w:sz w:val="28"/>
          <w:szCs w:val="28"/>
        </w:rPr>
      </w:pPr>
      <w:r w:rsidRPr="00E11FF4">
        <w:rPr>
          <w:rFonts w:ascii="Times New Roman" w:eastAsia="Times New Roman" w:hAnsi="Times New Roman" w:cs="Times New Roman"/>
          <w:sz w:val="28"/>
          <w:szCs w:val="28"/>
        </w:rPr>
        <w:t>Severe ulcerative colitis with threatened perforation</w:t>
      </w:r>
    </w:p>
    <w:p w14:paraId="5C27917F" w14:textId="77777777" w:rsidR="00AB56F3" w:rsidRPr="00E11FF4" w:rsidRDefault="00000000" w:rsidP="00E11FF4">
      <w:pPr>
        <w:pStyle w:val="ListParagraph"/>
        <w:numPr>
          <w:ilvl w:val="0"/>
          <w:numId w:val="17"/>
        </w:numPr>
        <w:spacing w:after="119" w:line="360" w:lineRule="auto"/>
        <w:ind w:right="224"/>
        <w:rPr>
          <w:rFonts w:ascii="Times New Roman" w:hAnsi="Times New Roman" w:cs="Times New Roman"/>
          <w:sz w:val="28"/>
          <w:szCs w:val="28"/>
        </w:rPr>
      </w:pPr>
      <w:r w:rsidRPr="00E11FF4">
        <w:rPr>
          <w:rFonts w:ascii="Times New Roman" w:eastAsia="Times New Roman" w:hAnsi="Times New Roman" w:cs="Times New Roman"/>
          <w:sz w:val="28"/>
          <w:szCs w:val="28"/>
        </w:rPr>
        <w:t>Diverticulitis</w:t>
      </w:r>
    </w:p>
    <w:p w14:paraId="21C2B0CC" w14:textId="77777777" w:rsidR="00E11FF4" w:rsidRPr="00E11FF4" w:rsidRDefault="00000000" w:rsidP="00E11FF4">
      <w:pPr>
        <w:pStyle w:val="ListParagraph"/>
        <w:numPr>
          <w:ilvl w:val="0"/>
          <w:numId w:val="17"/>
        </w:numPr>
        <w:spacing w:after="485" w:line="360" w:lineRule="auto"/>
        <w:ind w:right="224"/>
        <w:rPr>
          <w:rFonts w:ascii="Times New Roman" w:hAnsi="Times New Roman" w:cs="Times New Roman"/>
          <w:sz w:val="28"/>
          <w:szCs w:val="28"/>
        </w:rPr>
      </w:pPr>
      <w:r w:rsidRPr="00E11FF4">
        <w:rPr>
          <w:rFonts w:ascii="Times New Roman" w:eastAsia="Times New Roman" w:hAnsi="Times New Roman" w:cs="Times New Roman"/>
          <w:sz w:val="28"/>
          <w:szCs w:val="28"/>
        </w:rPr>
        <w:t>Entero-anastomosis (immediately postoperative)</w:t>
      </w:r>
    </w:p>
    <w:p w14:paraId="7510B309" w14:textId="1CE4D779" w:rsidR="00AB56F3" w:rsidRPr="00E11FF4" w:rsidRDefault="00000000" w:rsidP="00E11FF4">
      <w:pPr>
        <w:spacing w:after="485" w:line="360" w:lineRule="auto"/>
        <w:ind w:left="705" w:right="224" w:firstLine="15"/>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rPr>
        <w:t xml:space="preserve">Signs of peritoneal irritation after gastrointestinal perforation may be absent in patients receiving high doses of glucocorticoids. A higher need for insulin, or oral antidiabetics, must be taken into consideration when administering Dexamethasone </w:t>
      </w:r>
      <w:r w:rsidR="00E11FF4" w:rsidRPr="00E11FF4">
        <w:rPr>
          <w:rFonts w:ascii="Times New Roman" w:eastAsia="Times New Roman" w:hAnsi="Times New Roman" w:cs="Times New Roman"/>
          <w:color w:val="FF0000"/>
          <w:sz w:val="28"/>
          <w:szCs w:val="28"/>
        </w:rPr>
        <w:t xml:space="preserve">&lt;STRENGTH&gt; </w:t>
      </w:r>
      <w:r w:rsidRPr="00E11FF4">
        <w:rPr>
          <w:rFonts w:ascii="Times New Roman" w:eastAsia="Times New Roman" w:hAnsi="Times New Roman" w:cs="Times New Roman"/>
          <w:sz w:val="28"/>
          <w:szCs w:val="28"/>
        </w:rPr>
        <w:t xml:space="preserve">Oral Solution to diabetics. Regular blood pressure monitoring is necessary during treatment with Dexamethasone </w:t>
      </w:r>
      <w:r w:rsidR="00E11FF4" w:rsidRPr="00E11FF4">
        <w:rPr>
          <w:rFonts w:ascii="Times New Roman" w:eastAsia="Times New Roman" w:hAnsi="Times New Roman" w:cs="Times New Roman"/>
          <w:color w:val="FF0000"/>
          <w:sz w:val="28"/>
          <w:szCs w:val="28"/>
        </w:rPr>
        <w:t xml:space="preserve">&lt;STRENGTH&gt; </w:t>
      </w:r>
      <w:r w:rsidRPr="00E11FF4">
        <w:rPr>
          <w:rFonts w:ascii="Times New Roman" w:eastAsia="Times New Roman" w:hAnsi="Times New Roman" w:cs="Times New Roman"/>
          <w:sz w:val="28"/>
          <w:szCs w:val="28"/>
        </w:rPr>
        <w:t xml:space="preserve">Oral Solution, particularly during administration of higher doses and with patients with difficult to regulate high blood pressure. Because of the risk of </w:t>
      </w:r>
      <w:r w:rsidRPr="00E11FF4">
        <w:rPr>
          <w:rFonts w:ascii="Times New Roman" w:eastAsia="Times New Roman" w:hAnsi="Times New Roman" w:cs="Times New Roman"/>
          <w:sz w:val="28"/>
          <w:szCs w:val="28"/>
        </w:rPr>
        <w:lastRenderedPageBreak/>
        <w:t xml:space="preserve">deterioration, patients with severe cardiac insufficiency should be carefully monitored. Treatment with Dexamethasone </w:t>
      </w:r>
      <w:r w:rsidR="00E11FF4" w:rsidRPr="00E11FF4">
        <w:rPr>
          <w:rFonts w:ascii="Times New Roman" w:eastAsia="Times New Roman" w:hAnsi="Times New Roman" w:cs="Times New Roman"/>
          <w:color w:val="FF0000"/>
          <w:sz w:val="28"/>
          <w:szCs w:val="28"/>
        </w:rPr>
        <w:t xml:space="preserve">&lt;STRENGTH&gt; </w:t>
      </w:r>
      <w:r w:rsidRPr="00E11FF4">
        <w:rPr>
          <w:rFonts w:ascii="Times New Roman" w:eastAsia="Times New Roman" w:hAnsi="Times New Roman" w:cs="Times New Roman"/>
          <w:sz w:val="28"/>
          <w:szCs w:val="28"/>
        </w:rPr>
        <w:t>Oral Solution can conceal the symptoms of an existing or developing infection thereby making a diagnosis more difficult.</w:t>
      </w:r>
    </w:p>
    <w:p w14:paraId="1CB15C6E" w14:textId="77777777" w:rsidR="00AB56F3" w:rsidRPr="00E11FF4" w:rsidRDefault="00000000" w:rsidP="00E11FF4">
      <w:pPr>
        <w:spacing w:after="117" w:line="360" w:lineRule="auto"/>
        <w:ind w:left="715" w:right="155" w:hanging="10"/>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rPr>
        <w:t>The prolonged use of even small amounts of Dexamethasone leads to an increased risk of infection, even by microorganisms which otherwise rarely cause infections (so-called opportunistic infections). Vaccinations with inactivated vaccine are always possible. However, it should be noted that the immune reaction and thereby the success of inoculation, can be affected by higher doses of corticoids.</w:t>
      </w:r>
    </w:p>
    <w:p w14:paraId="5B339AB0" w14:textId="77777777" w:rsidR="00AB56F3" w:rsidRPr="00E11FF4" w:rsidRDefault="00000000" w:rsidP="00E11FF4">
      <w:pPr>
        <w:spacing w:after="240" w:line="360" w:lineRule="auto"/>
        <w:ind w:left="714" w:right="153" w:hanging="11"/>
        <w:jc w:val="both"/>
        <w:rPr>
          <w:rFonts w:ascii="Times New Roman" w:hAnsi="Times New Roman" w:cs="Times New Roman"/>
          <w:sz w:val="28"/>
          <w:szCs w:val="28"/>
        </w:rPr>
      </w:pPr>
      <w:r w:rsidRPr="00E11FF4">
        <w:rPr>
          <w:rFonts w:ascii="Times New Roman" w:eastAsia="Times New Roman" w:hAnsi="Times New Roman" w:cs="Times New Roman"/>
          <w:sz w:val="28"/>
          <w:szCs w:val="28"/>
        </w:rPr>
        <w:t>Systemic corticosteroids should not be stopped for patients who are already treated with systemic (oral) corticosteroids for other reasons (e.g. patients with chronic obstructive pulmonary disease) but not requiring supplemental oxygen.</w:t>
      </w:r>
    </w:p>
    <w:p w14:paraId="65C22AA7" w14:textId="1356CDEB" w:rsidR="00AB56F3" w:rsidRPr="00E11FF4" w:rsidRDefault="00000000" w:rsidP="00E11FF4">
      <w:pPr>
        <w:spacing w:after="240" w:line="360" w:lineRule="auto"/>
        <w:ind w:left="714" w:right="153" w:hanging="11"/>
        <w:jc w:val="both"/>
        <w:rPr>
          <w:rFonts w:ascii="Times New Roman" w:hAnsi="Times New Roman" w:cs="Times New Roman"/>
          <w:sz w:val="28"/>
          <w:szCs w:val="28"/>
        </w:rPr>
      </w:pPr>
      <w:r w:rsidRPr="00E11FF4">
        <w:rPr>
          <w:rFonts w:ascii="Times New Roman" w:eastAsia="Times New Roman" w:hAnsi="Times New Roman" w:cs="Times New Roman"/>
          <w:sz w:val="28"/>
          <w:szCs w:val="28"/>
        </w:rPr>
        <w:t xml:space="preserve">Administration of Dexamethasone </w:t>
      </w:r>
      <w:r w:rsidR="00E11FF4" w:rsidRPr="00E11FF4">
        <w:rPr>
          <w:rFonts w:ascii="Times New Roman" w:eastAsia="Times New Roman" w:hAnsi="Times New Roman" w:cs="Times New Roman"/>
          <w:color w:val="FF0000"/>
          <w:sz w:val="28"/>
          <w:szCs w:val="28"/>
        </w:rPr>
        <w:t xml:space="preserve">&lt;STRENGTH&gt; </w:t>
      </w:r>
      <w:r w:rsidRPr="00E11FF4">
        <w:rPr>
          <w:rFonts w:ascii="Times New Roman" w:eastAsia="Times New Roman" w:hAnsi="Times New Roman" w:cs="Times New Roman"/>
          <w:sz w:val="28"/>
          <w:szCs w:val="28"/>
        </w:rPr>
        <w:t>Oral Solution is not indicated in nonhospitalized patients with COVID-19 and in patients with duration of symptomatic disease of less than 7 days.</w:t>
      </w:r>
    </w:p>
    <w:p w14:paraId="64EB24E7" w14:textId="1642460D" w:rsidR="00AB56F3" w:rsidRPr="00E11FF4" w:rsidRDefault="00000000" w:rsidP="00E11FF4">
      <w:pPr>
        <w:spacing w:after="240" w:line="360" w:lineRule="auto"/>
        <w:ind w:left="731" w:right="227" w:hanging="11"/>
        <w:rPr>
          <w:rFonts w:ascii="Times New Roman" w:hAnsi="Times New Roman" w:cs="Times New Roman"/>
          <w:sz w:val="28"/>
          <w:szCs w:val="28"/>
        </w:rPr>
      </w:pPr>
      <w:r w:rsidRPr="00E11FF4">
        <w:rPr>
          <w:rFonts w:ascii="Times New Roman" w:eastAsia="Times New Roman" w:hAnsi="Times New Roman" w:cs="Times New Roman"/>
          <w:sz w:val="28"/>
          <w:szCs w:val="28"/>
        </w:rPr>
        <w:t xml:space="preserve">Regular checkups with doctors (including vision checkups in three-month intervals) are advised during long-term treatment with Dexamethasone </w:t>
      </w:r>
      <w:r w:rsidR="00E11FF4" w:rsidRPr="00E11FF4">
        <w:rPr>
          <w:rFonts w:ascii="Times New Roman" w:eastAsia="Times New Roman" w:hAnsi="Times New Roman" w:cs="Times New Roman"/>
          <w:color w:val="FF0000"/>
          <w:sz w:val="28"/>
          <w:szCs w:val="28"/>
        </w:rPr>
        <w:t xml:space="preserve">&lt;STRENGTH&gt; </w:t>
      </w:r>
      <w:r w:rsidRPr="00E11FF4">
        <w:rPr>
          <w:rFonts w:ascii="Times New Roman" w:eastAsia="Times New Roman" w:hAnsi="Times New Roman" w:cs="Times New Roman"/>
          <w:sz w:val="28"/>
          <w:szCs w:val="28"/>
        </w:rPr>
        <w:t>Oral Solution.</w:t>
      </w:r>
    </w:p>
    <w:p w14:paraId="2BF3A2C3" w14:textId="77777777" w:rsidR="00AB56F3" w:rsidRPr="00E11FF4" w:rsidRDefault="00000000" w:rsidP="00E11FF4">
      <w:pPr>
        <w:spacing w:after="117" w:line="360" w:lineRule="auto"/>
        <w:ind w:left="715" w:right="155" w:hanging="10"/>
        <w:jc w:val="both"/>
        <w:rPr>
          <w:rFonts w:ascii="Times New Roman" w:hAnsi="Times New Roman" w:cs="Times New Roman"/>
          <w:sz w:val="28"/>
          <w:szCs w:val="28"/>
        </w:rPr>
      </w:pPr>
      <w:r w:rsidRPr="00E11FF4">
        <w:rPr>
          <w:rFonts w:ascii="Times New Roman" w:eastAsia="Times New Roman" w:hAnsi="Times New Roman" w:cs="Times New Roman"/>
          <w:sz w:val="28"/>
          <w:szCs w:val="28"/>
        </w:rPr>
        <w:t xml:space="preserve">At high doses, sufficient calcium intake and sodium restriction, as well as serum potassium levels should be monitored. Depending on the length and dosage of the treatment, a negative influence on calcium metabolism can be expected, so that an osteoporosis prophylaxis is </w:t>
      </w:r>
      <w:r w:rsidRPr="00E11FF4">
        <w:rPr>
          <w:rFonts w:ascii="Times New Roman" w:eastAsia="Times New Roman" w:hAnsi="Times New Roman" w:cs="Times New Roman"/>
          <w:sz w:val="28"/>
          <w:szCs w:val="28"/>
        </w:rPr>
        <w:lastRenderedPageBreak/>
        <w:t>recommended. This applies, above all, to co-existing risk factors like familial disposition, increased age, after menopause, insufficient protein and calcium intake, heavy smoking, excessive alcohol intake, as well as insufficient exercise. Prevention consists of sufficient calcium and vitamin D intake and physical activity. Additional medical treatment should be considered in the event of preexisting osteoporosis. The following risks should be considered upon interruption or discontinuation of long-term glucocorticoid administration:</w:t>
      </w:r>
    </w:p>
    <w:p w14:paraId="3CB7DB72" w14:textId="77777777" w:rsidR="00AB56F3" w:rsidRPr="00E11FF4" w:rsidRDefault="00000000" w:rsidP="00E11FF4">
      <w:pPr>
        <w:pStyle w:val="ListParagraph"/>
        <w:numPr>
          <w:ilvl w:val="0"/>
          <w:numId w:val="18"/>
        </w:numPr>
        <w:spacing w:after="120" w:line="360" w:lineRule="auto"/>
        <w:ind w:right="224"/>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rPr>
        <w:t>Exacerbation or recurrence of the underlying disease, acute adrenal insufficiency, corticosteroid withdrawal syndrome.</w:t>
      </w:r>
    </w:p>
    <w:p w14:paraId="746A7EA0" w14:textId="77777777" w:rsidR="00AB56F3" w:rsidRPr="00E11FF4" w:rsidRDefault="00000000" w:rsidP="00E11FF4">
      <w:pPr>
        <w:pStyle w:val="ListParagraph"/>
        <w:numPr>
          <w:ilvl w:val="0"/>
          <w:numId w:val="18"/>
        </w:numPr>
        <w:spacing w:after="120" w:line="360" w:lineRule="auto"/>
        <w:ind w:right="224"/>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rPr>
        <w:t>Certain viral diseases (chickenpox, measles) in patients treated with glucocorticoids, may be very severe.</w:t>
      </w:r>
    </w:p>
    <w:p w14:paraId="78DA763D" w14:textId="77777777" w:rsidR="00E11FF4" w:rsidRPr="00E11FF4" w:rsidRDefault="00000000" w:rsidP="00E11FF4">
      <w:pPr>
        <w:pStyle w:val="ListParagraph"/>
        <w:numPr>
          <w:ilvl w:val="0"/>
          <w:numId w:val="18"/>
        </w:numPr>
        <w:spacing w:after="240" w:line="360" w:lineRule="auto"/>
        <w:ind w:left="1077" w:right="227" w:hanging="357"/>
        <w:contextualSpacing w:val="0"/>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rPr>
        <w:t xml:space="preserve">Children and immunocompromised persons without previous chickenpox or measles infection are particularly at risk. If these people have contact with people infected with measles or chickenpox while undergoing treatment with Dexamethasone </w:t>
      </w:r>
      <w:r w:rsidR="00E11FF4" w:rsidRPr="00E11FF4">
        <w:rPr>
          <w:rFonts w:ascii="Times New Roman" w:eastAsia="Times New Roman" w:hAnsi="Times New Roman" w:cs="Times New Roman"/>
          <w:color w:val="FF0000"/>
          <w:sz w:val="28"/>
          <w:szCs w:val="28"/>
        </w:rPr>
        <w:t xml:space="preserve">&lt;STRENGTH&gt; </w:t>
      </w:r>
      <w:r w:rsidRPr="00E11FF4">
        <w:rPr>
          <w:rFonts w:ascii="Times New Roman" w:eastAsia="Times New Roman" w:hAnsi="Times New Roman" w:cs="Times New Roman"/>
          <w:sz w:val="28"/>
          <w:szCs w:val="28"/>
        </w:rPr>
        <w:t>Oral Solution, a preventative treatment should be introduced if necessary</w:t>
      </w:r>
      <w:r w:rsidR="00E11FF4">
        <w:rPr>
          <w:rFonts w:ascii="Times New Roman" w:eastAsia="Times New Roman" w:hAnsi="Times New Roman" w:cs="Times New Roman"/>
          <w:sz w:val="28"/>
          <w:szCs w:val="28"/>
        </w:rPr>
        <w:t>.</w:t>
      </w:r>
    </w:p>
    <w:p w14:paraId="7B86BC6F" w14:textId="60C82258" w:rsidR="00AB56F3" w:rsidRPr="00E11FF4" w:rsidRDefault="00000000" w:rsidP="00E11FF4">
      <w:pPr>
        <w:spacing w:after="240" w:line="360" w:lineRule="auto"/>
        <w:ind w:left="720" w:right="227"/>
        <w:jc w:val="thaiDistribute"/>
        <w:rPr>
          <w:rFonts w:ascii="Times New Roman" w:hAnsi="Times New Roman" w:cs="Times New Roman"/>
          <w:sz w:val="28"/>
          <w:szCs w:val="28"/>
          <w:u w:val="single"/>
        </w:rPr>
      </w:pPr>
      <w:r w:rsidRPr="00E11FF4">
        <w:rPr>
          <w:rFonts w:ascii="Times New Roman" w:hAnsi="Times New Roman" w:cs="Times New Roman"/>
          <w:sz w:val="28"/>
          <w:szCs w:val="28"/>
          <w:u w:val="single"/>
        </w:rPr>
        <w:t>Psychiatric reactions</w:t>
      </w:r>
    </w:p>
    <w:p w14:paraId="7AF7EBC0" w14:textId="77777777" w:rsidR="00AB56F3" w:rsidRPr="00E11FF4" w:rsidRDefault="00000000" w:rsidP="00E11FF4">
      <w:pPr>
        <w:spacing w:after="240" w:line="360" w:lineRule="auto"/>
        <w:ind w:left="714" w:right="153" w:hanging="11"/>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rPr>
        <w:t xml:space="preserve">Patients and/or carers should be warned that potentially severe psychiatric adverse reactions may occur with systemic steroids (see section 4.8). Symptoms typically emerge within a few days or weeks of starting the treatment. Risks may be higher with high doses/systemic exposure (see also section 4.5 pharmacokinetic interactions that can increase the risk of side effects), although dose levels do not allow </w:t>
      </w:r>
      <w:r w:rsidRPr="00E11FF4">
        <w:rPr>
          <w:rFonts w:ascii="Times New Roman" w:eastAsia="Times New Roman" w:hAnsi="Times New Roman" w:cs="Times New Roman"/>
          <w:sz w:val="28"/>
          <w:szCs w:val="28"/>
        </w:rPr>
        <w:lastRenderedPageBreak/>
        <w:t>prediction of the onset, type, severity or duration of reactions. Most reactions recover after either dose reduction or withdrawal, although specific treatment may be necessary.</w:t>
      </w:r>
    </w:p>
    <w:p w14:paraId="141C2781" w14:textId="77777777" w:rsidR="00AB56F3" w:rsidRPr="00E11FF4" w:rsidRDefault="00000000" w:rsidP="00E11FF4">
      <w:pPr>
        <w:spacing w:after="240" w:line="360" w:lineRule="auto"/>
        <w:ind w:left="714" w:right="153" w:hanging="11"/>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rPr>
        <w:t>Patients/carers should be encouraged to seek medical advice if worrying psychological symptoms develop, especially if depressed mood or suicidal ideation is suspected. Patients/carers should also be alert to possible psychiatric disturbances that may occur either during or immediately after dose tapering/withdrawal of systemic steroids, although such reactions have been reported infrequently.</w:t>
      </w:r>
    </w:p>
    <w:p w14:paraId="67A64EA2" w14:textId="77777777" w:rsidR="00E11FF4" w:rsidRDefault="00000000" w:rsidP="00E11FF4">
      <w:pPr>
        <w:spacing w:after="240" w:line="360" w:lineRule="auto"/>
        <w:ind w:left="714" w:right="153" w:hanging="11"/>
        <w:jc w:val="thaiDistribute"/>
        <w:rPr>
          <w:rFonts w:ascii="Times New Roman" w:eastAsia="Times New Roman" w:hAnsi="Times New Roman" w:cs="Times New Roman"/>
          <w:sz w:val="28"/>
          <w:szCs w:val="28"/>
        </w:rPr>
      </w:pPr>
      <w:r w:rsidRPr="00E11FF4">
        <w:rPr>
          <w:rFonts w:ascii="Times New Roman" w:eastAsia="Times New Roman" w:hAnsi="Times New Roman" w:cs="Times New Roman"/>
          <w:sz w:val="28"/>
          <w:szCs w:val="28"/>
        </w:rPr>
        <w:t>Particular care is required when considering the use of systemic corticosteroids in patients with existing or previous history of severe affective disorders in themselves or in their first degree relatives. These would include depressive or manic-depressive illness and previous steroid psychosis.</w:t>
      </w:r>
    </w:p>
    <w:p w14:paraId="629EA49A" w14:textId="3E33E35D" w:rsidR="00AB56F3" w:rsidRPr="00E11FF4" w:rsidRDefault="00000000" w:rsidP="00E11FF4">
      <w:pPr>
        <w:spacing w:after="240" w:line="360" w:lineRule="auto"/>
        <w:ind w:left="714" w:right="153" w:hanging="11"/>
        <w:jc w:val="thaiDistribute"/>
        <w:rPr>
          <w:rFonts w:ascii="Times New Roman" w:hAnsi="Times New Roman" w:cs="Times New Roman"/>
          <w:sz w:val="28"/>
          <w:szCs w:val="28"/>
          <w:u w:val="single"/>
        </w:rPr>
      </w:pPr>
      <w:r w:rsidRPr="00E11FF4">
        <w:rPr>
          <w:rFonts w:ascii="Times New Roman" w:hAnsi="Times New Roman" w:cs="Times New Roman"/>
          <w:sz w:val="28"/>
          <w:szCs w:val="28"/>
          <w:u w:val="single"/>
        </w:rPr>
        <w:t>Tumour lysis syndrome</w:t>
      </w:r>
    </w:p>
    <w:p w14:paraId="75A12D4A" w14:textId="77777777" w:rsidR="00E11FF4" w:rsidRDefault="00000000" w:rsidP="00E11FF4">
      <w:pPr>
        <w:spacing w:after="397" w:line="360" w:lineRule="auto"/>
        <w:ind w:left="715" w:right="155" w:hanging="10"/>
        <w:jc w:val="thaiDistribute"/>
        <w:rPr>
          <w:rFonts w:ascii="Times New Roman" w:eastAsia="Times New Roman" w:hAnsi="Times New Roman" w:cs="Times New Roman"/>
          <w:sz w:val="28"/>
          <w:szCs w:val="28"/>
        </w:rPr>
      </w:pPr>
      <w:r w:rsidRPr="00E11FF4">
        <w:rPr>
          <w:rFonts w:ascii="Times New Roman" w:eastAsia="Times New Roman" w:hAnsi="Times New Roman" w:cs="Times New Roman"/>
          <w:sz w:val="28"/>
          <w:szCs w:val="28"/>
        </w:rPr>
        <w:t>In post marketing experience tumour lysis syndrome (TLS) has been reported in patients with haematological malignancies following the use of dexamethasone alone or in combination with other chemotherapeutic agents. Patient at high risk of TLS, such as patients with high proliferative rate, high tumour burden, and high sensitivity to cytotoxic agents, should be monitored closely and appropriate precaution taken.</w:t>
      </w:r>
    </w:p>
    <w:p w14:paraId="7B0A285C" w14:textId="77777777" w:rsidR="00E11FF4" w:rsidRDefault="00E11FF4" w:rsidP="00E11FF4">
      <w:pPr>
        <w:spacing w:after="397" w:line="360" w:lineRule="auto"/>
        <w:ind w:left="715" w:right="155" w:hanging="10"/>
        <w:jc w:val="thaiDistribute"/>
        <w:rPr>
          <w:rFonts w:ascii="Times New Roman" w:eastAsia="Times New Roman" w:hAnsi="Times New Roman" w:cs="Times New Roman"/>
          <w:sz w:val="28"/>
          <w:szCs w:val="28"/>
        </w:rPr>
      </w:pPr>
    </w:p>
    <w:p w14:paraId="3B5590A6" w14:textId="1255A791" w:rsidR="00AB56F3" w:rsidRPr="00E11FF4" w:rsidRDefault="00000000" w:rsidP="00E11FF4">
      <w:pPr>
        <w:spacing w:after="240" w:line="360" w:lineRule="auto"/>
        <w:ind w:left="714" w:right="153" w:hanging="11"/>
        <w:jc w:val="thaiDistribute"/>
        <w:rPr>
          <w:rFonts w:ascii="Times New Roman" w:hAnsi="Times New Roman" w:cs="Times New Roman"/>
          <w:sz w:val="28"/>
          <w:szCs w:val="28"/>
          <w:u w:val="single"/>
        </w:rPr>
      </w:pPr>
      <w:r w:rsidRPr="00E11FF4">
        <w:rPr>
          <w:rFonts w:ascii="Times New Roman" w:hAnsi="Times New Roman" w:cs="Times New Roman"/>
          <w:sz w:val="28"/>
          <w:szCs w:val="28"/>
          <w:u w:val="single"/>
        </w:rPr>
        <w:lastRenderedPageBreak/>
        <w:t>Visual disturbance</w:t>
      </w:r>
    </w:p>
    <w:p w14:paraId="7EC19241" w14:textId="77777777" w:rsidR="00E11FF4" w:rsidRDefault="00000000" w:rsidP="00E11FF4">
      <w:pPr>
        <w:spacing w:after="240" w:line="360" w:lineRule="auto"/>
        <w:ind w:left="714" w:right="153" w:hanging="11"/>
        <w:jc w:val="thaiDistribute"/>
        <w:rPr>
          <w:rFonts w:ascii="Times New Roman" w:eastAsia="Times New Roman" w:hAnsi="Times New Roman" w:cs="Times New Roman"/>
          <w:sz w:val="28"/>
          <w:szCs w:val="28"/>
        </w:rPr>
      </w:pPr>
      <w:r w:rsidRPr="00E11FF4">
        <w:rPr>
          <w:rFonts w:ascii="Times New Roman" w:eastAsia="Times New Roman" w:hAnsi="Times New Roman" w:cs="Times New Roman"/>
          <w:sz w:val="28"/>
          <w:szCs w:val="28"/>
        </w:rPr>
        <w:t>Visual disturbance may be reported with systemic and topical corticosteroid use. If a patient presents with symptoms such as blurred vision or other visual disturbances, the patient should be considered for referral to an ophthalmologist for evaluation of possible causes which may include cataract, glaucoma or rare diseases such as central serous chorioretinopathy (CSCR) which have been reported after use of systemic and topical corticosteroids.</w:t>
      </w:r>
    </w:p>
    <w:p w14:paraId="4484AC3B" w14:textId="444DFBCC" w:rsidR="00AB56F3" w:rsidRPr="00E11FF4" w:rsidRDefault="00000000" w:rsidP="00E11FF4">
      <w:pPr>
        <w:tabs>
          <w:tab w:val="left" w:pos="2835"/>
        </w:tabs>
        <w:spacing w:after="240" w:line="360" w:lineRule="auto"/>
        <w:ind w:left="714" w:right="153" w:hanging="11"/>
        <w:jc w:val="thaiDistribute"/>
        <w:rPr>
          <w:rFonts w:ascii="Times New Roman" w:hAnsi="Times New Roman" w:cs="Times New Roman"/>
          <w:sz w:val="28"/>
          <w:szCs w:val="28"/>
          <w:u w:val="single"/>
        </w:rPr>
      </w:pPr>
      <w:r w:rsidRPr="00E11FF4">
        <w:rPr>
          <w:rFonts w:ascii="Times New Roman" w:hAnsi="Times New Roman" w:cs="Times New Roman"/>
          <w:sz w:val="28"/>
          <w:szCs w:val="28"/>
          <w:u w:val="single"/>
        </w:rPr>
        <w:t>Preterm neonates</w:t>
      </w:r>
    </w:p>
    <w:p w14:paraId="7FDA8EAF" w14:textId="77777777" w:rsidR="00E11FF4" w:rsidRDefault="00000000" w:rsidP="00E11FF4">
      <w:pPr>
        <w:spacing w:after="240" w:line="360" w:lineRule="auto"/>
        <w:ind w:left="714" w:right="153" w:hanging="11"/>
        <w:jc w:val="thaiDistribute"/>
        <w:rPr>
          <w:rFonts w:ascii="Times New Roman" w:eastAsia="Times New Roman" w:hAnsi="Times New Roman" w:cs="Times New Roman"/>
          <w:sz w:val="28"/>
          <w:szCs w:val="28"/>
        </w:rPr>
      </w:pPr>
      <w:r w:rsidRPr="00E11FF4">
        <w:rPr>
          <w:rFonts w:ascii="Times New Roman" w:eastAsia="Times New Roman" w:hAnsi="Times New Roman" w:cs="Times New Roman"/>
          <w:sz w:val="28"/>
          <w:szCs w:val="28"/>
        </w:rPr>
        <w:t>Available evidence suggests long-term neurodevelopmental adverse events after early treatment (&lt;96hrs) of premature infants with chronic lung disease at starting doses of 0.25mg/kg twice daily.</w:t>
      </w:r>
    </w:p>
    <w:p w14:paraId="3F2613ED" w14:textId="76784ACD" w:rsidR="00AB56F3" w:rsidRPr="00E11FF4" w:rsidRDefault="00000000" w:rsidP="00E11FF4">
      <w:pPr>
        <w:spacing w:after="240" w:line="360" w:lineRule="auto"/>
        <w:ind w:left="714" w:right="153" w:hanging="11"/>
        <w:jc w:val="thaiDistribute"/>
        <w:rPr>
          <w:rFonts w:ascii="Times New Roman" w:hAnsi="Times New Roman" w:cs="Times New Roman"/>
          <w:sz w:val="28"/>
          <w:szCs w:val="28"/>
          <w:u w:val="single"/>
        </w:rPr>
      </w:pPr>
      <w:r w:rsidRPr="00E11FF4">
        <w:rPr>
          <w:rFonts w:ascii="Times New Roman" w:hAnsi="Times New Roman" w:cs="Times New Roman"/>
          <w:sz w:val="28"/>
          <w:szCs w:val="28"/>
          <w:u w:val="single"/>
        </w:rPr>
        <w:t>Paediatric population</w:t>
      </w:r>
    </w:p>
    <w:p w14:paraId="2CABE86F" w14:textId="77777777" w:rsidR="00E11FF4" w:rsidRDefault="00000000" w:rsidP="00E11FF4">
      <w:pPr>
        <w:spacing w:after="240" w:line="360" w:lineRule="auto"/>
        <w:ind w:left="714" w:right="153" w:hanging="11"/>
        <w:jc w:val="thaiDistribute"/>
        <w:rPr>
          <w:rFonts w:ascii="Times New Roman" w:eastAsia="Times New Roman" w:hAnsi="Times New Roman" w:cs="Times New Roman"/>
          <w:sz w:val="28"/>
          <w:szCs w:val="28"/>
        </w:rPr>
      </w:pPr>
      <w:r w:rsidRPr="00E11FF4">
        <w:rPr>
          <w:rFonts w:ascii="Times New Roman" w:eastAsia="Times New Roman" w:hAnsi="Times New Roman" w:cs="Times New Roman"/>
          <w:sz w:val="28"/>
          <w:szCs w:val="28"/>
        </w:rPr>
        <w:t>Corticosteroids cause a dose-dependent inhibition of growth in infancy, childhood, and adolescence, which may be irreversible. Therefore, during long-term treatment with Dexamethasone</w:t>
      </w:r>
      <w:r w:rsidR="00E11FF4">
        <w:rPr>
          <w:rFonts w:ascii="Times New Roman" w:eastAsia="Times New Roman" w:hAnsi="Times New Roman" w:cs="Times New Roman"/>
          <w:sz w:val="28"/>
          <w:szCs w:val="28"/>
        </w:rPr>
        <w:t xml:space="preserve"> </w:t>
      </w:r>
      <w:r w:rsidR="00E11FF4" w:rsidRPr="00E11FF4">
        <w:rPr>
          <w:rFonts w:ascii="Times New Roman" w:eastAsia="Times New Roman" w:hAnsi="Times New Roman" w:cs="Times New Roman"/>
          <w:color w:val="FF0000"/>
          <w:sz w:val="28"/>
          <w:szCs w:val="28"/>
        </w:rPr>
        <w:t xml:space="preserve">&lt;STRENGTH&gt; </w:t>
      </w:r>
      <w:r w:rsidRPr="00E11FF4">
        <w:rPr>
          <w:rFonts w:ascii="Times New Roman" w:eastAsia="Times New Roman" w:hAnsi="Times New Roman" w:cs="Times New Roman"/>
          <w:sz w:val="28"/>
          <w:szCs w:val="28"/>
        </w:rPr>
        <w:t>Oral Solution, the indication should be very strongly presented in children and their growth rate should be checked regularly.</w:t>
      </w:r>
    </w:p>
    <w:p w14:paraId="08CFAD9A" w14:textId="26E14F4C" w:rsidR="00AB56F3" w:rsidRPr="00E11FF4" w:rsidRDefault="00000000" w:rsidP="00E11FF4">
      <w:pPr>
        <w:spacing w:before="240" w:after="240" w:line="360" w:lineRule="auto"/>
        <w:ind w:left="714" w:right="153" w:hanging="11"/>
        <w:jc w:val="thaiDistribute"/>
        <w:rPr>
          <w:rFonts w:ascii="Times New Roman" w:hAnsi="Times New Roman" w:cs="Times New Roman"/>
          <w:sz w:val="28"/>
          <w:szCs w:val="28"/>
          <w:u w:val="single"/>
        </w:rPr>
      </w:pPr>
      <w:r w:rsidRPr="00E11FF4">
        <w:rPr>
          <w:rFonts w:ascii="Times New Roman" w:hAnsi="Times New Roman" w:cs="Times New Roman"/>
          <w:sz w:val="28"/>
          <w:szCs w:val="28"/>
          <w:u w:val="single"/>
        </w:rPr>
        <w:t>Use in the elderly</w:t>
      </w:r>
    </w:p>
    <w:p w14:paraId="1E533A6B" w14:textId="77777777" w:rsidR="00E11FF4" w:rsidRDefault="00000000" w:rsidP="00E11FF4">
      <w:pPr>
        <w:spacing w:after="240" w:line="360" w:lineRule="auto"/>
        <w:ind w:left="714" w:right="153" w:hanging="11"/>
        <w:jc w:val="thaiDistribute"/>
        <w:rPr>
          <w:rFonts w:ascii="Times New Roman" w:eastAsia="Times New Roman" w:hAnsi="Times New Roman" w:cs="Times New Roman"/>
          <w:sz w:val="28"/>
          <w:szCs w:val="28"/>
        </w:rPr>
      </w:pPr>
      <w:r w:rsidRPr="00E11FF4">
        <w:rPr>
          <w:rFonts w:ascii="Times New Roman" w:eastAsia="Times New Roman" w:hAnsi="Times New Roman" w:cs="Times New Roman"/>
          <w:sz w:val="28"/>
          <w:szCs w:val="28"/>
        </w:rPr>
        <w:t xml:space="preserve">The adverse effects of systemic corticosteroids can have serious consequences especially in old age, mainly osteoporosis, hypertension, hypokalemia, diabetes, susceptibility to infection and skin atrophy. </w:t>
      </w:r>
      <w:r w:rsidRPr="00E11FF4">
        <w:rPr>
          <w:rFonts w:ascii="Times New Roman" w:eastAsia="Times New Roman" w:hAnsi="Times New Roman" w:cs="Times New Roman"/>
          <w:sz w:val="28"/>
          <w:szCs w:val="28"/>
        </w:rPr>
        <w:lastRenderedPageBreak/>
        <w:t>Close clinical monitoring is required to prevent life-threatening reactions.</w:t>
      </w:r>
    </w:p>
    <w:p w14:paraId="193A0C37" w14:textId="46394685" w:rsidR="00AB56F3" w:rsidRPr="00E11FF4" w:rsidRDefault="00000000" w:rsidP="00E11FF4">
      <w:pPr>
        <w:spacing w:after="240" w:line="360" w:lineRule="auto"/>
        <w:ind w:left="714" w:right="153" w:hanging="11"/>
        <w:jc w:val="thaiDistribute"/>
        <w:rPr>
          <w:rFonts w:ascii="Times New Roman" w:hAnsi="Times New Roman" w:cs="Times New Roman"/>
          <w:sz w:val="28"/>
          <w:szCs w:val="28"/>
          <w:u w:val="single"/>
        </w:rPr>
      </w:pPr>
      <w:r w:rsidRPr="00E11FF4">
        <w:rPr>
          <w:rFonts w:ascii="Times New Roman" w:hAnsi="Times New Roman" w:cs="Times New Roman"/>
          <w:sz w:val="28"/>
          <w:szCs w:val="28"/>
          <w:u w:val="single"/>
        </w:rPr>
        <w:t>Influence of diagnostic tests</w:t>
      </w:r>
    </w:p>
    <w:p w14:paraId="62E3DEB2" w14:textId="77777777" w:rsidR="00E11FF4" w:rsidRDefault="00000000" w:rsidP="00E11FF4">
      <w:pPr>
        <w:spacing w:after="240" w:line="360" w:lineRule="auto"/>
        <w:ind w:left="731" w:right="227" w:hanging="11"/>
        <w:jc w:val="thaiDistribute"/>
        <w:rPr>
          <w:rFonts w:ascii="Times New Roman" w:eastAsia="Times New Roman" w:hAnsi="Times New Roman" w:cs="Times New Roman"/>
          <w:sz w:val="28"/>
          <w:szCs w:val="28"/>
        </w:rPr>
      </w:pPr>
      <w:r w:rsidRPr="00E11FF4">
        <w:rPr>
          <w:rFonts w:ascii="Times New Roman" w:eastAsia="Times New Roman" w:hAnsi="Times New Roman" w:cs="Times New Roman"/>
          <w:sz w:val="28"/>
          <w:szCs w:val="28"/>
        </w:rPr>
        <w:t>Glucocorticoids can suppress skin reaction to allergy testing. They can also affect the nitroblue tetrazolium test for bacterial infections and cause false-negative results.</w:t>
      </w:r>
    </w:p>
    <w:p w14:paraId="2F89DE27" w14:textId="42A584C9" w:rsidR="00AB56F3" w:rsidRPr="00E11FF4" w:rsidRDefault="00000000" w:rsidP="00E11FF4">
      <w:pPr>
        <w:spacing w:after="240" w:line="360" w:lineRule="auto"/>
        <w:ind w:left="731" w:right="227" w:hanging="11"/>
        <w:jc w:val="thaiDistribute"/>
        <w:rPr>
          <w:rFonts w:ascii="Times New Roman" w:hAnsi="Times New Roman" w:cs="Times New Roman"/>
          <w:sz w:val="28"/>
          <w:szCs w:val="28"/>
          <w:u w:val="single"/>
        </w:rPr>
      </w:pPr>
      <w:r w:rsidRPr="00E11FF4">
        <w:rPr>
          <w:rFonts w:ascii="Times New Roman" w:hAnsi="Times New Roman" w:cs="Times New Roman"/>
          <w:sz w:val="28"/>
          <w:szCs w:val="28"/>
          <w:u w:val="single"/>
        </w:rPr>
        <w:t>Note on doping</w:t>
      </w:r>
    </w:p>
    <w:p w14:paraId="458CBDC8" w14:textId="53F10EDA" w:rsidR="00E11FF4" w:rsidRDefault="00000000" w:rsidP="00E11FF4">
      <w:pPr>
        <w:spacing w:after="240" w:line="360" w:lineRule="auto"/>
        <w:ind w:left="731" w:right="227" w:hanging="11"/>
        <w:jc w:val="thaiDistribute"/>
        <w:rPr>
          <w:rFonts w:ascii="Times New Roman" w:eastAsia="Times New Roman" w:hAnsi="Times New Roman" w:cs="Times New Roman"/>
          <w:sz w:val="28"/>
          <w:szCs w:val="28"/>
        </w:rPr>
      </w:pPr>
      <w:r w:rsidRPr="00E11FF4">
        <w:rPr>
          <w:rFonts w:ascii="Times New Roman" w:eastAsia="Times New Roman" w:hAnsi="Times New Roman" w:cs="Times New Roman"/>
          <w:sz w:val="28"/>
          <w:szCs w:val="28"/>
        </w:rPr>
        <w:t xml:space="preserve">The use of doping tests when taking Dexamethasone </w:t>
      </w:r>
      <w:r w:rsidR="00E11FF4" w:rsidRPr="00E11FF4">
        <w:rPr>
          <w:rFonts w:ascii="Times New Roman" w:eastAsia="Times New Roman" w:hAnsi="Times New Roman" w:cs="Times New Roman"/>
          <w:color w:val="FF0000"/>
          <w:sz w:val="28"/>
          <w:szCs w:val="28"/>
        </w:rPr>
        <w:t xml:space="preserve">&lt;STRENGTH&gt; </w:t>
      </w:r>
      <w:r w:rsidRPr="00E11FF4">
        <w:rPr>
          <w:rFonts w:ascii="Times New Roman" w:eastAsia="Times New Roman" w:hAnsi="Times New Roman" w:cs="Times New Roman"/>
          <w:sz w:val="28"/>
          <w:szCs w:val="28"/>
        </w:rPr>
        <w:t>Oral Solution can lead to positive results.</w:t>
      </w:r>
    </w:p>
    <w:p w14:paraId="6591A4CF" w14:textId="77777777" w:rsidR="00E11FF4" w:rsidRDefault="00000000" w:rsidP="00E11FF4">
      <w:pPr>
        <w:spacing w:after="240" w:line="360" w:lineRule="auto"/>
        <w:ind w:left="731" w:right="227" w:hanging="11"/>
        <w:jc w:val="thaiDistribute"/>
        <w:rPr>
          <w:rFonts w:ascii="Times New Roman" w:eastAsia="Times New Roman" w:hAnsi="Times New Roman" w:cs="Times New Roman"/>
          <w:sz w:val="28"/>
          <w:szCs w:val="28"/>
          <w:u w:val="single"/>
        </w:rPr>
      </w:pPr>
      <w:r w:rsidRPr="00E11FF4">
        <w:rPr>
          <w:rFonts w:ascii="Times New Roman" w:eastAsia="Times New Roman" w:hAnsi="Times New Roman" w:cs="Times New Roman"/>
          <w:sz w:val="28"/>
          <w:szCs w:val="28"/>
          <w:u w:val="single"/>
        </w:rPr>
        <w:t>Excipient Warnings</w:t>
      </w:r>
    </w:p>
    <w:p w14:paraId="5E061CFC" w14:textId="1E600AF9" w:rsidR="00E11FF4" w:rsidRPr="00E11FF4" w:rsidRDefault="00E11FF4" w:rsidP="00E11FF4">
      <w:pPr>
        <w:spacing w:after="240" w:line="360" w:lineRule="auto"/>
        <w:ind w:left="731" w:right="227" w:hanging="11"/>
        <w:jc w:val="thaiDistribute"/>
        <w:rPr>
          <w:rFonts w:ascii="Times New Roman" w:hAnsi="Times New Roman" w:cs="Times New Roman"/>
          <w:sz w:val="28"/>
          <w:szCs w:val="28"/>
          <w:u w:val="single"/>
        </w:rPr>
      </w:pPr>
      <w:r w:rsidRPr="00E11FF4">
        <w:rPr>
          <w:rFonts w:ascii="Times New Roman" w:hAnsi="Times New Roman" w:cs="Times New Roman"/>
          <w:color w:val="FF0000"/>
          <w:sz w:val="28"/>
          <w:szCs w:val="28"/>
        </w:rPr>
        <w:t>&lt;REGARDING THE APPROVAL&gt;</w:t>
      </w:r>
    </w:p>
    <w:p w14:paraId="160EEE41" w14:textId="0ED2C10D" w:rsidR="00AB56F3" w:rsidRPr="00E11FF4" w:rsidRDefault="00000000" w:rsidP="00E11FF4">
      <w:pPr>
        <w:pStyle w:val="ListParagraph"/>
        <w:numPr>
          <w:ilvl w:val="1"/>
          <w:numId w:val="7"/>
        </w:numPr>
        <w:tabs>
          <w:tab w:val="center" w:pos="4455"/>
        </w:tabs>
        <w:spacing w:after="240" w:line="360" w:lineRule="auto"/>
        <w:ind w:left="788" w:hanging="431"/>
        <w:contextualSpacing w:val="0"/>
        <w:jc w:val="thaiDistribute"/>
        <w:rPr>
          <w:rFonts w:ascii="Times New Roman" w:hAnsi="Times New Roman" w:cs="Times New Roman"/>
          <w:sz w:val="28"/>
          <w:szCs w:val="28"/>
        </w:rPr>
      </w:pPr>
      <w:r w:rsidRPr="00E11FF4">
        <w:rPr>
          <w:rFonts w:ascii="Times New Roman" w:eastAsia="Times New Roman" w:hAnsi="Times New Roman" w:cs="Times New Roman"/>
          <w:b/>
          <w:sz w:val="28"/>
          <w:szCs w:val="28"/>
        </w:rPr>
        <w:t>Interaction with other medicinal products and other forms of interaction</w:t>
      </w:r>
    </w:p>
    <w:p w14:paraId="55D6E07F" w14:textId="77777777" w:rsidR="00AB56F3" w:rsidRPr="00E11FF4" w:rsidRDefault="00000000" w:rsidP="00E11FF4">
      <w:pPr>
        <w:pStyle w:val="Heading2"/>
        <w:spacing w:after="348" w:line="360" w:lineRule="auto"/>
        <w:ind w:left="760"/>
        <w:jc w:val="thaiDistribute"/>
        <w:rPr>
          <w:sz w:val="28"/>
          <w:szCs w:val="28"/>
        </w:rPr>
      </w:pPr>
      <w:r w:rsidRPr="00E11FF4">
        <w:rPr>
          <w:sz w:val="28"/>
          <w:szCs w:val="28"/>
        </w:rPr>
        <w:t>Effects of other drugs on Dexamethasone</w:t>
      </w:r>
    </w:p>
    <w:p w14:paraId="2F6F3A69" w14:textId="77777777" w:rsidR="00AB56F3" w:rsidRPr="00E11FF4" w:rsidRDefault="00000000" w:rsidP="00E11FF4">
      <w:pPr>
        <w:spacing w:after="240" w:line="360" w:lineRule="auto"/>
        <w:ind w:left="714" w:hanging="11"/>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u w:val="single" w:color="000000"/>
        </w:rPr>
        <w:t>Effects of other medicinal products on Dexamethasone:</w:t>
      </w:r>
    </w:p>
    <w:p w14:paraId="5920928E" w14:textId="77777777" w:rsidR="00AB56F3" w:rsidRPr="00E11FF4" w:rsidRDefault="00000000" w:rsidP="00E11FF4">
      <w:pPr>
        <w:spacing w:after="240" w:line="360" w:lineRule="auto"/>
        <w:ind w:left="714" w:right="153" w:hanging="11"/>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rPr>
        <w:t xml:space="preserve">Dexamethasone is metabolized via cytochrome P450 3A4 (CYP3A4). Concomitant administration of dexamethasone with inducers of CYP3A4, such as phenytoin, barbiturates, ephedrine, rifabutin, carbamazepine and rifampicin may lead to decreased plasma concentrations of dexamethasone and the dose may need to be increased. Concomitant administration of inhibitors of CYP3A4 such </w:t>
      </w:r>
      <w:r w:rsidRPr="00E11FF4">
        <w:rPr>
          <w:rFonts w:ascii="Times New Roman" w:eastAsia="Times New Roman" w:hAnsi="Times New Roman" w:cs="Times New Roman"/>
          <w:sz w:val="28"/>
          <w:szCs w:val="28"/>
        </w:rPr>
        <w:lastRenderedPageBreak/>
        <w:t>as ketoconazole, ritonavir and erythromycin may lead to increased plasma concentrations of dexamethasone.</w:t>
      </w:r>
    </w:p>
    <w:p w14:paraId="51A32535" w14:textId="77777777" w:rsidR="00AB56F3" w:rsidRPr="00E11FF4" w:rsidRDefault="00000000" w:rsidP="00E11FF4">
      <w:pPr>
        <w:spacing w:after="240" w:line="360" w:lineRule="auto"/>
        <w:ind w:left="714" w:right="153" w:hanging="11"/>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rPr>
        <w:t>Co-treatment with CYP3A inhibitors, including cobicistat-containing products, is expected to increase the risk of systemic side-effects. The combination should be avoided unless the benefit outweighs the increased risk of systemic corticosteroid side-effects, in which case patients should be monitored for systemic corticosteroid side-effects.</w:t>
      </w:r>
    </w:p>
    <w:p w14:paraId="7AD73100" w14:textId="77777777" w:rsidR="00AB56F3" w:rsidRPr="00E11FF4" w:rsidRDefault="00000000" w:rsidP="00E11FF4">
      <w:pPr>
        <w:spacing w:after="240" w:line="360" w:lineRule="auto"/>
        <w:ind w:left="714" w:right="153" w:hanging="11"/>
        <w:jc w:val="both"/>
        <w:rPr>
          <w:rFonts w:ascii="Times New Roman" w:hAnsi="Times New Roman" w:cs="Times New Roman"/>
          <w:sz w:val="28"/>
          <w:szCs w:val="28"/>
        </w:rPr>
      </w:pPr>
      <w:r w:rsidRPr="00E11FF4">
        <w:rPr>
          <w:rFonts w:ascii="Times New Roman" w:eastAsia="Times New Roman" w:hAnsi="Times New Roman" w:cs="Times New Roman"/>
          <w:sz w:val="28"/>
          <w:szCs w:val="28"/>
        </w:rPr>
        <w:t>These interactions may also interfere with dexamethasone suppression tests which, therefore, should be interpreted with caution during administration of substances that affect the metabolism of dexamethasone.</w:t>
      </w:r>
    </w:p>
    <w:p w14:paraId="2C7FC988" w14:textId="77777777" w:rsidR="00AB56F3" w:rsidRPr="00E11FF4" w:rsidRDefault="00000000" w:rsidP="00E11FF4">
      <w:pPr>
        <w:spacing w:after="240" w:line="360" w:lineRule="auto"/>
        <w:ind w:left="714" w:right="153" w:hanging="11"/>
        <w:jc w:val="both"/>
        <w:rPr>
          <w:rFonts w:ascii="Times New Roman" w:hAnsi="Times New Roman" w:cs="Times New Roman"/>
          <w:sz w:val="28"/>
          <w:szCs w:val="28"/>
        </w:rPr>
      </w:pPr>
      <w:r w:rsidRPr="00E11FF4">
        <w:rPr>
          <w:rFonts w:ascii="Times New Roman" w:eastAsia="Times New Roman" w:hAnsi="Times New Roman" w:cs="Times New Roman"/>
          <w:sz w:val="28"/>
          <w:szCs w:val="28"/>
        </w:rPr>
        <w:t>Ketoconazole may increase plasma concentrations of dexamethasone by inhibition of CYP3A4, but may also suppress corticosteroid synthesis in the adrenal and thereby cause adrenal insufficiency at withdrawal of corticosteroid treatment.</w:t>
      </w:r>
    </w:p>
    <w:p w14:paraId="3D633BE6" w14:textId="77777777" w:rsidR="00AB56F3" w:rsidRPr="00E11FF4" w:rsidRDefault="00000000" w:rsidP="00E11FF4">
      <w:pPr>
        <w:spacing w:after="240" w:line="360" w:lineRule="auto"/>
        <w:ind w:left="714" w:right="153" w:hanging="11"/>
        <w:jc w:val="both"/>
        <w:rPr>
          <w:rFonts w:ascii="Times New Roman" w:hAnsi="Times New Roman" w:cs="Times New Roman"/>
          <w:sz w:val="28"/>
          <w:szCs w:val="28"/>
        </w:rPr>
      </w:pPr>
      <w:r w:rsidRPr="00E11FF4">
        <w:rPr>
          <w:rFonts w:ascii="Times New Roman" w:eastAsia="Times New Roman" w:hAnsi="Times New Roman" w:cs="Times New Roman"/>
          <w:sz w:val="28"/>
          <w:szCs w:val="28"/>
        </w:rPr>
        <w:t>Ephedrine may increase the metabolic clearance of corticosteroids, resulting in decreased plasma levels. An increase of the corticosteroid dose might be necessary.</w:t>
      </w:r>
    </w:p>
    <w:p w14:paraId="22FDCA10" w14:textId="77777777" w:rsidR="00AB56F3" w:rsidRPr="00E11FF4" w:rsidRDefault="00000000" w:rsidP="00E11FF4">
      <w:pPr>
        <w:spacing w:after="240" w:line="360" w:lineRule="auto"/>
        <w:ind w:left="714" w:right="153" w:hanging="11"/>
        <w:jc w:val="both"/>
        <w:rPr>
          <w:rFonts w:ascii="Times New Roman" w:hAnsi="Times New Roman" w:cs="Times New Roman"/>
          <w:sz w:val="28"/>
          <w:szCs w:val="28"/>
        </w:rPr>
      </w:pPr>
      <w:r w:rsidRPr="00E11FF4">
        <w:rPr>
          <w:rFonts w:ascii="Times New Roman" w:eastAsia="Times New Roman" w:hAnsi="Times New Roman" w:cs="Times New Roman"/>
          <w:sz w:val="28"/>
          <w:szCs w:val="28"/>
        </w:rPr>
        <w:t>False-negative results in the dexamethasone suppression test in patients being treated with indometacin have been reported.</w:t>
      </w:r>
    </w:p>
    <w:p w14:paraId="7D3D83AD" w14:textId="77777777" w:rsidR="00AB56F3" w:rsidRPr="00E11FF4" w:rsidRDefault="00000000" w:rsidP="00E11FF4">
      <w:pPr>
        <w:spacing w:after="240" w:line="360" w:lineRule="auto"/>
        <w:ind w:left="714" w:right="153" w:hanging="11"/>
        <w:jc w:val="both"/>
        <w:rPr>
          <w:rFonts w:ascii="Times New Roman" w:hAnsi="Times New Roman" w:cs="Times New Roman"/>
          <w:sz w:val="28"/>
          <w:szCs w:val="28"/>
        </w:rPr>
      </w:pPr>
      <w:r w:rsidRPr="00E11FF4">
        <w:rPr>
          <w:rFonts w:ascii="Times New Roman" w:eastAsia="Times New Roman" w:hAnsi="Times New Roman" w:cs="Times New Roman"/>
          <w:sz w:val="28"/>
          <w:szCs w:val="28"/>
        </w:rPr>
        <w:t>Antibiotics: Macrolide antibiotics have been reported to cause a significant decrease in corticosteroid clearance.</w:t>
      </w:r>
    </w:p>
    <w:p w14:paraId="3BF18912" w14:textId="77777777" w:rsidR="00AB56F3" w:rsidRPr="00E11FF4" w:rsidRDefault="00000000" w:rsidP="00E11FF4">
      <w:pPr>
        <w:spacing w:after="240" w:line="360" w:lineRule="auto"/>
        <w:ind w:left="714" w:right="153" w:hanging="11"/>
        <w:jc w:val="both"/>
        <w:rPr>
          <w:rFonts w:ascii="Times New Roman" w:hAnsi="Times New Roman" w:cs="Times New Roman"/>
          <w:sz w:val="28"/>
          <w:szCs w:val="28"/>
        </w:rPr>
      </w:pPr>
      <w:r w:rsidRPr="00E11FF4">
        <w:rPr>
          <w:rFonts w:ascii="Times New Roman" w:eastAsia="Times New Roman" w:hAnsi="Times New Roman" w:cs="Times New Roman"/>
          <w:sz w:val="28"/>
          <w:szCs w:val="28"/>
        </w:rPr>
        <w:lastRenderedPageBreak/>
        <w:t>Anticholinesterases: Concomitant use of anticholinesterase agents and corticosteroids may produce severe weakness in patients with myasthenia gravis. If possible, anticholinesterase agents should be withdrawn at least 24 hours before initiating corticosteroid therapy.</w:t>
      </w:r>
    </w:p>
    <w:p w14:paraId="3C244FBB" w14:textId="77777777" w:rsidR="00AB56F3" w:rsidRPr="00E11FF4" w:rsidRDefault="00000000" w:rsidP="00E11FF4">
      <w:pPr>
        <w:spacing w:after="240" w:line="360" w:lineRule="auto"/>
        <w:ind w:left="714" w:right="153" w:hanging="11"/>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rPr>
        <w:t>Colestyramine: Colestyramine may decrease the absorption of dexamethasone.</w:t>
      </w:r>
    </w:p>
    <w:p w14:paraId="58138AC1" w14:textId="77777777" w:rsidR="00AB56F3" w:rsidRPr="00E11FF4" w:rsidRDefault="00000000" w:rsidP="00E11FF4">
      <w:pPr>
        <w:spacing w:after="240" w:line="360" w:lineRule="auto"/>
        <w:ind w:left="714" w:right="153" w:hanging="11"/>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rPr>
        <w:t>Estrogens, including oral contraceptives: Estrogens may decrease the hepatic metabolism of certain corticosteroids, thereby increasing their effect.</w:t>
      </w:r>
    </w:p>
    <w:p w14:paraId="00BEF572" w14:textId="77777777" w:rsidR="00AB56F3" w:rsidRPr="00E11FF4" w:rsidRDefault="00000000" w:rsidP="00E11FF4">
      <w:pPr>
        <w:spacing w:after="240" w:line="360" w:lineRule="auto"/>
        <w:ind w:left="714" w:right="153" w:hanging="11"/>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rPr>
        <w:t>Aminoglutethimide: Decrease of dexamethasone efficacy, due to its metabolism increase. An adjustment of dexamethasone dosage may be required.</w:t>
      </w:r>
    </w:p>
    <w:p w14:paraId="38DAB609" w14:textId="77777777" w:rsidR="00AB56F3" w:rsidRPr="00E11FF4" w:rsidRDefault="00000000" w:rsidP="00E11FF4">
      <w:pPr>
        <w:spacing w:after="240" w:line="360" w:lineRule="auto"/>
        <w:ind w:left="714" w:right="153" w:hanging="11"/>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rPr>
        <w:t>Gastrointestinal topicals, antacids, charcoal: A decrease in digestive absorption of glucocorticoids have been reported with prednisolone and dexamethasone. Therefore, glucocorticoids should be taken separately from gastrointestinal topicals, antacids or charcoal, with an interval between treatment of at least two hours.</w:t>
      </w:r>
    </w:p>
    <w:p w14:paraId="398643C6" w14:textId="77777777" w:rsidR="00AB56F3" w:rsidRPr="00E11FF4" w:rsidRDefault="00000000" w:rsidP="00E11FF4">
      <w:pPr>
        <w:spacing w:after="240" w:line="360" w:lineRule="auto"/>
        <w:ind w:left="714" w:hanging="11"/>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u w:val="single" w:color="000000"/>
        </w:rPr>
        <w:t>Effects of Dexamethasone on other medicinal products</w:t>
      </w:r>
    </w:p>
    <w:p w14:paraId="6EE2D353" w14:textId="77777777" w:rsidR="00AB56F3" w:rsidRPr="00E11FF4" w:rsidRDefault="00000000" w:rsidP="00E11FF4">
      <w:pPr>
        <w:spacing w:after="240" w:line="360" w:lineRule="auto"/>
        <w:ind w:left="714" w:right="153" w:hanging="11"/>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rPr>
        <w:t>Dexamethasone is a moderate inducer of CYP3A4. Concomitant administration of dexamethasone with substances that are metabolised via CYP3A4 could lead to increased clearance and decreased plasma concentrations of these substances.</w:t>
      </w:r>
    </w:p>
    <w:p w14:paraId="0ED21389" w14:textId="77777777" w:rsidR="00AB56F3" w:rsidRPr="00E11FF4" w:rsidRDefault="00000000" w:rsidP="00E11FF4">
      <w:pPr>
        <w:spacing w:after="306" w:line="360" w:lineRule="auto"/>
        <w:ind w:left="715" w:right="154" w:hanging="10"/>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rPr>
        <w:lastRenderedPageBreak/>
        <w:t>The renal clearance of salicylates is increased by corticosteroids and therefore, salicylate dosage should be reduced along with steroidal withdrawal.</w:t>
      </w:r>
    </w:p>
    <w:p w14:paraId="2C443654" w14:textId="77777777" w:rsidR="00AB56F3" w:rsidRPr="00E11FF4" w:rsidRDefault="00000000" w:rsidP="00E11FF4">
      <w:pPr>
        <w:spacing w:after="240" w:line="360" w:lineRule="auto"/>
        <w:ind w:left="714" w:right="153" w:hanging="11"/>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rPr>
        <w:t>The</w:t>
      </w:r>
      <w:r w:rsidRPr="00E11FF4">
        <w:rPr>
          <w:rFonts w:ascii="Times New Roman" w:eastAsia="Times New Roman" w:hAnsi="Times New Roman" w:cs="Times New Roman"/>
          <w:sz w:val="28"/>
          <w:szCs w:val="28"/>
        </w:rPr>
        <w:tab/>
        <w:t>desired</w:t>
      </w:r>
      <w:r w:rsidRPr="00E11FF4">
        <w:rPr>
          <w:rFonts w:ascii="Times New Roman" w:eastAsia="Times New Roman" w:hAnsi="Times New Roman" w:cs="Times New Roman"/>
          <w:sz w:val="28"/>
          <w:szCs w:val="28"/>
        </w:rPr>
        <w:tab/>
        <w:t>effects</w:t>
      </w:r>
      <w:r w:rsidRPr="00E11FF4">
        <w:rPr>
          <w:rFonts w:ascii="Times New Roman" w:eastAsia="Times New Roman" w:hAnsi="Times New Roman" w:cs="Times New Roman"/>
          <w:sz w:val="28"/>
          <w:szCs w:val="28"/>
        </w:rPr>
        <w:tab/>
        <w:t>of</w:t>
      </w:r>
      <w:r w:rsidRPr="00E11FF4">
        <w:rPr>
          <w:rFonts w:ascii="Times New Roman" w:eastAsia="Times New Roman" w:hAnsi="Times New Roman" w:cs="Times New Roman"/>
          <w:sz w:val="28"/>
          <w:szCs w:val="28"/>
        </w:rPr>
        <w:tab/>
        <w:t>hypoglycaemic</w:t>
      </w:r>
      <w:r w:rsidRPr="00E11FF4">
        <w:rPr>
          <w:rFonts w:ascii="Times New Roman" w:eastAsia="Times New Roman" w:hAnsi="Times New Roman" w:cs="Times New Roman"/>
          <w:sz w:val="28"/>
          <w:szCs w:val="28"/>
        </w:rPr>
        <w:tab/>
        <w:t>agents</w:t>
      </w:r>
      <w:r w:rsidRPr="00E11FF4">
        <w:rPr>
          <w:rFonts w:ascii="Times New Roman" w:eastAsia="Times New Roman" w:hAnsi="Times New Roman" w:cs="Times New Roman"/>
          <w:sz w:val="28"/>
          <w:szCs w:val="28"/>
        </w:rPr>
        <w:tab/>
        <w:t>(including</w:t>
      </w:r>
      <w:r w:rsidRPr="00E11FF4">
        <w:rPr>
          <w:rFonts w:ascii="Times New Roman" w:eastAsia="Times New Roman" w:hAnsi="Times New Roman" w:cs="Times New Roman"/>
          <w:sz w:val="28"/>
          <w:szCs w:val="28"/>
        </w:rPr>
        <w:tab/>
        <w:t>insulin), antihypertensives and diuretics are antagonised by corticosteroids.</w:t>
      </w:r>
    </w:p>
    <w:p w14:paraId="4FE4F9E6" w14:textId="77777777" w:rsidR="00AB56F3" w:rsidRPr="00E11FF4" w:rsidRDefault="00000000" w:rsidP="00E11FF4">
      <w:pPr>
        <w:spacing w:after="240" w:line="360" w:lineRule="auto"/>
        <w:ind w:left="714" w:right="153" w:hanging="11"/>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rPr>
        <w:t>The hypokalaemic effects of acetazolamide, loop diuretics, thiazide diuretics</w:t>
      </w:r>
      <w:r w:rsidRPr="00E11FF4">
        <w:rPr>
          <w:rFonts w:ascii="Times New Roman" w:eastAsia="Times New Roman" w:hAnsi="Times New Roman" w:cs="Times New Roman"/>
          <w:b/>
          <w:sz w:val="28"/>
          <w:szCs w:val="28"/>
        </w:rPr>
        <w:t xml:space="preserve">, </w:t>
      </w:r>
      <w:r w:rsidRPr="00E11FF4">
        <w:rPr>
          <w:rFonts w:ascii="Times New Roman" w:eastAsia="Times New Roman" w:hAnsi="Times New Roman" w:cs="Times New Roman"/>
          <w:sz w:val="28"/>
          <w:szCs w:val="28"/>
        </w:rPr>
        <w:t>amphotericin B injection, potassium depleting agents, corticosteroids (glucomineralo), tetracosactide and carbenoxolone are enhanced. Hypokalaemia predisposes to cardiac arrhythmia especially “torsade de pointes” and increase the toxicity of cardiac glycosides. Hypokalemia should be corrected before corticosteroid treatment initiation. In addition, there have been cases reported in which concomitant use of amphotericin B and hydrocortisone was followed by cardiac enlargement and congestive heart failure.</w:t>
      </w:r>
    </w:p>
    <w:p w14:paraId="1E53CE0A" w14:textId="77777777" w:rsidR="00AB56F3" w:rsidRPr="00E11FF4" w:rsidRDefault="00000000" w:rsidP="00E11FF4">
      <w:pPr>
        <w:spacing w:after="240" w:line="360" w:lineRule="auto"/>
        <w:ind w:left="714" w:right="153" w:hanging="11"/>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rPr>
        <w:t>Sultopride has been linked to ventricular arrhythmias, especially torsade de pointes. This combination is not recommended.</w:t>
      </w:r>
    </w:p>
    <w:p w14:paraId="1014152D" w14:textId="77777777" w:rsidR="00AB56F3" w:rsidRPr="00E11FF4" w:rsidRDefault="00000000" w:rsidP="00E11FF4">
      <w:pPr>
        <w:spacing w:after="240" w:line="360" w:lineRule="auto"/>
        <w:ind w:left="714" w:right="153" w:hanging="11"/>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rPr>
        <w:t>Patients taking NSAIDs should be monitored since the incidence and/or severity of gastro-ulceration may increase. Aspirin should also be used cautiously in conjunction with corticosteroids in hypoprothrombinemia.</w:t>
      </w:r>
    </w:p>
    <w:p w14:paraId="6D7D1405" w14:textId="77777777" w:rsidR="00AB56F3" w:rsidRPr="00E11FF4" w:rsidRDefault="00000000" w:rsidP="00E11FF4">
      <w:pPr>
        <w:spacing w:after="240" w:line="360" w:lineRule="auto"/>
        <w:ind w:left="714" w:right="153" w:hanging="11"/>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rPr>
        <w:t>Antitubercular drugs: Serum concentrations of isoniazid may be decreased.</w:t>
      </w:r>
    </w:p>
    <w:p w14:paraId="7275F841" w14:textId="77777777" w:rsidR="00AB56F3" w:rsidRPr="00E11FF4" w:rsidRDefault="00000000" w:rsidP="00E11FF4">
      <w:pPr>
        <w:spacing w:after="240" w:line="360" w:lineRule="auto"/>
        <w:ind w:left="714" w:right="153" w:hanging="11"/>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rPr>
        <w:lastRenderedPageBreak/>
        <w:t>Ciclosporin: Increased activity of both ciclosporin and corticosteroids may occur when the two are used concurrently. Convulsions have been reported with this concurrent use.</w:t>
      </w:r>
    </w:p>
    <w:p w14:paraId="32C1B9CB" w14:textId="77777777" w:rsidR="00AB56F3" w:rsidRPr="00E11FF4" w:rsidRDefault="00000000" w:rsidP="00E11FF4">
      <w:pPr>
        <w:spacing w:after="240" w:line="360" w:lineRule="auto"/>
        <w:ind w:left="714" w:right="153" w:hanging="11"/>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rPr>
        <w:t>Thalidomide: Co-administration with thalidomide should be employed cautiously, as toxic epidermal necrolysis has been reported with concomitant use.</w:t>
      </w:r>
    </w:p>
    <w:p w14:paraId="4D01750A" w14:textId="77777777" w:rsidR="00AB56F3" w:rsidRPr="00E11FF4" w:rsidRDefault="00000000" w:rsidP="00E11FF4">
      <w:pPr>
        <w:spacing w:after="240" w:line="360" w:lineRule="auto"/>
        <w:ind w:left="714" w:right="153" w:hanging="11"/>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rPr>
        <w:t>Corticosteroids may affect the nitroblue tetrazolium test for bacterial infection and produce false-negative results.</w:t>
      </w:r>
    </w:p>
    <w:p w14:paraId="4BF3E7BC" w14:textId="6D348F67" w:rsidR="00AB56F3" w:rsidRPr="00E11FF4" w:rsidRDefault="00000000" w:rsidP="00E11FF4">
      <w:pPr>
        <w:spacing w:after="240"/>
        <w:ind w:firstLine="703"/>
        <w:rPr>
          <w:rFonts w:ascii="Times New Roman" w:hAnsi="Times New Roman" w:cs="Times New Roman"/>
          <w:sz w:val="28"/>
          <w:szCs w:val="28"/>
        </w:rPr>
      </w:pPr>
      <w:r w:rsidRPr="00E11FF4">
        <w:rPr>
          <w:rFonts w:ascii="Times New Roman" w:hAnsi="Times New Roman" w:cs="Times New Roman"/>
          <w:sz w:val="28"/>
          <w:szCs w:val="28"/>
        </w:rPr>
        <w:t>Vaccines attenuated live</w:t>
      </w:r>
      <w:r w:rsidR="00E11FF4">
        <w:rPr>
          <w:rFonts w:ascii="Times New Roman" w:hAnsi="Times New Roman" w:cs="Times New Roman"/>
          <w:sz w:val="28"/>
          <w:szCs w:val="28"/>
        </w:rPr>
        <w:t xml:space="preserve">: </w:t>
      </w:r>
      <w:r w:rsidRPr="00E11FF4">
        <w:rPr>
          <w:rFonts w:ascii="Times New Roman" w:hAnsi="Times New Roman" w:cs="Times New Roman"/>
          <w:sz w:val="28"/>
          <w:szCs w:val="28"/>
        </w:rPr>
        <w:t>Risk of fatal systemic disease</w:t>
      </w:r>
    </w:p>
    <w:p w14:paraId="1C8CA187" w14:textId="668B720C" w:rsidR="00AB56F3" w:rsidRPr="00E11FF4" w:rsidRDefault="00000000" w:rsidP="00E11FF4">
      <w:pPr>
        <w:spacing w:after="240" w:line="360" w:lineRule="auto"/>
        <w:ind w:left="714" w:right="153" w:hanging="11"/>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rPr>
        <w:t>Praziquantel:</w:t>
      </w:r>
      <w:r w:rsidR="00E11FF4">
        <w:rPr>
          <w:rFonts w:ascii="Times New Roman" w:hAnsi="Times New Roman" w:cs="Times New Roman"/>
          <w:sz w:val="28"/>
          <w:szCs w:val="28"/>
        </w:rPr>
        <w:t xml:space="preserve"> </w:t>
      </w:r>
      <w:r w:rsidRPr="00E11FF4">
        <w:rPr>
          <w:rFonts w:ascii="Times New Roman" w:eastAsia="Times New Roman" w:hAnsi="Times New Roman" w:cs="Times New Roman"/>
          <w:sz w:val="28"/>
          <w:szCs w:val="28"/>
        </w:rPr>
        <w:t>Decrease in praziquantel plasma concentrations, with a risk of treatment failure, due to its hepatic metabolism increased by dexamethasone.</w:t>
      </w:r>
    </w:p>
    <w:p w14:paraId="382542CC" w14:textId="4E284378" w:rsidR="00AB56F3" w:rsidRPr="00E11FF4" w:rsidRDefault="00000000" w:rsidP="00E11FF4">
      <w:pPr>
        <w:spacing w:after="240" w:line="360" w:lineRule="auto"/>
        <w:ind w:left="714" w:right="153" w:hanging="11"/>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rPr>
        <w:t>Oral anticoagulants:</w:t>
      </w:r>
      <w:r w:rsidR="00E11FF4">
        <w:rPr>
          <w:rFonts w:ascii="Times New Roman" w:hAnsi="Times New Roman" w:cs="Times New Roman"/>
          <w:sz w:val="28"/>
          <w:szCs w:val="28"/>
        </w:rPr>
        <w:t xml:space="preserve"> </w:t>
      </w:r>
      <w:r w:rsidRPr="00E11FF4">
        <w:rPr>
          <w:rFonts w:ascii="Times New Roman" w:eastAsia="Times New Roman" w:hAnsi="Times New Roman" w:cs="Times New Roman"/>
          <w:sz w:val="28"/>
          <w:szCs w:val="28"/>
        </w:rPr>
        <w:t>Possible impact of corticosteroid therapy on the metabolism of oral anticoagulants and on clotting factors. At high doses or with treatment for more than 10 days, there is a risk of bleeding specific to corticosteroid therapy (gastrointestinal mucosa, vascular fragility). Patients taking corticosteroids associated with oral anticoagulants should be closely monitored (biological investigations on 8</w:t>
      </w:r>
      <w:r w:rsidRPr="00E11FF4">
        <w:rPr>
          <w:rFonts w:ascii="Times New Roman" w:eastAsia="Times New Roman" w:hAnsi="Times New Roman" w:cs="Times New Roman"/>
          <w:sz w:val="28"/>
          <w:szCs w:val="28"/>
          <w:vertAlign w:val="superscript"/>
        </w:rPr>
        <w:t xml:space="preserve">th </w:t>
      </w:r>
      <w:r w:rsidRPr="00E11FF4">
        <w:rPr>
          <w:rFonts w:ascii="Times New Roman" w:eastAsia="Times New Roman" w:hAnsi="Times New Roman" w:cs="Times New Roman"/>
          <w:sz w:val="28"/>
          <w:szCs w:val="28"/>
        </w:rPr>
        <w:t>day, then every 2 weeks during treatment and after treatment discontinuation)</w:t>
      </w:r>
    </w:p>
    <w:p w14:paraId="3E5B8967" w14:textId="06A9D3D3" w:rsidR="00AB56F3" w:rsidRPr="00E11FF4" w:rsidRDefault="00000000" w:rsidP="00E11FF4">
      <w:pPr>
        <w:spacing w:after="240" w:line="360" w:lineRule="auto"/>
        <w:ind w:left="714" w:right="153" w:hanging="11"/>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rPr>
        <w:t>Insulin, sulfonylureas, metformin:</w:t>
      </w:r>
      <w:r w:rsidR="00E11FF4">
        <w:rPr>
          <w:rFonts w:ascii="Times New Roman" w:hAnsi="Times New Roman" w:cs="Times New Roman"/>
          <w:sz w:val="28"/>
          <w:szCs w:val="28"/>
        </w:rPr>
        <w:t xml:space="preserve"> </w:t>
      </w:r>
      <w:r w:rsidRPr="00E11FF4">
        <w:rPr>
          <w:rFonts w:ascii="Times New Roman" w:eastAsia="Times New Roman" w:hAnsi="Times New Roman" w:cs="Times New Roman"/>
          <w:sz w:val="28"/>
          <w:szCs w:val="28"/>
        </w:rPr>
        <w:t>Increase in blood glucose, with sometimes diabetic ketosis, since corticosteroids impair carbohydrate tolerance. Therefore, blood and urine selfmonitoring should be reinforced by the patient, in particular at the start of treatment.</w:t>
      </w:r>
    </w:p>
    <w:p w14:paraId="660924BC" w14:textId="480579E4" w:rsidR="00AB56F3" w:rsidRPr="00E11FF4" w:rsidRDefault="00000000" w:rsidP="00E11FF4">
      <w:pPr>
        <w:spacing w:after="240" w:line="360" w:lineRule="auto"/>
        <w:ind w:left="714" w:right="153" w:hanging="11"/>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rPr>
        <w:lastRenderedPageBreak/>
        <w:t>Isoniazid:</w:t>
      </w:r>
      <w:r w:rsidR="00E11FF4">
        <w:rPr>
          <w:rFonts w:ascii="Times New Roman" w:hAnsi="Times New Roman" w:cs="Times New Roman"/>
          <w:sz w:val="28"/>
          <w:szCs w:val="28"/>
        </w:rPr>
        <w:t xml:space="preserve"> </w:t>
      </w:r>
      <w:r w:rsidRPr="00E11FF4">
        <w:rPr>
          <w:rFonts w:ascii="Times New Roman" w:eastAsia="Times New Roman" w:hAnsi="Times New Roman" w:cs="Times New Roman"/>
          <w:sz w:val="28"/>
          <w:szCs w:val="28"/>
        </w:rPr>
        <w:t>A decrease in plasma isoniazid levels have been reported with prednisolone. The suggested mechanism is an increase in hepatic metabolism of isoniazid and a decrease in the hepatic metabolism of isoniazid and a decrease in the hepatic metabolism of glucocorticoids. Patients taking isoniazid should be closely monitored.</w:t>
      </w:r>
    </w:p>
    <w:p w14:paraId="07D339E9" w14:textId="4673746B" w:rsidR="00AB56F3" w:rsidRPr="00E11FF4" w:rsidRDefault="00000000" w:rsidP="00E11FF4">
      <w:pPr>
        <w:pStyle w:val="Heading3"/>
        <w:numPr>
          <w:ilvl w:val="1"/>
          <w:numId w:val="7"/>
        </w:numPr>
        <w:tabs>
          <w:tab w:val="center" w:pos="2460"/>
        </w:tabs>
        <w:spacing w:after="240" w:line="360" w:lineRule="auto"/>
        <w:jc w:val="thaiDistribute"/>
        <w:rPr>
          <w:sz w:val="28"/>
          <w:szCs w:val="28"/>
        </w:rPr>
      </w:pPr>
      <w:r w:rsidRPr="00E11FF4">
        <w:rPr>
          <w:sz w:val="28"/>
          <w:szCs w:val="28"/>
        </w:rPr>
        <w:t>Fertility, pregnancy and lactation</w:t>
      </w:r>
    </w:p>
    <w:p w14:paraId="4D614B8D" w14:textId="77777777" w:rsidR="00AB56F3" w:rsidRPr="00E11FF4" w:rsidRDefault="00000000" w:rsidP="00E11FF4">
      <w:pPr>
        <w:spacing w:after="107" w:line="360" w:lineRule="auto"/>
        <w:ind w:left="730" w:hanging="10"/>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u w:val="single" w:color="000000"/>
        </w:rPr>
        <w:t>Pregnancy</w:t>
      </w:r>
    </w:p>
    <w:p w14:paraId="38678444" w14:textId="77777777" w:rsidR="00E11FF4" w:rsidRDefault="00000000" w:rsidP="00E11FF4">
      <w:pPr>
        <w:spacing w:after="240" w:line="360" w:lineRule="auto"/>
        <w:ind w:left="714" w:right="153" w:hanging="11"/>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rPr>
        <w:t>Dexamethasone crosses the placenta. Administration of corticosteroids to pregnant animals can cause abnormalities in foetal development, including cleft palate, intrauterine growth retardation and effects on brain growth and development. There is no evidence that corticosteroids result in an increased incidence of congenital abnormalities, such as cleft palate/lip in man (see Section 5.3). Long-term or repeated corticosteroid therapy in pregnancy increases the risk of intrauterine growth retardation. In newborns exposed to corticosteroids in the prenatal period, there is an increased risk of adrenal insufficiency, which under normal circumstances undergoes spontaneous postnatal regression, and is rarely of clinical significance. Dexamethasone should be prescribed during pregnancy, and particularly in the first trimester, only if the benefit outweighs the risks for the mother and child.</w:t>
      </w:r>
    </w:p>
    <w:p w14:paraId="0EF5EC43" w14:textId="68B9BBD3" w:rsidR="00AB56F3" w:rsidRPr="00E11FF4" w:rsidRDefault="00000000" w:rsidP="00E11FF4">
      <w:pPr>
        <w:spacing w:after="240" w:line="360" w:lineRule="auto"/>
        <w:ind w:left="714" w:right="153" w:hanging="11"/>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u w:val="single" w:color="000000"/>
        </w:rPr>
        <w:t>Breast-feeding</w:t>
      </w:r>
    </w:p>
    <w:p w14:paraId="0B756EBB" w14:textId="77777777" w:rsidR="00AB56F3" w:rsidRPr="00E11FF4" w:rsidRDefault="00000000" w:rsidP="00E11FF4">
      <w:pPr>
        <w:spacing w:after="117" w:line="360" w:lineRule="auto"/>
        <w:ind w:left="715" w:right="155" w:hanging="10"/>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rPr>
        <w:t xml:space="preserve">Glucocorticoids are excreted in breast milk. There are no known risks to infants. Nevertheless, extra caution should be exercised regarding </w:t>
      </w:r>
      <w:r w:rsidRPr="00E11FF4">
        <w:rPr>
          <w:rFonts w:ascii="Times New Roman" w:eastAsia="Times New Roman" w:hAnsi="Times New Roman" w:cs="Times New Roman"/>
          <w:sz w:val="28"/>
          <w:szCs w:val="28"/>
        </w:rPr>
        <w:lastRenderedPageBreak/>
        <w:t>its indication during pregnancy. Should the relevant condition require higher doses, treatment should be discontinued.</w:t>
      </w:r>
    </w:p>
    <w:p w14:paraId="0FDEDDE3" w14:textId="77777777" w:rsidR="00E11FF4" w:rsidRDefault="00000000" w:rsidP="00E11FF4">
      <w:pPr>
        <w:pStyle w:val="Heading3"/>
        <w:numPr>
          <w:ilvl w:val="1"/>
          <w:numId w:val="7"/>
        </w:numPr>
        <w:tabs>
          <w:tab w:val="center" w:pos="2955"/>
        </w:tabs>
        <w:spacing w:after="29" w:line="360" w:lineRule="auto"/>
        <w:jc w:val="thaiDistribute"/>
        <w:rPr>
          <w:sz w:val="28"/>
          <w:szCs w:val="28"/>
        </w:rPr>
      </w:pPr>
      <w:r w:rsidRPr="00E11FF4">
        <w:rPr>
          <w:sz w:val="28"/>
          <w:szCs w:val="28"/>
        </w:rPr>
        <w:t>Effects on ability to drive and use machines</w:t>
      </w:r>
    </w:p>
    <w:p w14:paraId="0EF8090B" w14:textId="3F53D1AF" w:rsidR="00E11FF4" w:rsidRDefault="00000000" w:rsidP="00E11FF4">
      <w:pPr>
        <w:pStyle w:val="Heading3"/>
        <w:tabs>
          <w:tab w:val="center" w:pos="2955"/>
        </w:tabs>
        <w:spacing w:after="240" w:line="360" w:lineRule="auto"/>
        <w:ind w:left="794" w:firstLine="0"/>
        <w:jc w:val="thaiDistribute"/>
        <w:rPr>
          <w:b w:val="0"/>
          <w:bCs/>
          <w:sz w:val="28"/>
          <w:szCs w:val="28"/>
        </w:rPr>
      </w:pPr>
      <w:r w:rsidRPr="00E11FF4">
        <w:rPr>
          <w:b w:val="0"/>
          <w:bCs/>
          <w:sz w:val="28"/>
          <w:szCs w:val="28"/>
        </w:rPr>
        <w:t xml:space="preserve">Dexamethasone </w:t>
      </w:r>
      <w:r w:rsidR="00E11FF4" w:rsidRPr="00E11FF4">
        <w:rPr>
          <w:b w:val="0"/>
          <w:bCs/>
          <w:color w:val="FF0000"/>
          <w:sz w:val="28"/>
          <w:szCs w:val="28"/>
        </w:rPr>
        <w:t xml:space="preserve">&lt;STRENGTH&gt; </w:t>
      </w:r>
      <w:r w:rsidRPr="00E11FF4">
        <w:rPr>
          <w:b w:val="0"/>
          <w:bCs/>
          <w:sz w:val="28"/>
          <w:szCs w:val="28"/>
        </w:rPr>
        <w:t>Oral Solution has no or negligible influence on the ability to drive and use machines.</w:t>
      </w:r>
      <w:r w:rsidR="00E11FF4">
        <w:rPr>
          <w:b w:val="0"/>
          <w:bCs/>
          <w:sz w:val="28"/>
          <w:szCs w:val="28"/>
        </w:rPr>
        <w:t xml:space="preserve"> </w:t>
      </w:r>
    </w:p>
    <w:p w14:paraId="21C886AD" w14:textId="4CD84437" w:rsidR="00AB56F3" w:rsidRPr="00E11FF4" w:rsidRDefault="00000000" w:rsidP="00E11FF4">
      <w:pPr>
        <w:pStyle w:val="Heading3"/>
        <w:tabs>
          <w:tab w:val="center" w:pos="2955"/>
        </w:tabs>
        <w:spacing w:after="240" w:line="360" w:lineRule="auto"/>
        <w:ind w:left="794" w:firstLine="0"/>
        <w:jc w:val="thaiDistribute"/>
        <w:rPr>
          <w:b w:val="0"/>
          <w:bCs/>
          <w:sz w:val="28"/>
          <w:szCs w:val="28"/>
        </w:rPr>
      </w:pPr>
      <w:r w:rsidRPr="00E11FF4">
        <w:rPr>
          <w:b w:val="0"/>
          <w:bCs/>
          <w:sz w:val="28"/>
          <w:szCs w:val="28"/>
        </w:rPr>
        <w:t xml:space="preserve">So far, there is no evidence that Dexamethasone </w:t>
      </w:r>
      <w:r w:rsidR="00E11FF4" w:rsidRPr="00E11FF4">
        <w:rPr>
          <w:b w:val="0"/>
          <w:bCs/>
          <w:color w:val="FF0000"/>
          <w:sz w:val="28"/>
          <w:szCs w:val="28"/>
        </w:rPr>
        <w:t xml:space="preserve">&lt;STRENGTH&gt; </w:t>
      </w:r>
      <w:r w:rsidRPr="00E11FF4">
        <w:rPr>
          <w:b w:val="0"/>
          <w:bCs/>
          <w:sz w:val="28"/>
          <w:szCs w:val="28"/>
        </w:rPr>
        <w:t>Oral Solution affects the ability to drive or operate machinery.</w:t>
      </w:r>
    </w:p>
    <w:p w14:paraId="24E356B8" w14:textId="0C5215FE" w:rsidR="00AB56F3" w:rsidRPr="00E11FF4" w:rsidRDefault="00000000" w:rsidP="00E11FF4">
      <w:pPr>
        <w:pStyle w:val="Heading3"/>
        <w:numPr>
          <w:ilvl w:val="1"/>
          <w:numId w:val="7"/>
        </w:numPr>
        <w:tabs>
          <w:tab w:val="center" w:pos="1710"/>
        </w:tabs>
        <w:spacing w:after="240" w:line="264" w:lineRule="auto"/>
        <w:ind w:left="788" w:hanging="431"/>
        <w:rPr>
          <w:sz w:val="28"/>
          <w:szCs w:val="28"/>
        </w:rPr>
      </w:pPr>
      <w:r w:rsidRPr="00E11FF4">
        <w:rPr>
          <w:sz w:val="28"/>
          <w:szCs w:val="28"/>
        </w:rPr>
        <w:t>Undesirable effects</w:t>
      </w:r>
    </w:p>
    <w:p w14:paraId="32546397" w14:textId="77777777" w:rsidR="00E11FF4" w:rsidRDefault="00000000" w:rsidP="00E11FF4">
      <w:pPr>
        <w:spacing w:after="281" w:line="360" w:lineRule="auto"/>
        <w:ind w:left="730" w:right="224" w:hanging="10"/>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rPr>
        <w:t>The incidence of anticipated adverse effects, such as the suppression of the hypothalamic-pituitary-adrenal axis correlates with the relative potency of the substance, dose, time of day of administration and duration of treatment. During a short-term therapy, in compliance with the dosage recommendations and close monitoring of patients, the risk of side effects is low. The side effects below have been reported with the following frequency:</w:t>
      </w:r>
    </w:p>
    <w:p w14:paraId="6ADBA6CB" w14:textId="042C4B60" w:rsidR="00AB56F3" w:rsidRPr="00E11FF4" w:rsidRDefault="00000000" w:rsidP="00E11FF4">
      <w:pPr>
        <w:spacing w:after="281" w:line="360" w:lineRule="auto"/>
        <w:ind w:left="730" w:right="224" w:hanging="10"/>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rPr>
        <w:t>Not known (cannot be estimated from the available data).</w:t>
      </w:r>
    </w:p>
    <w:tbl>
      <w:tblPr>
        <w:tblStyle w:val="TableGrid"/>
        <w:tblW w:w="8380" w:type="dxa"/>
        <w:tblInd w:w="-33" w:type="dxa"/>
        <w:tblCellMar>
          <w:top w:w="0" w:type="dxa"/>
          <w:left w:w="38" w:type="dxa"/>
          <w:bottom w:w="0" w:type="dxa"/>
          <w:right w:w="17" w:type="dxa"/>
        </w:tblCellMar>
        <w:tblLook w:val="04A0" w:firstRow="1" w:lastRow="0" w:firstColumn="1" w:lastColumn="0" w:noHBand="0" w:noVBand="1"/>
      </w:tblPr>
      <w:tblGrid>
        <w:gridCol w:w="2760"/>
        <w:gridCol w:w="1540"/>
        <w:gridCol w:w="4080"/>
      </w:tblGrid>
      <w:tr w:rsidR="00AB56F3" w:rsidRPr="00E11FF4" w14:paraId="23DC2FA7" w14:textId="77777777" w:rsidTr="00E11FF4">
        <w:trPr>
          <w:cantSplit/>
          <w:trHeight w:val="300"/>
          <w:tblHeader/>
        </w:trPr>
        <w:tc>
          <w:tcPr>
            <w:tcW w:w="2760" w:type="dxa"/>
            <w:tcBorders>
              <w:top w:val="single" w:sz="8" w:space="0" w:color="000000"/>
              <w:left w:val="single" w:sz="8" w:space="0" w:color="000000"/>
              <w:bottom w:val="single" w:sz="8" w:space="0" w:color="000000"/>
              <w:right w:val="single" w:sz="8" w:space="0" w:color="000000"/>
            </w:tcBorders>
            <w:vAlign w:val="center"/>
          </w:tcPr>
          <w:p w14:paraId="079AB1EF" w14:textId="77777777" w:rsidR="00AB56F3" w:rsidRPr="00E11FF4" w:rsidRDefault="00000000" w:rsidP="00E11FF4">
            <w:pPr>
              <w:spacing w:after="0"/>
              <w:ind w:left="83"/>
              <w:jc w:val="center"/>
              <w:rPr>
                <w:rFonts w:ascii="Times New Roman" w:hAnsi="Times New Roman" w:cs="Times New Roman"/>
                <w:sz w:val="24"/>
                <w:szCs w:val="24"/>
              </w:rPr>
            </w:pPr>
            <w:r w:rsidRPr="00E11FF4">
              <w:rPr>
                <w:rFonts w:ascii="Times New Roman" w:eastAsia="Times New Roman" w:hAnsi="Times New Roman" w:cs="Times New Roman"/>
                <w:b/>
                <w:sz w:val="24"/>
                <w:szCs w:val="24"/>
              </w:rPr>
              <w:t>System organ class</w:t>
            </w:r>
          </w:p>
        </w:tc>
        <w:tc>
          <w:tcPr>
            <w:tcW w:w="1540" w:type="dxa"/>
            <w:tcBorders>
              <w:top w:val="single" w:sz="8" w:space="0" w:color="000000"/>
              <w:left w:val="single" w:sz="8" w:space="0" w:color="000000"/>
              <w:bottom w:val="single" w:sz="8" w:space="0" w:color="000000"/>
              <w:right w:val="single" w:sz="8" w:space="0" w:color="000000"/>
            </w:tcBorders>
            <w:vAlign w:val="center"/>
          </w:tcPr>
          <w:p w14:paraId="54A8DEC9" w14:textId="77777777" w:rsidR="00AB56F3" w:rsidRPr="00E11FF4" w:rsidRDefault="00000000" w:rsidP="00E11FF4">
            <w:pPr>
              <w:spacing w:after="0"/>
              <w:ind w:left="73"/>
              <w:jc w:val="center"/>
              <w:rPr>
                <w:rFonts w:ascii="Times New Roman" w:hAnsi="Times New Roman" w:cs="Times New Roman"/>
                <w:sz w:val="24"/>
                <w:szCs w:val="24"/>
              </w:rPr>
            </w:pPr>
            <w:r w:rsidRPr="00E11FF4">
              <w:rPr>
                <w:rFonts w:ascii="Times New Roman" w:eastAsia="Times New Roman" w:hAnsi="Times New Roman" w:cs="Times New Roman"/>
                <w:b/>
                <w:sz w:val="24"/>
                <w:szCs w:val="24"/>
              </w:rPr>
              <w:t>Frequency</w:t>
            </w:r>
          </w:p>
        </w:tc>
        <w:tc>
          <w:tcPr>
            <w:tcW w:w="4080" w:type="dxa"/>
            <w:tcBorders>
              <w:top w:val="single" w:sz="8" w:space="0" w:color="000000"/>
              <w:left w:val="single" w:sz="8" w:space="0" w:color="000000"/>
              <w:bottom w:val="single" w:sz="8" w:space="0" w:color="000000"/>
              <w:right w:val="single" w:sz="8" w:space="0" w:color="000000"/>
            </w:tcBorders>
            <w:vAlign w:val="center"/>
          </w:tcPr>
          <w:p w14:paraId="6D77B15D" w14:textId="77777777" w:rsidR="00AB56F3" w:rsidRPr="00E11FF4" w:rsidRDefault="00000000" w:rsidP="00E11FF4">
            <w:pPr>
              <w:spacing w:after="0"/>
              <w:ind w:left="93"/>
              <w:jc w:val="center"/>
              <w:rPr>
                <w:rFonts w:ascii="Times New Roman" w:hAnsi="Times New Roman" w:cs="Times New Roman"/>
                <w:sz w:val="24"/>
                <w:szCs w:val="24"/>
              </w:rPr>
            </w:pPr>
            <w:r w:rsidRPr="00E11FF4">
              <w:rPr>
                <w:rFonts w:ascii="Times New Roman" w:eastAsia="Times New Roman" w:hAnsi="Times New Roman" w:cs="Times New Roman"/>
                <w:b/>
                <w:sz w:val="24"/>
                <w:szCs w:val="24"/>
              </w:rPr>
              <w:t>Undesirable effects</w:t>
            </w:r>
          </w:p>
        </w:tc>
      </w:tr>
      <w:tr w:rsidR="00AB56F3" w:rsidRPr="00E11FF4" w14:paraId="414274C5" w14:textId="77777777" w:rsidTr="00E11FF4">
        <w:trPr>
          <w:trHeight w:val="1320"/>
        </w:trPr>
        <w:tc>
          <w:tcPr>
            <w:tcW w:w="2760" w:type="dxa"/>
            <w:tcBorders>
              <w:top w:val="single" w:sz="8" w:space="0" w:color="000000"/>
              <w:left w:val="single" w:sz="8" w:space="0" w:color="000000"/>
              <w:bottom w:val="single" w:sz="8" w:space="0" w:color="000000"/>
              <w:right w:val="single" w:sz="8" w:space="0" w:color="000000"/>
            </w:tcBorders>
          </w:tcPr>
          <w:p w14:paraId="511CDEAD" w14:textId="77777777" w:rsidR="00AB56F3" w:rsidRPr="00E11FF4" w:rsidRDefault="00000000" w:rsidP="00E11FF4">
            <w:pPr>
              <w:spacing w:after="0"/>
              <w:ind w:left="10"/>
              <w:rPr>
                <w:rFonts w:ascii="Times New Roman" w:hAnsi="Times New Roman" w:cs="Times New Roman"/>
                <w:sz w:val="24"/>
                <w:szCs w:val="24"/>
              </w:rPr>
            </w:pPr>
            <w:r w:rsidRPr="00E11FF4">
              <w:rPr>
                <w:rFonts w:ascii="Times New Roman" w:eastAsia="Times New Roman" w:hAnsi="Times New Roman" w:cs="Times New Roman"/>
                <w:sz w:val="24"/>
                <w:szCs w:val="24"/>
              </w:rPr>
              <w:t>Infections and infestations</w:t>
            </w:r>
          </w:p>
        </w:tc>
        <w:tc>
          <w:tcPr>
            <w:tcW w:w="1540" w:type="dxa"/>
            <w:tcBorders>
              <w:top w:val="single" w:sz="8" w:space="0" w:color="000000"/>
              <w:left w:val="single" w:sz="8" w:space="0" w:color="000000"/>
              <w:bottom w:val="single" w:sz="8" w:space="0" w:color="000000"/>
              <w:right w:val="single" w:sz="8" w:space="0" w:color="000000"/>
            </w:tcBorders>
          </w:tcPr>
          <w:p w14:paraId="5B9777DA" w14:textId="77777777" w:rsidR="00AB56F3" w:rsidRPr="00E11FF4" w:rsidRDefault="00000000" w:rsidP="00E11FF4">
            <w:pPr>
              <w:spacing w:after="0"/>
              <w:ind w:left="10"/>
              <w:rPr>
                <w:rFonts w:ascii="Times New Roman" w:hAnsi="Times New Roman" w:cs="Times New Roman"/>
                <w:sz w:val="24"/>
                <w:szCs w:val="24"/>
              </w:rPr>
            </w:pPr>
            <w:r w:rsidRPr="00E11FF4">
              <w:rPr>
                <w:rFonts w:ascii="Times New Roman" w:eastAsia="Times New Roman" w:hAnsi="Times New Roman" w:cs="Times New Roman"/>
                <w:sz w:val="24"/>
                <w:szCs w:val="24"/>
              </w:rPr>
              <w:t>Not known</w:t>
            </w:r>
          </w:p>
        </w:tc>
        <w:tc>
          <w:tcPr>
            <w:tcW w:w="4080" w:type="dxa"/>
            <w:tcBorders>
              <w:top w:val="single" w:sz="8" w:space="0" w:color="000000"/>
              <w:left w:val="single" w:sz="8" w:space="0" w:color="000000"/>
              <w:bottom w:val="single" w:sz="8" w:space="0" w:color="000000"/>
              <w:right w:val="single" w:sz="8" w:space="0" w:color="000000"/>
            </w:tcBorders>
          </w:tcPr>
          <w:p w14:paraId="5CDDBA57" w14:textId="77777777" w:rsidR="00AB56F3" w:rsidRPr="00E11FF4" w:rsidRDefault="00000000" w:rsidP="00E11FF4">
            <w:pPr>
              <w:spacing w:after="0"/>
              <w:rPr>
                <w:rFonts w:ascii="Times New Roman" w:hAnsi="Times New Roman" w:cs="Times New Roman"/>
                <w:sz w:val="24"/>
                <w:szCs w:val="24"/>
              </w:rPr>
            </w:pPr>
            <w:r w:rsidRPr="00E11FF4">
              <w:rPr>
                <w:rFonts w:ascii="Times New Roman" w:eastAsia="Times New Roman" w:hAnsi="Times New Roman" w:cs="Times New Roman"/>
                <w:sz w:val="24"/>
                <w:szCs w:val="24"/>
              </w:rPr>
              <w:t>Increased susceptibility to, or exacerbation of, (latent) infections with masking of clinical symptoms, opportunistic infections, reactivation of latent tuberculosis, exacerbation of eye infections, candidiasis</w:t>
            </w:r>
          </w:p>
        </w:tc>
      </w:tr>
      <w:tr w:rsidR="00AB56F3" w:rsidRPr="00E11FF4" w14:paraId="006F7C74" w14:textId="77777777" w:rsidTr="00E11FF4">
        <w:trPr>
          <w:trHeight w:val="580"/>
        </w:trPr>
        <w:tc>
          <w:tcPr>
            <w:tcW w:w="2760" w:type="dxa"/>
            <w:tcBorders>
              <w:top w:val="single" w:sz="8" w:space="0" w:color="000000"/>
              <w:left w:val="single" w:sz="8" w:space="0" w:color="000000"/>
              <w:bottom w:val="single" w:sz="8" w:space="0" w:color="000000"/>
              <w:right w:val="single" w:sz="8" w:space="0" w:color="000000"/>
            </w:tcBorders>
          </w:tcPr>
          <w:p w14:paraId="2D868940" w14:textId="77777777" w:rsidR="00AB56F3" w:rsidRPr="00E11FF4" w:rsidRDefault="00000000" w:rsidP="00E11FF4">
            <w:pPr>
              <w:spacing w:after="0"/>
              <w:ind w:left="10"/>
              <w:rPr>
                <w:rFonts w:ascii="Times New Roman" w:hAnsi="Times New Roman" w:cs="Times New Roman"/>
                <w:sz w:val="24"/>
                <w:szCs w:val="24"/>
              </w:rPr>
            </w:pPr>
            <w:r w:rsidRPr="00E11FF4">
              <w:rPr>
                <w:rFonts w:ascii="Times New Roman" w:eastAsia="Times New Roman" w:hAnsi="Times New Roman" w:cs="Times New Roman"/>
                <w:sz w:val="24"/>
                <w:szCs w:val="24"/>
              </w:rPr>
              <w:t>Blood and lymphatic system disorders</w:t>
            </w:r>
          </w:p>
        </w:tc>
        <w:tc>
          <w:tcPr>
            <w:tcW w:w="1540" w:type="dxa"/>
            <w:tcBorders>
              <w:top w:val="single" w:sz="8" w:space="0" w:color="000000"/>
              <w:left w:val="single" w:sz="8" w:space="0" w:color="000000"/>
              <w:bottom w:val="single" w:sz="8" w:space="0" w:color="000000"/>
              <w:right w:val="single" w:sz="8" w:space="0" w:color="000000"/>
            </w:tcBorders>
          </w:tcPr>
          <w:p w14:paraId="1D4C345E" w14:textId="77777777" w:rsidR="00AB56F3" w:rsidRPr="00E11FF4" w:rsidRDefault="00000000" w:rsidP="00E11FF4">
            <w:pPr>
              <w:spacing w:after="0"/>
              <w:ind w:left="10"/>
              <w:rPr>
                <w:rFonts w:ascii="Times New Roman" w:hAnsi="Times New Roman" w:cs="Times New Roman"/>
                <w:sz w:val="24"/>
                <w:szCs w:val="24"/>
              </w:rPr>
            </w:pPr>
            <w:r w:rsidRPr="00E11FF4">
              <w:rPr>
                <w:rFonts w:ascii="Times New Roman" w:eastAsia="Times New Roman" w:hAnsi="Times New Roman" w:cs="Times New Roman"/>
                <w:sz w:val="24"/>
                <w:szCs w:val="24"/>
              </w:rPr>
              <w:t>Not known</w:t>
            </w:r>
          </w:p>
        </w:tc>
        <w:tc>
          <w:tcPr>
            <w:tcW w:w="4080" w:type="dxa"/>
            <w:tcBorders>
              <w:top w:val="single" w:sz="8" w:space="0" w:color="000000"/>
              <w:left w:val="single" w:sz="8" w:space="0" w:color="000000"/>
              <w:bottom w:val="single" w:sz="8" w:space="0" w:color="000000"/>
              <w:right w:val="single" w:sz="8" w:space="0" w:color="000000"/>
            </w:tcBorders>
          </w:tcPr>
          <w:p w14:paraId="0F81C501" w14:textId="77777777" w:rsidR="00AB56F3" w:rsidRPr="00E11FF4" w:rsidRDefault="00000000" w:rsidP="00E11FF4">
            <w:pPr>
              <w:spacing w:after="0"/>
              <w:rPr>
                <w:rFonts w:ascii="Times New Roman" w:hAnsi="Times New Roman" w:cs="Times New Roman"/>
                <w:sz w:val="24"/>
                <w:szCs w:val="24"/>
              </w:rPr>
            </w:pPr>
            <w:r w:rsidRPr="00E11FF4">
              <w:rPr>
                <w:rFonts w:ascii="Times New Roman" w:eastAsia="Times New Roman" w:hAnsi="Times New Roman" w:cs="Times New Roman"/>
                <w:sz w:val="24"/>
                <w:szCs w:val="24"/>
              </w:rPr>
              <w:t>Leukocytosis, lymphopenia, eosinopenia, polycythemia</w:t>
            </w:r>
          </w:p>
        </w:tc>
      </w:tr>
      <w:tr w:rsidR="00AB56F3" w:rsidRPr="00E11FF4" w14:paraId="55048927" w14:textId="77777777" w:rsidTr="00E11FF4">
        <w:trPr>
          <w:cantSplit/>
          <w:trHeight w:val="820"/>
        </w:trPr>
        <w:tc>
          <w:tcPr>
            <w:tcW w:w="2760" w:type="dxa"/>
            <w:tcBorders>
              <w:top w:val="single" w:sz="8" w:space="0" w:color="000000"/>
              <w:left w:val="single" w:sz="8" w:space="0" w:color="000000"/>
              <w:bottom w:val="single" w:sz="8" w:space="0" w:color="000000"/>
              <w:right w:val="single" w:sz="8" w:space="0" w:color="000000"/>
            </w:tcBorders>
          </w:tcPr>
          <w:p w14:paraId="50060D63" w14:textId="77777777" w:rsidR="00AB56F3" w:rsidRPr="00E11FF4" w:rsidRDefault="00000000" w:rsidP="00E11FF4">
            <w:pPr>
              <w:spacing w:after="0"/>
              <w:ind w:left="10"/>
              <w:rPr>
                <w:rFonts w:ascii="Times New Roman" w:hAnsi="Times New Roman" w:cs="Times New Roman"/>
                <w:sz w:val="24"/>
                <w:szCs w:val="24"/>
              </w:rPr>
            </w:pPr>
            <w:r w:rsidRPr="00E11FF4">
              <w:rPr>
                <w:rFonts w:ascii="Times New Roman" w:eastAsia="Times New Roman" w:hAnsi="Times New Roman" w:cs="Times New Roman"/>
                <w:sz w:val="24"/>
                <w:szCs w:val="24"/>
              </w:rPr>
              <w:lastRenderedPageBreak/>
              <w:t>Immune system disorders</w:t>
            </w:r>
          </w:p>
        </w:tc>
        <w:tc>
          <w:tcPr>
            <w:tcW w:w="1540" w:type="dxa"/>
            <w:tcBorders>
              <w:top w:val="single" w:sz="8" w:space="0" w:color="000000"/>
              <w:left w:val="single" w:sz="8" w:space="0" w:color="000000"/>
              <w:bottom w:val="single" w:sz="8" w:space="0" w:color="000000"/>
              <w:right w:val="single" w:sz="8" w:space="0" w:color="000000"/>
            </w:tcBorders>
          </w:tcPr>
          <w:p w14:paraId="133C5EFE" w14:textId="77777777" w:rsidR="00AB56F3" w:rsidRPr="00E11FF4" w:rsidRDefault="00000000" w:rsidP="00E11FF4">
            <w:pPr>
              <w:spacing w:after="0"/>
              <w:ind w:left="10"/>
              <w:rPr>
                <w:rFonts w:ascii="Times New Roman" w:hAnsi="Times New Roman" w:cs="Times New Roman"/>
                <w:sz w:val="24"/>
                <w:szCs w:val="24"/>
              </w:rPr>
            </w:pPr>
            <w:r w:rsidRPr="00E11FF4">
              <w:rPr>
                <w:rFonts w:ascii="Times New Roman" w:eastAsia="Times New Roman" w:hAnsi="Times New Roman" w:cs="Times New Roman"/>
                <w:sz w:val="24"/>
                <w:szCs w:val="24"/>
              </w:rPr>
              <w:t>Not known</w:t>
            </w:r>
          </w:p>
        </w:tc>
        <w:tc>
          <w:tcPr>
            <w:tcW w:w="4080" w:type="dxa"/>
            <w:tcBorders>
              <w:top w:val="single" w:sz="8" w:space="0" w:color="000000"/>
              <w:left w:val="single" w:sz="8" w:space="0" w:color="000000"/>
              <w:bottom w:val="single" w:sz="8" w:space="0" w:color="000000"/>
              <w:right w:val="single" w:sz="8" w:space="0" w:color="000000"/>
            </w:tcBorders>
          </w:tcPr>
          <w:p w14:paraId="0E14F4EB" w14:textId="77777777" w:rsidR="00AB56F3" w:rsidRPr="00E11FF4" w:rsidRDefault="00000000" w:rsidP="00E11FF4">
            <w:pPr>
              <w:spacing w:after="0"/>
              <w:rPr>
                <w:rFonts w:ascii="Times New Roman" w:hAnsi="Times New Roman" w:cs="Times New Roman"/>
                <w:sz w:val="24"/>
                <w:szCs w:val="24"/>
              </w:rPr>
            </w:pPr>
            <w:r w:rsidRPr="00E11FF4">
              <w:rPr>
                <w:rFonts w:ascii="Times New Roman" w:eastAsia="Times New Roman" w:hAnsi="Times New Roman" w:cs="Times New Roman"/>
                <w:sz w:val="24"/>
                <w:szCs w:val="24"/>
              </w:rPr>
              <w:t>Hypersensitivity reactions including anaphylaxis, immunosuppression (see also under “Infections and parasitic diseases”)</w:t>
            </w:r>
          </w:p>
        </w:tc>
      </w:tr>
      <w:tr w:rsidR="00AB56F3" w:rsidRPr="00E11FF4" w14:paraId="06664CD1" w14:textId="77777777" w:rsidTr="00E11FF4">
        <w:trPr>
          <w:trHeight w:val="1320"/>
        </w:trPr>
        <w:tc>
          <w:tcPr>
            <w:tcW w:w="2760" w:type="dxa"/>
            <w:tcBorders>
              <w:top w:val="single" w:sz="8" w:space="0" w:color="000000"/>
              <w:left w:val="single" w:sz="8" w:space="0" w:color="000000"/>
              <w:bottom w:val="single" w:sz="8" w:space="0" w:color="000000"/>
              <w:right w:val="single" w:sz="8" w:space="0" w:color="000000"/>
            </w:tcBorders>
          </w:tcPr>
          <w:p w14:paraId="2A0E7656" w14:textId="77777777" w:rsidR="00AB56F3" w:rsidRPr="00E11FF4" w:rsidRDefault="00000000" w:rsidP="00E11FF4">
            <w:pPr>
              <w:spacing w:after="0"/>
              <w:ind w:left="10"/>
              <w:rPr>
                <w:rFonts w:ascii="Times New Roman" w:hAnsi="Times New Roman" w:cs="Times New Roman"/>
                <w:sz w:val="24"/>
                <w:szCs w:val="24"/>
              </w:rPr>
            </w:pPr>
            <w:r w:rsidRPr="00E11FF4">
              <w:rPr>
                <w:rFonts w:ascii="Times New Roman" w:eastAsia="Times New Roman" w:hAnsi="Times New Roman" w:cs="Times New Roman"/>
                <w:sz w:val="24"/>
                <w:szCs w:val="24"/>
              </w:rPr>
              <w:t>Endocrine disorders</w:t>
            </w:r>
          </w:p>
        </w:tc>
        <w:tc>
          <w:tcPr>
            <w:tcW w:w="1540" w:type="dxa"/>
            <w:tcBorders>
              <w:top w:val="single" w:sz="8" w:space="0" w:color="000000"/>
              <w:left w:val="single" w:sz="8" w:space="0" w:color="000000"/>
              <w:bottom w:val="single" w:sz="8" w:space="0" w:color="000000"/>
              <w:right w:val="single" w:sz="8" w:space="0" w:color="000000"/>
            </w:tcBorders>
          </w:tcPr>
          <w:p w14:paraId="07DE7A91" w14:textId="77777777" w:rsidR="00AB56F3" w:rsidRPr="00E11FF4" w:rsidRDefault="00000000" w:rsidP="00E11FF4">
            <w:pPr>
              <w:spacing w:after="0"/>
              <w:ind w:left="10"/>
              <w:rPr>
                <w:rFonts w:ascii="Times New Roman" w:hAnsi="Times New Roman" w:cs="Times New Roman"/>
                <w:sz w:val="24"/>
                <w:szCs w:val="24"/>
              </w:rPr>
            </w:pPr>
            <w:r w:rsidRPr="00E11FF4">
              <w:rPr>
                <w:rFonts w:ascii="Times New Roman" w:eastAsia="Times New Roman" w:hAnsi="Times New Roman" w:cs="Times New Roman"/>
                <w:sz w:val="24"/>
                <w:szCs w:val="24"/>
              </w:rPr>
              <w:t>Not known</w:t>
            </w:r>
          </w:p>
        </w:tc>
        <w:tc>
          <w:tcPr>
            <w:tcW w:w="4080" w:type="dxa"/>
            <w:tcBorders>
              <w:top w:val="single" w:sz="8" w:space="0" w:color="000000"/>
              <w:left w:val="single" w:sz="8" w:space="0" w:color="000000"/>
              <w:bottom w:val="single" w:sz="8" w:space="0" w:color="000000"/>
              <w:right w:val="single" w:sz="8" w:space="0" w:color="000000"/>
            </w:tcBorders>
          </w:tcPr>
          <w:p w14:paraId="7D10BE6D" w14:textId="4AC612CB" w:rsidR="00AB56F3" w:rsidRPr="00E11FF4" w:rsidRDefault="00000000" w:rsidP="00E11FF4">
            <w:pPr>
              <w:spacing w:after="0"/>
              <w:rPr>
                <w:rFonts w:ascii="Times New Roman" w:hAnsi="Times New Roman" w:cs="Times New Roman"/>
                <w:sz w:val="24"/>
                <w:szCs w:val="24"/>
              </w:rPr>
            </w:pPr>
            <w:r w:rsidRPr="00E11FF4">
              <w:rPr>
                <w:rFonts w:ascii="Times New Roman" w:eastAsia="Times New Roman" w:hAnsi="Times New Roman" w:cs="Times New Roman"/>
                <w:sz w:val="24"/>
                <w:szCs w:val="24"/>
              </w:rPr>
              <w:t>Suppression of the hypothalamic-pituitaryadrenal axis and induction of Cushing's syndrome (typical symptoms: full-moon face, plethora, truncal obesity), secondary</w:t>
            </w:r>
            <w:r w:rsidR="00E11FF4" w:rsidRPr="00E11FF4">
              <w:rPr>
                <w:rFonts w:ascii="Times New Roman" w:eastAsia="Times New Roman" w:hAnsi="Times New Roman" w:cs="Times New Roman"/>
                <w:sz w:val="24"/>
                <w:szCs w:val="24"/>
              </w:rPr>
              <w:t xml:space="preserve"> </w:t>
            </w:r>
            <w:r w:rsidR="00E11FF4" w:rsidRPr="00E11FF4">
              <w:rPr>
                <w:rFonts w:ascii="Times New Roman" w:eastAsia="Times New Roman" w:hAnsi="Times New Roman" w:cs="Times New Roman"/>
                <w:sz w:val="24"/>
                <w:szCs w:val="24"/>
              </w:rPr>
              <w:t>adrenal and pituitary insufficiency (especially in stress such as trauma or surgery)</w:t>
            </w:r>
          </w:p>
        </w:tc>
      </w:tr>
      <w:tr w:rsidR="00E11FF4" w:rsidRPr="00E11FF4" w14:paraId="025EE362" w14:textId="77777777" w:rsidTr="00E11FF4">
        <w:trPr>
          <w:trHeight w:val="1320"/>
        </w:trPr>
        <w:tc>
          <w:tcPr>
            <w:tcW w:w="2760" w:type="dxa"/>
            <w:tcBorders>
              <w:top w:val="single" w:sz="8" w:space="0" w:color="000000"/>
              <w:left w:val="single" w:sz="8" w:space="0" w:color="000000"/>
              <w:bottom w:val="single" w:sz="8" w:space="0" w:color="000000"/>
              <w:right w:val="single" w:sz="8" w:space="0" w:color="000000"/>
            </w:tcBorders>
          </w:tcPr>
          <w:p w14:paraId="7063ECDC" w14:textId="25B79D65" w:rsidR="00E11FF4" w:rsidRPr="00E11FF4" w:rsidRDefault="00E11FF4" w:rsidP="00E11FF4">
            <w:pPr>
              <w:spacing w:after="0"/>
              <w:ind w:left="10"/>
              <w:rPr>
                <w:rFonts w:ascii="Times New Roman" w:eastAsia="Times New Roman" w:hAnsi="Times New Roman" w:cs="Times New Roman"/>
                <w:sz w:val="24"/>
                <w:szCs w:val="24"/>
              </w:rPr>
            </w:pPr>
            <w:r w:rsidRPr="00E11FF4">
              <w:rPr>
                <w:rFonts w:ascii="Times New Roman" w:eastAsia="Times New Roman" w:hAnsi="Times New Roman" w:cs="Times New Roman"/>
                <w:sz w:val="24"/>
                <w:szCs w:val="24"/>
              </w:rPr>
              <w:t>Metabolism and nutrition disorders</w:t>
            </w:r>
          </w:p>
        </w:tc>
        <w:tc>
          <w:tcPr>
            <w:tcW w:w="1540" w:type="dxa"/>
            <w:tcBorders>
              <w:top w:val="single" w:sz="8" w:space="0" w:color="000000"/>
              <w:left w:val="single" w:sz="8" w:space="0" w:color="000000"/>
              <w:bottom w:val="single" w:sz="8" w:space="0" w:color="000000"/>
              <w:right w:val="single" w:sz="8" w:space="0" w:color="000000"/>
            </w:tcBorders>
          </w:tcPr>
          <w:p w14:paraId="44829E9F" w14:textId="7B5D8B41" w:rsidR="00E11FF4" w:rsidRPr="00E11FF4" w:rsidRDefault="00E11FF4" w:rsidP="00E11FF4">
            <w:pPr>
              <w:spacing w:after="0"/>
              <w:ind w:left="10"/>
              <w:rPr>
                <w:rFonts w:ascii="Times New Roman" w:eastAsia="Times New Roman" w:hAnsi="Times New Roman" w:cs="Times New Roman"/>
                <w:sz w:val="24"/>
                <w:szCs w:val="24"/>
              </w:rPr>
            </w:pPr>
            <w:r w:rsidRPr="00E11FF4">
              <w:rPr>
                <w:rFonts w:ascii="Times New Roman" w:eastAsia="Times New Roman" w:hAnsi="Times New Roman" w:cs="Times New Roman"/>
                <w:sz w:val="24"/>
                <w:szCs w:val="24"/>
              </w:rPr>
              <w:t>Not known</w:t>
            </w:r>
          </w:p>
        </w:tc>
        <w:tc>
          <w:tcPr>
            <w:tcW w:w="4080" w:type="dxa"/>
            <w:tcBorders>
              <w:top w:val="single" w:sz="8" w:space="0" w:color="000000"/>
              <w:left w:val="single" w:sz="8" w:space="0" w:color="000000"/>
              <w:bottom w:val="single" w:sz="8" w:space="0" w:color="000000"/>
              <w:right w:val="single" w:sz="8" w:space="0" w:color="000000"/>
            </w:tcBorders>
          </w:tcPr>
          <w:p w14:paraId="620C0669" w14:textId="535B2934" w:rsidR="00E11FF4" w:rsidRPr="00E11FF4" w:rsidRDefault="00E11FF4" w:rsidP="00E11FF4">
            <w:pPr>
              <w:spacing w:after="0"/>
              <w:rPr>
                <w:rFonts w:ascii="Times New Roman" w:eastAsia="Times New Roman" w:hAnsi="Times New Roman" w:cs="Times New Roman"/>
                <w:sz w:val="24"/>
                <w:szCs w:val="24"/>
              </w:rPr>
            </w:pPr>
            <w:r w:rsidRPr="00E11FF4">
              <w:rPr>
                <w:rFonts w:ascii="Times New Roman" w:eastAsia="Times New Roman" w:hAnsi="Times New Roman" w:cs="Times New Roman"/>
                <w:sz w:val="24"/>
                <w:szCs w:val="24"/>
              </w:rPr>
              <w:t>Weight gain, negative protein and calcium balance, increased appetite, sodium and water retention, potassium loss (caution: rhythm disorders), hypokalemic alkalosis, manifestation of latent diabetes mellitus, impaired carbohydrate tolerance with increased dose requirements of antidiabetic therapy, hypercholesterolemia, hypertriglyceridemia</w:t>
            </w:r>
          </w:p>
        </w:tc>
      </w:tr>
      <w:tr w:rsidR="00E11FF4" w:rsidRPr="00E11FF4" w14:paraId="5A06E9F6" w14:textId="77777777" w:rsidTr="00E11FF4">
        <w:trPr>
          <w:trHeight w:val="1320"/>
        </w:trPr>
        <w:tc>
          <w:tcPr>
            <w:tcW w:w="2760" w:type="dxa"/>
            <w:tcBorders>
              <w:top w:val="single" w:sz="8" w:space="0" w:color="000000"/>
              <w:left w:val="single" w:sz="8" w:space="0" w:color="000000"/>
              <w:bottom w:val="single" w:sz="8" w:space="0" w:color="000000"/>
              <w:right w:val="single" w:sz="8" w:space="0" w:color="000000"/>
            </w:tcBorders>
          </w:tcPr>
          <w:p w14:paraId="70590C66" w14:textId="7D19B56B" w:rsidR="00E11FF4" w:rsidRPr="00E11FF4" w:rsidRDefault="00E11FF4" w:rsidP="00E11FF4">
            <w:pPr>
              <w:spacing w:after="0"/>
              <w:ind w:left="10"/>
              <w:rPr>
                <w:rFonts w:ascii="Times New Roman" w:eastAsia="Times New Roman" w:hAnsi="Times New Roman" w:cs="Times New Roman"/>
                <w:sz w:val="24"/>
                <w:szCs w:val="24"/>
              </w:rPr>
            </w:pPr>
            <w:r w:rsidRPr="00E11FF4">
              <w:rPr>
                <w:rFonts w:ascii="Times New Roman" w:eastAsia="Times New Roman" w:hAnsi="Times New Roman" w:cs="Times New Roman"/>
                <w:sz w:val="24"/>
                <w:szCs w:val="24"/>
              </w:rPr>
              <w:t>Psychiatric disorders</w:t>
            </w:r>
          </w:p>
        </w:tc>
        <w:tc>
          <w:tcPr>
            <w:tcW w:w="1540" w:type="dxa"/>
            <w:tcBorders>
              <w:top w:val="single" w:sz="8" w:space="0" w:color="000000"/>
              <w:left w:val="single" w:sz="8" w:space="0" w:color="000000"/>
              <w:bottom w:val="single" w:sz="8" w:space="0" w:color="000000"/>
              <w:right w:val="single" w:sz="8" w:space="0" w:color="000000"/>
            </w:tcBorders>
          </w:tcPr>
          <w:p w14:paraId="233D906E" w14:textId="2A2B3E6D" w:rsidR="00E11FF4" w:rsidRPr="00E11FF4" w:rsidRDefault="00E11FF4" w:rsidP="00E11FF4">
            <w:pPr>
              <w:spacing w:after="0"/>
              <w:ind w:left="10"/>
              <w:rPr>
                <w:rFonts w:ascii="Times New Roman" w:eastAsia="Times New Roman" w:hAnsi="Times New Roman" w:cs="Times New Roman"/>
                <w:sz w:val="24"/>
                <w:szCs w:val="24"/>
              </w:rPr>
            </w:pPr>
            <w:r w:rsidRPr="00E11FF4">
              <w:rPr>
                <w:rFonts w:ascii="Times New Roman" w:eastAsia="Times New Roman" w:hAnsi="Times New Roman" w:cs="Times New Roman"/>
                <w:sz w:val="24"/>
                <w:szCs w:val="24"/>
              </w:rPr>
              <w:t>Not known</w:t>
            </w:r>
          </w:p>
        </w:tc>
        <w:tc>
          <w:tcPr>
            <w:tcW w:w="4080" w:type="dxa"/>
            <w:tcBorders>
              <w:top w:val="single" w:sz="8" w:space="0" w:color="000000"/>
              <w:left w:val="single" w:sz="8" w:space="0" w:color="000000"/>
              <w:bottom w:val="single" w:sz="8" w:space="0" w:color="000000"/>
              <w:right w:val="single" w:sz="8" w:space="0" w:color="000000"/>
            </w:tcBorders>
          </w:tcPr>
          <w:p w14:paraId="0BDA8AAE" w14:textId="317EB8A8" w:rsidR="00E11FF4" w:rsidRPr="00E11FF4" w:rsidRDefault="00E11FF4" w:rsidP="00E11FF4">
            <w:pPr>
              <w:spacing w:after="0"/>
              <w:rPr>
                <w:rFonts w:ascii="Times New Roman" w:eastAsia="Times New Roman" w:hAnsi="Times New Roman" w:cs="Times New Roman"/>
                <w:sz w:val="24"/>
                <w:szCs w:val="24"/>
              </w:rPr>
            </w:pPr>
            <w:r w:rsidRPr="00E11FF4">
              <w:rPr>
                <w:rFonts w:ascii="Times New Roman" w:eastAsia="Times New Roman" w:hAnsi="Times New Roman" w:cs="Times New Roman"/>
                <w:sz w:val="24"/>
                <w:szCs w:val="24"/>
              </w:rPr>
              <w:t>Psychological dependence, depression, insomnia, aggravated schizophrenia, mental illness, from euphoria to manifest psychosis</w:t>
            </w:r>
          </w:p>
        </w:tc>
      </w:tr>
      <w:tr w:rsidR="00E11FF4" w:rsidRPr="00E11FF4" w14:paraId="2ED1AA6C" w14:textId="77777777" w:rsidTr="00E11FF4">
        <w:trPr>
          <w:trHeight w:val="1320"/>
        </w:trPr>
        <w:tc>
          <w:tcPr>
            <w:tcW w:w="2760" w:type="dxa"/>
            <w:tcBorders>
              <w:top w:val="single" w:sz="8" w:space="0" w:color="000000"/>
              <w:left w:val="single" w:sz="8" w:space="0" w:color="000000"/>
              <w:bottom w:val="single" w:sz="8" w:space="0" w:color="000000"/>
              <w:right w:val="single" w:sz="8" w:space="0" w:color="000000"/>
            </w:tcBorders>
          </w:tcPr>
          <w:p w14:paraId="58FBBE5D" w14:textId="1DA01E16" w:rsidR="00E11FF4" w:rsidRPr="00E11FF4" w:rsidRDefault="00E11FF4" w:rsidP="00E11FF4">
            <w:pPr>
              <w:spacing w:after="0"/>
              <w:ind w:left="10"/>
              <w:rPr>
                <w:rFonts w:ascii="Times New Roman" w:eastAsia="Times New Roman" w:hAnsi="Times New Roman" w:cs="Times New Roman"/>
                <w:sz w:val="24"/>
                <w:szCs w:val="24"/>
              </w:rPr>
            </w:pPr>
            <w:r w:rsidRPr="00E11FF4">
              <w:rPr>
                <w:rFonts w:ascii="Times New Roman" w:eastAsia="Times New Roman" w:hAnsi="Times New Roman" w:cs="Times New Roman"/>
                <w:sz w:val="24"/>
                <w:szCs w:val="24"/>
              </w:rPr>
              <w:t>Nervous system disorders</w:t>
            </w:r>
          </w:p>
        </w:tc>
        <w:tc>
          <w:tcPr>
            <w:tcW w:w="1540" w:type="dxa"/>
            <w:tcBorders>
              <w:top w:val="single" w:sz="8" w:space="0" w:color="000000"/>
              <w:left w:val="single" w:sz="8" w:space="0" w:color="000000"/>
              <w:bottom w:val="single" w:sz="8" w:space="0" w:color="000000"/>
              <w:right w:val="single" w:sz="8" w:space="0" w:color="000000"/>
            </w:tcBorders>
          </w:tcPr>
          <w:p w14:paraId="4CC2ED25" w14:textId="6AC817C4" w:rsidR="00E11FF4" w:rsidRPr="00E11FF4" w:rsidRDefault="00E11FF4" w:rsidP="00E11FF4">
            <w:pPr>
              <w:spacing w:after="0"/>
              <w:ind w:left="10"/>
              <w:rPr>
                <w:rFonts w:ascii="Times New Roman" w:eastAsia="Times New Roman" w:hAnsi="Times New Roman" w:cs="Times New Roman"/>
                <w:sz w:val="24"/>
                <w:szCs w:val="24"/>
              </w:rPr>
            </w:pPr>
            <w:r w:rsidRPr="00E11FF4">
              <w:rPr>
                <w:rFonts w:ascii="Times New Roman" w:eastAsia="Times New Roman" w:hAnsi="Times New Roman" w:cs="Times New Roman"/>
                <w:sz w:val="24"/>
                <w:szCs w:val="24"/>
              </w:rPr>
              <w:t>Not known</w:t>
            </w:r>
          </w:p>
        </w:tc>
        <w:tc>
          <w:tcPr>
            <w:tcW w:w="4080" w:type="dxa"/>
            <w:tcBorders>
              <w:top w:val="single" w:sz="8" w:space="0" w:color="000000"/>
              <w:left w:val="single" w:sz="8" w:space="0" w:color="000000"/>
              <w:bottom w:val="single" w:sz="8" w:space="0" w:color="000000"/>
              <w:right w:val="single" w:sz="8" w:space="0" w:color="000000"/>
            </w:tcBorders>
          </w:tcPr>
          <w:p w14:paraId="6D108BD7" w14:textId="286417EA" w:rsidR="00E11FF4" w:rsidRPr="00E11FF4" w:rsidRDefault="00E11FF4" w:rsidP="00E11FF4">
            <w:pPr>
              <w:spacing w:after="0"/>
              <w:rPr>
                <w:rFonts w:ascii="Times New Roman" w:eastAsia="Times New Roman" w:hAnsi="Times New Roman" w:cs="Times New Roman"/>
                <w:sz w:val="24"/>
                <w:szCs w:val="24"/>
              </w:rPr>
            </w:pPr>
            <w:r w:rsidRPr="00E11FF4">
              <w:rPr>
                <w:rFonts w:ascii="Times New Roman" w:eastAsia="Times New Roman" w:hAnsi="Times New Roman" w:cs="Times New Roman"/>
                <w:sz w:val="24"/>
                <w:szCs w:val="24"/>
              </w:rPr>
              <w:t>Increased intracranial pressure with papilloedema in children (pseudotumor cerebri) usually following discontinuation of treatment; manifestation of latent epilepsy, increased seizures in overt epilepsy</w:t>
            </w:r>
          </w:p>
        </w:tc>
      </w:tr>
      <w:tr w:rsidR="00E11FF4" w:rsidRPr="00E11FF4" w14:paraId="7B58AD6C" w14:textId="77777777" w:rsidTr="00E11FF4">
        <w:trPr>
          <w:trHeight w:val="1320"/>
        </w:trPr>
        <w:tc>
          <w:tcPr>
            <w:tcW w:w="2760" w:type="dxa"/>
            <w:tcBorders>
              <w:top w:val="single" w:sz="8" w:space="0" w:color="000000"/>
              <w:left w:val="single" w:sz="8" w:space="0" w:color="000000"/>
              <w:bottom w:val="single" w:sz="8" w:space="0" w:color="000000"/>
              <w:right w:val="single" w:sz="8" w:space="0" w:color="000000"/>
            </w:tcBorders>
          </w:tcPr>
          <w:p w14:paraId="12A960C0" w14:textId="03E8C7F6" w:rsidR="00E11FF4" w:rsidRPr="00E11FF4" w:rsidRDefault="00E11FF4" w:rsidP="00E11FF4">
            <w:pPr>
              <w:spacing w:after="0"/>
              <w:ind w:left="10"/>
              <w:rPr>
                <w:rFonts w:ascii="Times New Roman" w:eastAsia="Times New Roman" w:hAnsi="Times New Roman" w:cs="Times New Roman"/>
                <w:sz w:val="24"/>
                <w:szCs w:val="24"/>
              </w:rPr>
            </w:pPr>
            <w:r w:rsidRPr="00E11FF4">
              <w:rPr>
                <w:rFonts w:ascii="Times New Roman" w:eastAsia="Times New Roman" w:hAnsi="Times New Roman" w:cs="Times New Roman"/>
                <w:sz w:val="24"/>
                <w:szCs w:val="24"/>
              </w:rPr>
              <w:t>Eye disorders</w:t>
            </w:r>
          </w:p>
        </w:tc>
        <w:tc>
          <w:tcPr>
            <w:tcW w:w="1540" w:type="dxa"/>
            <w:tcBorders>
              <w:top w:val="single" w:sz="8" w:space="0" w:color="000000"/>
              <w:left w:val="single" w:sz="8" w:space="0" w:color="000000"/>
              <w:bottom w:val="single" w:sz="8" w:space="0" w:color="000000"/>
              <w:right w:val="single" w:sz="8" w:space="0" w:color="000000"/>
            </w:tcBorders>
          </w:tcPr>
          <w:p w14:paraId="06F1551C" w14:textId="1A9A5A82" w:rsidR="00E11FF4" w:rsidRPr="00E11FF4" w:rsidRDefault="00E11FF4" w:rsidP="00E11FF4">
            <w:pPr>
              <w:spacing w:after="0"/>
              <w:ind w:left="10"/>
              <w:rPr>
                <w:rFonts w:ascii="Times New Roman" w:eastAsia="Times New Roman" w:hAnsi="Times New Roman" w:cs="Times New Roman"/>
                <w:sz w:val="24"/>
                <w:szCs w:val="24"/>
              </w:rPr>
            </w:pPr>
            <w:r w:rsidRPr="00E11FF4">
              <w:rPr>
                <w:rFonts w:ascii="Times New Roman" w:eastAsia="Times New Roman" w:hAnsi="Times New Roman" w:cs="Times New Roman"/>
                <w:sz w:val="24"/>
                <w:szCs w:val="24"/>
              </w:rPr>
              <w:t>Not known</w:t>
            </w:r>
          </w:p>
        </w:tc>
        <w:tc>
          <w:tcPr>
            <w:tcW w:w="4080" w:type="dxa"/>
            <w:tcBorders>
              <w:top w:val="single" w:sz="8" w:space="0" w:color="000000"/>
              <w:left w:val="single" w:sz="8" w:space="0" w:color="000000"/>
              <w:bottom w:val="single" w:sz="8" w:space="0" w:color="000000"/>
              <w:right w:val="single" w:sz="8" w:space="0" w:color="000000"/>
            </w:tcBorders>
          </w:tcPr>
          <w:p w14:paraId="278C6FD7" w14:textId="77777777" w:rsidR="00E11FF4" w:rsidRPr="00E11FF4" w:rsidRDefault="00E11FF4" w:rsidP="00E11FF4">
            <w:pPr>
              <w:spacing w:after="0" w:line="266" w:lineRule="auto"/>
              <w:ind w:left="38"/>
              <w:rPr>
                <w:rFonts w:ascii="Times New Roman" w:hAnsi="Times New Roman" w:cs="Times New Roman"/>
                <w:sz w:val="24"/>
                <w:szCs w:val="24"/>
              </w:rPr>
            </w:pPr>
            <w:r w:rsidRPr="00E11FF4">
              <w:rPr>
                <w:rFonts w:ascii="Times New Roman" w:eastAsia="Times New Roman" w:hAnsi="Times New Roman" w:cs="Times New Roman"/>
                <w:sz w:val="24"/>
                <w:szCs w:val="24"/>
              </w:rPr>
              <w:t>Elevated intraocular pressure, glaucoma, papilloedema, cataract, mainly with posterior subcapsular opacity, corneal and scleral atrophy, increased ophthalmic viral, fungal and bacterial infections, worsening of symptoms associated with corneal ulcers,</w:t>
            </w:r>
          </w:p>
          <w:p w14:paraId="51AB58A8" w14:textId="77777777" w:rsidR="00E11FF4" w:rsidRPr="00E11FF4" w:rsidRDefault="00E11FF4" w:rsidP="00E11FF4">
            <w:pPr>
              <w:spacing w:after="5"/>
              <w:ind w:left="38"/>
              <w:rPr>
                <w:rFonts w:ascii="Times New Roman" w:hAnsi="Times New Roman" w:cs="Times New Roman"/>
                <w:sz w:val="24"/>
                <w:szCs w:val="24"/>
              </w:rPr>
            </w:pPr>
            <w:r w:rsidRPr="00E11FF4">
              <w:rPr>
                <w:rFonts w:ascii="Times New Roman" w:eastAsia="Times New Roman" w:hAnsi="Times New Roman" w:cs="Times New Roman"/>
                <w:sz w:val="24"/>
                <w:szCs w:val="24"/>
              </w:rPr>
              <w:t>Chorioretinopathy,</w:t>
            </w:r>
          </w:p>
          <w:p w14:paraId="735ABEDA" w14:textId="3574FECC" w:rsidR="00E11FF4" w:rsidRPr="00E11FF4" w:rsidRDefault="00E11FF4" w:rsidP="00E11FF4">
            <w:pPr>
              <w:spacing w:after="0"/>
              <w:rPr>
                <w:rFonts w:ascii="Times New Roman" w:eastAsia="Times New Roman" w:hAnsi="Times New Roman" w:cs="Times New Roman"/>
                <w:sz w:val="24"/>
                <w:szCs w:val="24"/>
              </w:rPr>
            </w:pPr>
            <w:r w:rsidRPr="00E11FF4">
              <w:rPr>
                <w:rFonts w:ascii="Times New Roman" w:eastAsia="Times New Roman" w:hAnsi="Times New Roman" w:cs="Times New Roman"/>
                <w:sz w:val="24"/>
                <w:szCs w:val="24"/>
              </w:rPr>
              <w:t>Vision, blurred (see also section 4.4)</w:t>
            </w:r>
          </w:p>
        </w:tc>
      </w:tr>
      <w:tr w:rsidR="00E11FF4" w:rsidRPr="00E11FF4" w14:paraId="32A039C7" w14:textId="77777777" w:rsidTr="00E11FF4">
        <w:trPr>
          <w:trHeight w:val="1320"/>
        </w:trPr>
        <w:tc>
          <w:tcPr>
            <w:tcW w:w="2760" w:type="dxa"/>
            <w:tcBorders>
              <w:top w:val="single" w:sz="8" w:space="0" w:color="000000"/>
              <w:left w:val="single" w:sz="8" w:space="0" w:color="000000"/>
              <w:bottom w:val="single" w:sz="8" w:space="0" w:color="000000"/>
              <w:right w:val="single" w:sz="8" w:space="0" w:color="000000"/>
            </w:tcBorders>
          </w:tcPr>
          <w:p w14:paraId="04234464" w14:textId="0A974091" w:rsidR="00E11FF4" w:rsidRPr="00E11FF4" w:rsidRDefault="00E11FF4" w:rsidP="00E11FF4">
            <w:pPr>
              <w:spacing w:after="0"/>
              <w:ind w:left="10"/>
              <w:rPr>
                <w:rFonts w:ascii="Times New Roman" w:eastAsia="Times New Roman" w:hAnsi="Times New Roman" w:cs="Times New Roman"/>
                <w:sz w:val="24"/>
                <w:szCs w:val="24"/>
              </w:rPr>
            </w:pPr>
            <w:r w:rsidRPr="00E11FF4">
              <w:rPr>
                <w:rFonts w:ascii="Times New Roman" w:eastAsia="Times New Roman" w:hAnsi="Times New Roman" w:cs="Times New Roman"/>
                <w:sz w:val="24"/>
                <w:szCs w:val="24"/>
              </w:rPr>
              <w:lastRenderedPageBreak/>
              <w:t>Cardiac disorders</w:t>
            </w:r>
          </w:p>
        </w:tc>
        <w:tc>
          <w:tcPr>
            <w:tcW w:w="1540" w:type="dxa"/>
            <w:tcBorders>
              <w:top w:val="single" w:sz="8" w:space="0" w:color="000000"/>
              <w:left w:val="single" w:sz="8" w:space="0" w:color="000000"/>
              <w:bottom w:val="single" w:sz="8" w:space="0" w:color="000000"/>
              <w:right w:val="single" w:sz="8" w:space="0" w:color="000000"/>
            </w:tcBorders>
          </w:tcPr>
          <w:p w14:paraId="58036A8C" w14:textId="7C1E018E" w:rsidR="00E11FF4" w:rsidRPr="00E11FF4" w:rsidRDefault="00E11FF4" w:rsidP="00E11FF4">
            <w:pPr>
              <w:spacing w:after="0"/>
              <w:ind w:left="10"/>
              <w:rPr>
                <w:rFonts w:ascii="Times New Roman" w:eastAsia="Times New Roman" w:hAnsi="Times New Roman" w:cs="Times New Roman"/>
                <w:sz w:val="24"/>
                <w:szCs w:val="24"/>
              </w:rPr>
            </w:pPr>
            <w:r w:rsidRPr="00E11FF4">
              <w:rPr>
                <w:rFonts w:ascii="Times New Roman" w:eastAsia="Times New Roman" w:hAnsi="Times New Roman" w:cs="Times New Roman"/>
                <w:sz w:val="24"/>
                <w:szCs w:val="24"/>
              </w:rPr>
              <w:t>Not known</w:t>
            </w:r>
          </w:p>
        </w:tc>
        <w:tc>
          <w:tcPr>
            <w:tcW w:w="4080" w:type="dxa"/>
            <w:tcBorders>
              <w:top w:val="single" w:sz="8" w:space="0" w:color="000000"/>
              <w:left w:val="single" w:sz="8" w:space="0" w:color="000000"/>
              <w:bottom w:val="single" w:sz="8" w:space="0" w:color="000000"/>
              <w:right w:val="single" w:sz="8" w:space="0" w:color="000000"/>
            </w:tcBorders>
          </w:tcPr>
          <w:p w14:paraId="161B5BDF" w14:textId="3533C414" w:rsidR="00E11FF4" w:rsidRPr="00E11FF4" w:rsidRDefault="00E11FF4" w:rsidP="00E11FF4">
            <w:pPr>
              <w:spacing w:after="0" w:line="266" w:lineRule="auto"/>
              <w:ind w:left="38"/>
              <w:rPr>
                <w:rFonts w:ascii="Times New Roman" w:eastAsia="Times New Roman" w:hAnsi="Times New Roman" w:cs="Times New Roman"/>
                <w:sz w:val="24"/>
                <w:szCs w:val="24"/>
              </w:rPr>
            </w:pPr>
            <w:r w:rsidRPr="00E11FF4">
              <w:rPr>
                <w:rFonts w:ascii="Times New Roman" w:eastAsia="Times New Roman" w:hAnsi="Times New Roman" w:cs="Times New Roman"/>
                <w:sz w:val="24"/>
                <w:szCs w:val="24"/>
              </w:rPr>
              <w:t>Cardiac muscle rupture after recent history of myocardial infarction, congestive heart failure in predisposed patients</w:t>
            </w:r>
          </w:p>
        </w:tc>
      </w:tr>
      <w:tr w:rsidR="00E11FF4" w:rsidRPr="00E11FF4" w14:paraId="28A5451C" w14:textId="77777777" w:rsidTr="00E11FF4">
        <w:trPr>
          <w:trHeight w:val="444"/>
        </w:trPr>
        <w:tc>
          <w:tcPr>
            <w:tcW w:w="2760" w:type="dxa"/>
            <w:tcBorders>
              <w:top w:val="single" w:sz="8" w:space="0" w:color="000000"/>
              <w:left w:val="single" w:sz="8" w:space="0" w:color="000000"/>
              <w:bottom w:val="single" w:sz="8" w:space="0" w:color="000000"/>
              <w:right w:val="single" w:sz="8" w:space="0" w:color="000000"/>
            </w:tcBorders>
          </w:tcPr>
          <w:p w14:paraId="4EE637DF" w14:textId="18CF025E" w:rsidR="00E11FF4" w:rsidRPr="00E11FF4" w:rsidRDefault="00E11FF4" w:rsidP="00E11FF4">
            <w:pPr>
              <w:spacing w:after="0"/>
              <w:ind w:left="10"/>
              <w:rPr>
                <w:rFonts w:ascii="Times New Roman" w:eastAsia="Times New Roman" w:hAnsi="Times New Roman" w:cs="Times New Roman"/>
                <w:sz w:val="24"/>
                <w:szCs w:val="24"/>
              </w:rPr>
            </w:pPr>
            <w:r w:rsidRPr="00E11FF4">
              <w:rPr>
                <w:rFonts w:ascii="Times New Roman" w:eastAsia="Times New Roman" w:hAnsi="Times New Roman" w:cs="Times New Roman"/>
                <w:sz w:val="24"/>
                <w:szCs w:val="24"/>
              </w:rPr>
              <w:t>Vascular disorders</w:t>
            </w:r>
          </w:p>
        </w:tc>
        <w:tc>
          <w:tcPr>
            <w:tcW w:w="1540" w:type="dxa"/>
            <w:tcBorders>
              <w:top w:val="single" w:sz="8" w:space="0" w:color="000000"/>
              <w:left w:val="single" w:sz="8" w:space="0" w:color="000000"/>
              <w:bottom w:val="single" w:sz="8" w:space="0" w:color="000000"/>
              <w:right w:val="single" w:sz="8" w:space="0" w:color="000000"/>
            </w:tcBorders>
          </w:tcPr>
          <w:p w14:paraId="70FA5727" w14:textId="3CEF98E4" w:rsidR="00E11FF4" w:rsidRPr="00E11FF4" w:rsidRDefault="00E11FF4" w:rsidP="00E11FF4">
            <w:pPr>
              <w:spacing w:after="0"/>
              <w:ind w:left="10"/>
              <w:rPr>
                <w:rFonts w:ascii="Times New Roman" w:eastAsia="Times New Roman" w:hAnsi="Times New Roman" w:cs="Times New Roman"/>
                <w:sz w:val="24"/>
                <w:szCs w:val="24"/>
              </w:rPr>
            </w:pPr>
            <w:r w:rsidRPr="00E11FF4">
              <w:rPr>
                <w:rFonts w:ascii="Times New Roman" w:eastAsia="Times New Roman" w:hAnsi="Times New Roman" w:cs="Times New Roman"/>
                <w:sz w:val="24"/>
                <w:szCs w:val="24"/>
              </w:rPr>
              <w:t>Not known</w:t>
            </w:r>
          </w:p>
        </w:tc>
        <w:tc>
          <w:tcPr>
            <w:tcW w:w="4080" w:type="dxa"/>
            <w:tcBorders>
              <w:top w:val="single" w:sz="8" w:space="0" w:color="000000"/>
              <w:left w:val="single" w:sz="8" w:space="0" w:color="000000"/>
              <w:bottom w:val="single" w:sz="8" w:space="0" w:color="000000"/>
              <w:right w:val="single" w:sz="8" w:space="0" w:color="000000"/>
            </w:tcBorders>
          </w:tcPr>
          <w:p w14:paraId="4EEE57A5" w14:textId="262A0723" w:rsidR="00E11FF4" w:rsidRPr="00E11FF4" w:rsidRDefault="00E11FF4" w:rsidP="00E11FF4">
            <w:pPr>
              <w:spacing w:after="0" w:line="266" w:lineRule="auto"/>
              <w:ind w:left="38"/>
              <w:rPr>
                <w:rFonts w:ascii="Times New Roman" w:eastAsia="Times New Roman" w:hAnsi="Times New Roman" w:cs="Times New Roman"/>
                <w:sz w:val="24"/>
                <w:szCs w:val="24"/>
              </w:rPr>
            </w:pPr>
            <w:r w:rsidRPr="00E11FF4">
              <w:rPr>
                <w:rFonts w:ascii="Times New Roman" w:eastAsia="Times New Roman" w:hAnsi="Times New Roman" w:cs="Times New Roman"/>
                <w:sz w:val="24"/>
                <w:szCs w:val="24"/>
              </w:rPr>
              <w:t>Hypertension, vasculitis, increased atherosclerosis and risk of thrombosis/thromboembolism</w:t>
            </w:r>
          </w:p>
        </w:tc>
      </w:tr>
      <w:tr w:rsidR="00E11FF4" w:rsidRPr="00E11FF4" w14:paraId="2A3F9C04" w14:textId="77777777" w:rsidTr="00E11FF4">
        <w:trPr>
          <w:trHeight w:val="802"/>
        </w:trPr>
        <w:tc>
          <w:tcPr>
            <w:tcW w:w="2760" w:type="dxa"/>
            <w:tcBorders>
              <w:top w:val="single" w:sz="8" w:space="0" w:color="000000"/>
              <w:left w:val="single" w:sz="8" w:space="0" w:color="000000"/>
              <w:bottom w:val="single" w:sz="8" w:space="0" w:color="000000"/>
              <w:right w:val="single" w:sz="8" w:space="0" w:color="000000"/>
            </w:tcBorders>
          </w:tcPr>
          <w:p w14:paraId="6A0B06AE" w14:textId="7985BBC8" w:rsidR="00E11FF4" w:rsidRPr="00E11FF4" w:rsidRDefault="00E11FF4" w:rsidP="00E11FF4">
            <w:pPr>
              <w:spacing w:after="0"/>
              <w:ind w:left="10"/>
              <w:rPr>
                <w:rFonts w:ascii="Times New Roman" w:eastAsia="Times New Roman" w:hAnsi="Times New Roman" w:cs="Times New Roman"/>
                <w:sz w:val="24"/>
                <w:szCs w:val="24"/>
              </w:rPr>
            </w:pPr>
            <w:r w:rsidRPr="00E11FF4">
              <w:rPr>
                <w:rFonts w:ascii="Times New Roman" w:eastAsia="Times New Roman" w:hAnsi="Times New Roman" w:cs="Times New Roman"/>
                <w:sz w:val="24"/>
                <w:szCs w:val="24"/>
              </w:rPr>
              <w:t>Respiratory, thoracic and mediastinal disorders</w:t>
            </w:r>
          </w:p>
        </w:tc>
        <w:tc>
          <w:tcPr>
            <w:tcW w:w="1540" w:type="dxa"/>
            <w:tcBorders>
              <w:top w:val="single" w:sz="8" w:space="0" w:color="000000"/>
              <w:left w:val="single" w:sz="8" w:space="0" w:color="000000"/>
              <w:bottom w:val="single" w:sz="8" w:space="0" w:color="000000"/>
              <w:right w:val="single" w:sz="8" w:space="0" w:color="000000"/>
            </w:tcBorders>
          </w:tcPr>
          <w:p w14:paraId="440C3473" w14:textId="70BA89D9" w:rsidR="00E11FF4" w:rsidRPr="00E11FF4" w:rsidRDefault="00E11FF4" w:rsidP="00E11FF4">
            <w:pPr>
              <w:spacing w:after="0"/>
              <w:ind w:left="10"/>
              <w:rPr>
                <w:rFonts w:ascii="Times New Roman" w:eastAsia="Times New Roman" w:hAnsi="Times New Roman" w:cs="Times New Roman"/>
                <w:sz w:val="24"/>
                <w:szCs w:val="24"/>
              </w:rPr>
            </w:pPr>
            <w:r w:rsidRPr="00E11FF4">
              <w:rPr>
                <w:rFonts w:ascii="Times New Roman" w:eastAsia="Times New Roman" w:hAnsi="Times New Roman" w:cs="Times New Roman"/>
                <w:sz w:val="24"/>
                <w:szCs w:val="24"/>
              </w:rPr>
              <w:t>Not known</w:t>
            </w:r>
          </w:p>
        </w:tc>
        <w:tc>
          <w:tcPr>
            <w:tcW w:w="4080" w:type="dxa"/>
            <w:tcBorders>
              <w:top w:val="single" w:sz="8" w:space="0" w:color="000000"/>
              <w:left w:val="single" w:sz="8" w:space="0" w:color="000000"/>
              <w:bottom w:val="single" w:sz="8" w:space="0" w:color="000000"/>
              <w:right w:val="single" w:sz="8" w:space="0" w:color="000000"/>
            </w:tcBorders>
          </w:tcPr>
          <w:p w14:paraId="2345078E" w14:textId="30BA22BE" w:rsidR="00E11FF4" w:rsidRPr="00E11FF4" w:rsidRDefault="00E11FF4" w:rsidP="00E11FF4">
            <w:pPr>
              <w:spacing w:after="0" w:line="266" w:lineRule="auto"/>
              <w:ind w:left="38"/>
              <w:rPr>
                <w:rFonts w:ascii="Times New Roman" w:eastAsia="Times New Roman" w:hAnsi="Times New Roman" w:cs="Times New Roman"/>
                <w:sz w:val="24"/>
                <w:szCs w:val="24"/>
              </w:rPr>
            </w:pPr>
            <w:r w:rsidRPr="00E11FF4">
              <w:rPr>
                <w:rFonts w:ascii="Times New Roman" w:eastAsia="Times New Roman" w:hAnsi="Times New Roman" w:cs="Times New Roman"/>
                <w:sz w:val="24"/>
                <w:szCs w:val="24"/>
              </w:rPr>
              <w:t>Hiccough</w:t>
            </w:r>
          </w:p>
        </w:tc>
      </w:tr>
      <w:tr w:rsidR="00E11FF4" w:rsidRPr="00E11FF4" w14:paraId="14FE55C1" w14:textId="77777777" w:rsidTr="00E11FF4">
        <w:trPr>
          <w:trHeight w:val="1320"/>
        </w:trPr>
        <w:tc>
          <w:tcPr>
            <w:tcW w:w="2760" w:type="dxa"/>
            <w:tcBorders>
              <w:top w:val="single" w:sz="8" w:space="0" w:color="000000"/>
              <w:left w:val="single" w:sz="8" w:space="0" w:color="000000"/>
              <w:bottom w:val="single" w:sz="8" w:space="0" w:color="000000"/>
              <w:right w:val="single" w:sz="8" w:space="0" w:color="000000"/>
            </w:tcBorders>
          </w:tcPr>
          <w:p w14:paraId="6DE50938" w14:textId="37362B56" w:rsidR="00E11FF4" w:rsidRPr="00E11FF4" w:rsidRDefault="00E11FF4" w:rsidP="00E11FF4">
            <w:pPr>
              <w:spacing w:after="0"/>
              <w:ind w:left="10"/>
              <w:rPr>
                <w:rFonts w:ascii="Times New Roman" w:eastAsia="Times New Roman" w:hAnsi="Times New Roman" w:cs="Times New Roman"/>
                <w:sz w:val="24"/>
                <w:szCs w:val="24"/>
              </w:rPr>
            </w:pPr>
            <w:r w:rsidRPr="00E11FF4">
              <w:rPr>
                <w:rFonts w:ascii="Times New Roman" w:eastAsia="Times New Roman" w:hAnsi="Times New Roman" w:cs="Times New Roman"/>
                <w:sz w:val="24"/>
                <w:szCs w:val="24"/>
              </w:rPr>
              <w:t>Gastrointestinal disorders</w:t>
            </w:r>
          </w:p>
        </w:tc>
        <w:tc>
          <w:tcPr>
            <w:tcW w:w="1540" w:type="dxa"/>
            <w:tcBorders>
              <w:top w:val="single" w:sz="8" w:space="0" w:color="000000"/>
              <w:left w:val="single" w:sz="8" w:space="0" w:color="000000"/>
              <w:bottom w:val="single" w:sz="8" w:space="0" w:color="000000"/>
              <w:right w:val="single" w:sz="8" w:space="0" w:color="000000"/>
            </w:tcBorders>
          </w:tcPr>
          <w:p w14:paraId="069FAC52" w14:textId="741B30A7" w:rsidR="00E11FF4" w:rsidRPr="00E11FF4" w:rsidRDefault="00E11FF4" w:rsidP="00E11FF4">
            <w:pPr>
              <w:spacing w:after="0"/>
              <w:ind w:left="10"/>
              <w:rPr>
                <w:rFonts w:ascii="Times New Roman" w:eastAsia="Times New Roman" w:hAnsi="Times New Roman" w:cs="Times New Roman"/>
                <w:sz w:val="24"/>
                <w:szCs w:val="24"/>
              </w:rPr>
            </w:pPr>
            <w:r w:rsidRPr="00E11FF4">
              <w:rPr>
                <w:rFonts w:ascii="Times New Roman" w:eastAsia="Times New Roman" w:hAnsi="Times New Roman" w:cs="Times New Roman"/>
                <w:sz w:val="24"/>
                <w:szCs w:val="24"/>
              </w:rPr>
              <w:t>Not known</w:t>
            </w:r>
          </w:p>
        </w:tc>
        <w:tc>
          <w:tcPr>
            <w:tcW w:w="4080" w:type="dxa"/>
            <w:tcBorders>
              <w:top w:val="single" w:sz="8" w:space="0" w:color="000000"/>
              <w:left w:val="single" w:sz="8" w:space="0" w:color="000000"/>
              <w:bottom w:val="single" w:sz="8" w:space="0" w:color="000000"/>
              <w:right w:val="single" w:sz="8" w:space="0" w:color="000000"/>
            </w:tcBorders>
          </w:tcPr>
          <w:p w14:paraId="36A28CBF" w14:textId="3A8D6F8D" w:rsidR="00E11FF4" w:rsidRPr="00E11FF4" w:rsidRDefault="00E11FF4" w:rsidP="00E11FF4">
            <w:pPr>
              <w:spacing w:after="0" w:line="266" w:lineRule="auto"/>
              <w:ind w:left="38"/>
              <w:rPr>
                <w:rFonts w:ascii="Times New Roman" w:eastAsia="Times New Roman" w:hAnsi="Times New Roman" w:cs="Times New Roman"/>
                <w:sz w:val="24"/>
                <w:szCs w:val="24"/>
              </w:rPr>
            </w:pPr>
            <w:r w:rsidRPr="00E11FF4">
              <w:rPr>
                <w:rFonts w:ascii="Times New Roman" w:eastAsia="Times New Roman" w:hAnsi="Times New Roman" w:cs="Times New Roman"/>
                <w:sz w:val="24"/>
                <w:szCs w:val="24"/>
              </w:rPr>
              <w:t>Dyspepsia, gastric ulcers with perforation and bleeding, acute pancreatitis, ulcerative esophagitis, flatulence, nausea, vomiting</w:t>
            </w:r>
          </w:p>
        </w:tc>
      </w:tr>
      <w:tr w:rsidR="00E11FF4" w:rsidRPr="00E11FF4" w14:paraId="22AF7700" w14:textId="77777777" w:rsidTr="00E11FF4">
        <w:trPr>
          <w:trHeight w:val="1320"/>
        </w:trPr>
        <w:tc>
          <w:tcPr>
            <w:tcW w:w="2760" w:type="dxa"/>
            <w:tcBorders>
              <w:top w:val="single" w:sz="8" w:space="0" w:color="000000"/>
              <w:left w:val="single" w:sz="8" w:space="0" w:color="000000"/>
              <w:bottom w:val="single" w:sz="8" w:space="0" w:color="000000"/>
              <w:right w:val="single" w:sz="8" w:space="0" w:color="000000"/>
            </w:tcBorders>
          </w:tcPr>
          <w:p w14:paraId="1B1941D7" w14:textId="2D18D272" w:rsidR="00E11FF4" w:rsidRPr="00E11FF4" w:rsidRDefault="00E11FF4" w:rsidP="00E11FF4">
            <w:pPr>
              <w:spacing w:after="0"/>
              <w:ind w:left="10"/>
              <w:rPr>
                <w:rFonts w:ascii="Times New Roman" w:eastAsia="Times New Roman" w:hAnsi="Times New Roman" w:cs="Times New Roman"/>
                <w:sz w:val="24"/>
                <w:szCs w:val="24"/>
              </w:rPr>
            </w:pPr>
            <w:r w:rsidRPr="00E11FF4">
              <w:rPr>
                <w:rFonts w:ascii="Times New Roman" w:eastAsia="Times New Roman" w:hAnsi="Times New Roman" w:cs="Times New Roman"/>
                <w:sz w:val="24"/>
                <w:szCs w:val="24"/>
              </w:rPr>
              <w:t>Skin and subcutaneous disorders</w:t>
            </w:r>
          </w:p>
        </w:tc>
        <w:tc>
          <w:tcPr>
            <w:tcW w:w="1540" w:type="dxa"/>
            <w:tcBorders>
              <w:top w:val="single" w:sz="8" w:space="0" w:color="000000"/>
              <w:left w:val="single" w:sz="8" w:space="0" w:color="000000"/>
              <w:bottom w:val="single" w:sz="8" w:space="0" w:color="000000"/>
              <w:right w:val="single" w:sz="8" w:space="0" w:color="000000"/>
            </w:tcBorders>
          </w:tcPr>
          <w:p w14:paraId="32FFA129" w14:textId="1D31E9D2" w:rsidR="00E11FF4" w:rsidRPr="00E11FF4" w:rsidRDefault="00E11FF4" w:rsidP="00E11FF4">
            <w:pPr>
              <w:spacing w:after="0"/>
              <w:ind w:left="10"/>
              <w:rPr>
                <w:rFonts w:ascii="Times New Roman" w:eastAsia="Times New Roman" w:hAnsi="Times New Roman" w:cs="Times New Roman"/>
                <w:sz w:val="24"/>
                <w:szCs w:val="24"/>
              </w:rPr>
            </w:pPr>
            <w:r w:rsidRPr="00E11FF4">
              <w:rPr>
                <w:rFonts w:ascii="Times New Roman" w:eastAsia="Times New Roman" w:hAnsi="Times New Roman" w:cs="Times New Roman"/>
                <w:sz w:val="24"/>
                <w:szCs w:val="24"/>
              </w:rPr>
              <w:t>Not known</w:t>
            </w:r>
          </w:p>
        </w:tc>
        <w:tc>
          <w:tcPr>
            <w:tcW w:w="4080" w:type="dxa"/>
            <w:tcBorders>
              <w:top w:val="single" w:sz="8" w:space="0" w:color="000000"/>
              <w:left w:val="single" w:sz="8" w:space="0" w:color="000000"/>
              <w:bottom w:val="single" w:sz="8" w:space="0" w:color="000000"/>
              <w:right w:val="single" w:sz="8" w:space="0" w:color="000000"/>
            </w:tcBorders>
          </w:tcPr>
          <w:p w14:paraId="13D66363" w14:textId="22A2D8E5" w:rsidR="00E11FF4" w:rsidRPr="00E11FF4" w:rsidRDefault="00E11FF4" w:rsidP="00E11FF4">
            <w:pPr>
              <w:spacing w:after="0" w:line="266" w:lineRule="auto"/>
              <w:ind w:left="38"/>
              <w:rPr>
                <w:rFonts w:ascii="Times New Roman" w:eastAsia="Times New Roman" w:hAnsi="Times New Roman" w:cs="Times New Roman"/>
                <w:sz w:val="24"/>
                <w:szCs w:val="24"/>
              </w:rPr>
            </w:pPr>
            <w:r w:rsidRPr="00E11FF4">
              <w:rPr>
                <w:rFonts w:ascii="Times New Roman" w:eastAsia="Times New Roman" w:hAnsi="Times New Roman" w:cs="Times New Roman"/>
                <w:sz w:val="24"/>
                <w:szCs w:val="24"/>
              </w:rPr>
              <w:t>Hirsutism, hypertrichosis, skin atrophy, telangiectasia, striae, erythema, steroid acne, petechiae, ecchymosis, allergic dermatitis, urticaria, angioneurotic oedema, thinning hair, pigment disorders, increased capillary fragility, perioral dermatitis</w:t>
            </w:r>
          </w:p>
        </w:tc>
      </w:tr>
      <w:tr w:rsidR="00E11FF4" w:rsidRPr="00E11FF4" w14:paraId="51ACE12F" w14:textId="77777777" w:rsidTr="00E11FF4">
        <w:trPr>
          <w:trHeight w:val="1320"/>
        </w:trPr>
        <w:tc>
          <w:tcPr>
            <w:tcW w:w="2760" w:type="dxa"/>
            <w:tcBorders>
              <w:top w:val="single" w:sz="8" w:space="0" w:color="000000"/>
              <w:left w:val="single" w:sz="8" w:space="0" w:color="000000"/>
              <w:bottom w:val="single" w:sz="8" w:space="0" w:color="000000"/>
              <w:right w:val="single" w:sz="8" w:space="0" w:color="000000"/>
            </w:tcBorders>
          </w:tcPr>
          <w:p w14:paraId="48CB7205" w14:textId="585A8B8B" w:rsidR="00E11FF4" w:rsidRPr="00E11FF4" w:rsidRDefault="00E11FF4" w:rsidP="00E11FF4">
            <w:pPr>
              <w:spacing w:after="0"/>
              <w:ind w:left="10"/>
              <w:rPr>
                <w:rFonts w:ascii="Times New Roman" w:eastAsia="Times New Roman" w:hAnsi="Times New Roman" w:cs="Times New Roman"/>
                <w:sz w:val="24"/>
                <w:szCs w:val="24"/>
              </w:rPr>
            </w:pPr>
            <w:r w:rsidRPr="00E11FF4">
              <w:rPr>
                <w:rFonts w:ascii="Times New Roman" w:eastAsia="Times New Roman" w:hAnsi="Times New Roman" w:cs="Times New Roman"/>
                <w:sz w:val="24"/>
                <w:szCs w:val="24"/>
              </w:rPr>
              <w:t>Musculoskeletal connective and</w:t>
            </w:r>
            <w:r w:rsidRPr="00E11FF4">
              <w:rPr>
                <w:rFonts w:ascii="Times New Roman" w:eastAsia="Times New Roman" w:hAnsi="Times New Roman" w:cs="Times New Roman"/>
                <w:sz w:val="24"/>
                <w:szCs w:val="24"/>
              </w:rPr>
              <w:t xml:space="preserve"> </w:t>
            </w:r>
            <w:r w:rsidRPr="00E11FF4">
              <w:rPr>
                <w:rFonts w:ascii="Times New Roman" w:eastAsia="Times New Roman" w:hAnsi="Times New Roman" w:cs="Times New Roman"/>
                <w:sz w:val="24"/>
                <w:szCs w:val="24"/>
              </w:rPr>
              <w:t>tissue disorders</w:t>
            </w:r>
          </w:p>
        </w:tc>
        <w:tc>
          <w:tcPr>
            <w:tcW w:w="1540" w:type="dxa"/>
            <w:tcBorders>
              <w:top w:val="single" w:sz="8" w:space="0" w:color="000000"/>
              <w:left w:val="single" w:sz="8" w:space="0" w:color="000000"/>
              <w:bottom w:val="single" w:sz="8" w:space="0" w:color="000000"/>
              <w:right w:val="single" w:sz="8" w:space="0" w:color="000000"/>
            </w:tcBorders>
          </w:tcPr>
          <w:p w14:paraId="3FE1FD36" w14:textId="22117614" w:rsidR="00E11FF4" w:rsidRPr="00E11FF4" w:rsidRDefault="00E11FF4" w:rsidP="00E11FF4">
            <w:pPr>
              <w:spacing w:after="0"/>
              <w:ind w:left="10"/>
              <w:rPr>
                <w:rFonts w:ascii="Times New Roman" w:eastAsia="Times New Roman" w:hAnsi="Times New Roman" w:cs="Times New Roman"/>
                <w:sz w:val="24"/>
                <w:szCs w:val="24"/>
              </w:rPr>
            </w:pPr>
            <w:r w:rsidRPr="00E11FF4">
              <w:rPr>
                <w:rFonts w:ascii="Times New Roman" w:eastAsia="Times New Roman" w:hAnsi="Times New Roman" w:cs="Times New Roman"/>
                <w:sz w:val="24"/>
                <w:szCs w:val="24"/>
              </w:rPr>
              <w:t>Not known</w:t>
            </w:r>
          </w:p>
        </w:tc>
        <w:tc>
          <w:tcPr>
            <w:tcW w:w="4080" w:type="dxa"/>
            <w:tcBorders>
              <w:top w:val="single" w:sz="8" w:space="0" w:color="000000"/>
              <w:left w:val="single" w:sz="8" w:space="0" w:color="000000"/>
              <w:bottom w:val="single" w:sz="8" w:space="0" w:color="000000"/>
              <w:right w:val="single" w:sz="8" w:space="0" w:color="000000"/>
            </w:tcBorders>
          </w:tcPr>
          <w:p w14:paraId="5BBBE0D3" w14:textId="6DFC7B96" w:rsidR="00E11FF4" w:rsidRPr="00E11FF4" w:rsidRDefault="00E11FF4" w:rsidP="00E11FF4">
            <w:pPr>
              <w:spacing w:after="0" w:line="266" w:lineRule="auto"/>
              <w:ind w:left="38"/>
              <w:rPr>
                <w:rFonts w:ascii="Times New Roman" w:eastAsia="Times New Roman" w:hAnsi="Times New Roman" w:cs="Times New Roman"/>
                <w:sz w:val="24"/>
                <w:szCs w:val="24"/>
              </w:rPr>
            </w:pPr>
            <w:r w:rsidRPr="00E11FF4">
              <w:rPr>
                <w:rFonts w:ascii="Times New Roman" w:eastAsia="Times New Roman" w:hAnsi="Times New Roman" w:cs="Times New Roman"/>
                <w:sz w:val="24"/>
                <w:szCs w:val="24"/>
              </w:rPr>
              <w:t>Growth inhibition in infants, children and adolescents, premature epiphyseal closure, osteoporosis, fractures of the spine and long bones, aseptic necrosis of the femoral and the humeral bones, tendon tears, proximal myopathy, muscle weakness, loss of muscle mass</w:t>
            </w:r>
          </w:p>
        </w:tc>
      </w:tr>
      <w:tr w:rsidR="00E11FF4" w:rsidRPr="00E11FF4" w14:paraId="1B1F6031" w14:textId="77777777" w:rsidTr="00E11FF4">
        <w:trPr>
          <w:trHeight w:val="662"/>
        </w:trPr>
        <w:tc>
          <w:tcPr>
            <w:tcW w:w="2760" w:type="dxa"/>
            <w:tcBorders>
              <w:top w:val="single" w:sz="8" w:space="0" w:color="000000"/>
              <w:left w:val="single" w:sz="8" w:space="0" w:color="000000"/>
              <w:bottom w:val="single" w:sz="8" w:space="0" w:color="000000"/>
              <w:right w:val="single" w:sz="8" w:space="0" w:color="000000"/>
            </w:tcBorders>
          </w:tcPr>
          <w:p w14:paraId="4AAFFF71" w14:textId="628727FD" w:rsidR="00E11FF4" w:rsidRPr="00E11FF4" w:rsidRDefault="00E11FF4" w:rsidP="00E11FF4">
            <w:pPr>
              <w:spacing w:after="0"/>
              <w:ind w:left="10"/>
              <w:rPr>
                <w:rFonts w:ascii="Times New Roman" w:eastAsia="Times New Roman" w:hAnsi="Times New Roman" w:cs="Times New Roman"/>
                <w:sz w:val="24"/>
                <w:szCs w:val="24"/>
              </w:rPr>
            </w:pPr>
            <w:r w:rsidRPr="00E11FF4">
              <w:rPr>
                <w:rFonts w:ascii="Times New Roman" w:eastAsia="Times New Roman" w:hAnsi="Times New Roman" w:cs="Times New Roman"/>
                <w:sz w:val="24"/>
                <w:szCs w:val="24"/>
              </w:rPr>
              <w:t>Reproductive system and breast disorders</w:t>
            </w:r>
          </w:p>
        </w:tc>
        <w:tc>
          <w:tcPr>
            <w:tcW w:w="1540" w:type="dxa"/>
            <w:tcBorders>
              <w:top w:val="single" w:sz="8" w:space="0" w:color="000000"/>
              <w:left w:val="single" w:sz="8" w:space="0" w:color="000000"/>
              <w:bottom w:val="single" w:sz="8" w:space="0" w:color="000000"/>
              <w:right w:val="single" w:sz="8" w:space="0" w:color="000000"/>
            </w:tcBorders>
          </w:tcPr>
          <w:p w14:paraId="5CE76F1C" w14:textId="28C14028" w:rsidR="00E11FF4" w:rsidRPr="00E11FF4" w:rsidRDefault="00E11FF4" w:rsidP="00E11FF4">
            <w:pPr>
              <w:spacing w:after="0"/>
              <w:ind w:left="10"/>
              <w:rPr>
                <w:rFonts w:ascii="Times New Roman" w:eastAsia="Times New Roman" w:hAnsi="Times New Roman" w:cs="Times New Roman"/>
                <w:sz w:val="24"/>
                <w:szCs w:val="24"/>
              </w:rPr>
            </w:pPr>
            <w:r w:rsidRPr="00E11FF4">
              <w:rPr>
                <w:rFonts w:ascii="Times New Roman" w:eastAsia="Times New Roman" w:hAnsi="Times New Roman" w:cs="Times New Roman"/>
                <w:sz w:val="24"/>
                <w:szCs w:val="24"/>
              </w:rPr>
              <w:t>Not known</w:t>
            </w:r>
          </w:p>
        </w:tc>
        <w:tc>
          <w:tcPr>
            <w:tcW w:w="4080" w:type="dxa"/>
            <w:tcBorders>
              <w:top w:val="single" w:sz="8" w:space="0" w:color="000000"/>
              <w:left w:val="single" w:sz="8" w:space="0" w:color="000000"/>
              <w:bottom w:val="single" w:sz="8" w:space="0" w:color="000000"/>
              <w:right w:val="single" w:sz="8" w:space="0" w:color="000000"/>
            </w:tcBorders>
          </w:tcPr>
          <w:p w14:paraId="359E75F1" w14:textId="534C6429" w:rsidR="00E11FF4" w:rsidRPr="00E11FF4" w:rsidRDefault="00E11FF4" w:rsidP="00E11FF4">
            <w:pPr>
              <w:spacing w:after="0" w:line="266" w:lineRule="auto"/>
              <w:ind w:left="38"/>
              <w:rPr>
                <w:rFonts w:ascii="Times New Roman" w:eastAsia="Times New Roman" w:hAnsi="Times New Roman" w:cs="Times New Roman"/>
                <w:sz w:val="24"/>
                <w:szCs w:val="24"/>
              </w:rPr>
            </w:pPr>
            <w:r w:rsidRPr="00E11FF4">
              <w:rPr>
                <w:rFonts w:ascii="Times New Roman" w:eastAsia="Times New Roman" w:hAnsi="Times New Roman" w:cs="Times New Roman"/>
                <w:sz w:val="24"/>
                <w:szCs w:val="24"/>
              </w:rPr>
              <w:t>Irregular menses, amenorrhea, impotence</w:t>
            </w:r>
          </w:p>
        </w:tc>
      </w:tr>
      <w:tr w:rsidR="00E11FF4" w:rsidRPr="00E11FF4" w14:paraId="3651094C" w14:textId="77777777" w:rsidTr="00E11FF4">
        <w:trPr>
          <w:trHeight w:val="1320"/>
        </w:trPr>
        <w:tc>
          <w:tcPr>
            <w:tcW w:w="2760" w:type="dxa"/>
            <w:tcBorders>
              <w:top w:val="single" w:sz="8" w:space="0" w:color="000000"/>
              <w:left w:val="single" w:sz="8" w:space="0" w:color="000000"/>
              <w:bottom w:val="single" w:sz="8" w:space="0" w:color="000000"/>
              <w:right w:val="single" w:sz="8" w:space="0" w:color="000000"/>
            </w:tcBorders>
          </w:tcPr>
          <w:p w14:paraId="1AD98FEE" w14:textId="1D71DD67" w:rsidR="00E11FF4" w:rsidRPr="00E11FF4" w:rsidRDefault="00E11FF4" w:rsidP="00E11FF4">
            <w:pPr>
              <w:spacing w:after="0"/>
              <w:ind w:left="10"/>
              <w:rPr>
                <w:rFonts w:ascii="Times New Roman" w:eastAsia="Times New Roman" w:hAnsi="Times New Roman" w:cs="Times New Roman"/>
                <w:sz w:val="24"/>
                <w:szCs w:val="24"/>
              </w:rPr>
            </w:pPr>
            <w:r w:rsidRPr="00E11FF4">
              <w:rPr>
                <w:rFonts w:ascii="Times New Roman" w:eastAsia="Times New Roman" w:hAnsi="Times New Roman" w:cs="Times New Roman"/>
                <w:sz w:val="24"/>
                <w:szCs w:val="24"/>
              </w:rPr>
              <w:t>General disorders and administration site conditions</w:t>
            </w:r>
          </w:p>
        </w:tc>
        <w:tc>
          <w:tcPr>
            <w:tcW w:w="1540" w:type="dxa"/>
            <w:tcBorders>
              <w:top w:val="single" w:sz="8" w:space="0" w:color="000000"/>
              <w:left w:val="single" w:sz="8" w:space="0" w:color="000000"/>
              <w:bottom w:val="single" w:sz="8" w:space="0" w:color="000000"/>
              <w:right w:val="single" w:sz="8" w:space="0" w:color="000000"/>
            </w:tcBorders>
          </w:tcPr>
          <w:p w14:paraId="2773550F" w14:textId="7F0CD98F" w:rsidR="00E11FF4" w:rsidRPr="00E11FF4" w:rsidRDefault="00E11FF4" w:rsidP="00E11FF4">
            <w:pPr>
              <w:spacing w:after="0"/>
              <w:ind w:left="10"/>
              <w:rPr>
                <w:rFonts w:ascii="Times New Roman" w:eastAsia="Times New Roman" w:hAnsi="Times New Roman" w:cs="Times New Roman"/>
                <w:sz w:val="24"/>
                <w:szCs w:val="24"/>
              </w:rPr>
            </w:pPr>
            <w:r w:rsidRPr="00E11FF4">
              <w:rPr>
                <w:rFonts w:ascii="Times New Roman" w:eastAsia="Times New Roman" w:hAnsi="Times New Roman" w:cs="Times New Roman"/>
                <w:sz w:val="24"/>
                <w:szCs w:val="24"/>
              </w:rPr>
              <w:t>Not known</w:t>
            </w:r>
          </w:p>
        </w:tc>
        <w:tc>
          <w:tcPr>
            <w:tcW w:w="4080" w:type="dxa"/>
            <w:tcBorders>
              <w:top w:val="single" w:sz="8" w:space="0" w:color="000000"/>
              <w:left w:val="single" w:sz="8" w:space="0" w:color="000000"/>
              <w:bottom w:val="single" w:sz="8" w:space="0" w:color="000000"/>
              <w:right w:val="single" w:sz="8" w:space="0" w:color="000000"/>
            </w:tcBorders>
          </w:tcPr>
          <w:p w14:paraId="0E92F1C0" w14:textId="489792E4" w:rsidR="00E11FF4" w:rsidRPr="00E11FF4" w:rsidRDefault="00E11FF4" w:rsidP="00E11FF4">
            <w:pPr>
              <w:spacing w:after="0" w:line="266" w:lineRule="auto"/>
              <w:ind w:left="38"/>
              <w:rPr>
                <w:rFonts w:ascii="Times New Roman" w:eastAsia="Times New Roman" w:hAnsi="Times New Roman" w:cs="Times New Roman"/>
                <w:sz w:val="24"/>
                <w:szCs w:val="24"/>
              </w:rPr>
            </w:pPr>
            <w:r w:rsidRPr="00E11FF4">
              <w:rPr>
                <w:rFonts w:ascii="Times New Roman" w:eastAsia="Times New Roman" w:hAnsi="Times New Roman" w:cs="Times New Roman"/>
                <w:sz w:val="24"/>
                <w:szCs w:val="24"/>
              </w:rPr>
              <w:t>Delayed wound healing, discomfort, steroid withdrawal syndrome: a too rapid reduction in corticosteroid dose after prolonged treatment can lead to acute adrenal insufficiency, hypotension, and death. A withdrawal syndrome may present with fever, myalgia, arthralgia, rhinitis, conjunctivitis, pain, itchy skin nodules and weight loss.</w:t>
            </w:r>
          </w:p>
        </w:tc>
      </w:tr>
      <w:tr w:rsidR="00E11FF4" w:rsidRPr="00E11FF4" w14:paraId="7D7345EE" w14:textId="77777777" w:rsidTr="00E11FF4">
        <w:trPr>
          <w:trHeight w:val="794"/>
        </w:trPr>
        <w:tc>
          <w:tcPr>
            <w:tcW w:w="2760" w:type="dxa"/>
            <w:tcBorders>
              <w:top w:val="single" w:sz="8" w:space="0" w:color="000000"/>
              <w:left w:val="single" w:sz="8" w:space="0" w:color="000000"/>
              <w:bottom w:val="single" w:sz="8" w:space="0" w:color="000000"/>
              <w:right w:val="single" w:sz="8" w:space="0" w:color="000000"/>
            </w:tcBorders>
          </w:tcPr>
          <w:p w14:paraId="7060CCF9" w14:textId="5CD6F256" w:rsidR="00E11FF4" w:rsidRPr="00E11FF4" w:rsidRDefault="00E11FF4" w:rsidP="00E11FF4">
            <w:pPr>
              <w:spacing w:after="0"/>
              <w:ind w:left="10"/>
              <w:rPr>
                <w:rFonts w:ascii="Times New Roman" w:eastAsia="Times New Roman" w:hAnsi="Times New Roman" w:cs="Times New Roman"/>
                <w:sz w:val="24"/>
                <w:szCs w:val="24"/>
              </w:rPr>
            </w:pPr>
            <w:r w:rsidRPr="00E11FF4">
              <w:rPr>
                <w:rFonts w:ascii="Times New Roman" w:eastAsia="Times New Roman" w:hAnsi="Times New Roman" w:cs="Times New Roman"/>
                <w:sz w:val="24"/>
                <w:szCs w:val="24"/>
              </w:rPr>
              <w:lastRenderedPageBreak/>
              <w:t>Injury, poisoning and procedural complications</w:t>
            </w:r>
          </w:p>
        </w:tc>
        <w:tc>
          <w:tcPr>
            <w:tcW w:w="1540" w:type="dxa"/>
            <w:tcBorders>
              <w:top w:val="single" w:sz="8" w:space="0" w:color="000000"/>
              <w:left w:val="single" w:sz="8" w:space="0" w:color="000000"/>
              <w:bottom w:val="single" w:sz="8" w:space="0" w:color="000000"/>
              <w:right w:val="single" w:sz="8" w:space="0" w:color="000000"/>
            </w:tcBorders>
          </w:tcPr>
          <w:p w14:paraId="4CA46A43" w14:textId="18590F1E" w:rsidR="00E11FF4" w:rsidRPr="00E11FF4" w:rsidRDefault="00E11FF4" w:rsidP="00E11FF4">
            <w:pPr>
              <w:spacing w:after="0"/>
              <w:ind w:left="10"/>
              <w:rPr>
                <w:rFonts w:ascii="Times New Roman" w:eastAsia="Times New Roman" w:hAnsi="Times New Roman" w:cs="Times New Roman"/>
                <w:sz w:val="24"/>
                <w:szCs w:val="24"/>
              </w:rPr>
            </w:pPr>
            <w:r w:rsidRPr="00E11FF4">
              <w:rPr>
                <w:rFonts w:ascii="Times New Roman" w:eastAsia="Times New Roman" w:hAnsi="Times New Roman" w:cs="Times New Roman"/>
                <w:sz w:val="24"/>
                <w:szCs w:val="24"/>
              </w:rPr>
              <w:t>Not known</w:t>
            </w:r>
          </w:p>
        </w:tc>
        <w:tc>
          <w:tcPr>
            <w:tcW w:w="4080" w:type="dxa"/>
            <w:tcBorders>
              <w:top w:val="single" w:sz="8" w:space="0" w:color="000000"/>
              <w:left w:val="single" w:sz="8" w:space="0" w:color="000000"/>
              <w:bottom w:val="single" w:sz="8" w:space="0" w:color="000000"/>
              <w:right w:val="single" w:sz="8" w:space="0" w:color="000000"/>
            </w:tcBorders>
          </w:tcPr>
          <w:p w14:paraId="5A8D6547" w14:textId="0B25B06A" w:rsidR="00E11FF4" w:rsidRPr="00E11FF4" w:rsidRDefault="00E11FF4" w:rsidP="00E11FF4">
            <w:pPr>
              <w:spacing w:after="0" w:line="266" w:lineRule="auto"/>
              <w:ind w:left="38"/>
              <w:rPr>
                <w:rFonts w:ascii="Times New Roman" w:eastAsia="Times New Roman" w:hAnsi="Times New Roman" w:cs="Times New Roman"/>
                <w:sz w:val="24"/>
                <w:szCs w:val="24"/>
              </w:rPr>
            </w:pPr>
            <w:r w:rsidRPr="00E11FF4">
              <w:rPr>
                <w:rFonts w:ascii="Times New Roman" w:eastAsia="Times New Roman" w:hAnsi="Times New Roman" w:cs="Times New Roman"/>
                <w:sz w:val="24"/>
                <w:szCs w:val="24"/>
              </w:rPr>
              <w:t>Reduced response to vaccination and skin tests, tendency to bruise</w:t>
            </w:r>
          </w:p>
        </w:tc>
      </w:tr>
    </w:tbl>
    <w:p w14:paraId="5E9C0FDE" w14:textId="77777777" w:rsidR="00AB56F3" w:rsidRPr="00EA57E8" w:rsidRDefault="00AB56F3">
      <w:pPr>
        <w:spacing w:after="0"/>
        <w:ind w:left="-1783" w:right="160"/>
        <w:rPr>
          <w:rFonts w:ascii="Times New Roman" w:hAnsi="Times New Roman" w:cs="Times New Roman"/>
        </w:rPr>
      </w:pPr>
    </w:p>
    <w:p w14:paraId="37431A44" w14:textId="77777777" w:rsidR="00AB56F3" w:rsidRPr="00E11FF4" w:rsidRDefault="00000000" w:rsidP="00E11FF4">
      <w:pPr>
        <w:spacing w:after="117" w:line="360" w:lineRule="auto"/>
        <w:ind w:left="730" w:hanging="10"/>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u w:val="single" w:color="000000"/>
        </w:rPr>
        <w:t>Reporting of suspected adverse reactions</w:t>
      </w:r>
    </w:p>
    <w:p w14:paraId="245384A3" w14:textId="77777777" w:rsidR="00AB56F3" w:rsidRPr="00E11FF4" w:rsidRDefault="00000000" w:rsidP="00E11FF4">
      <w:pPr>
        <w:spacing w:after="286" w:line="360" w:lineRule="auto"/>
        <w:ind w:left="715" w:right="263" w:hanging="10"/>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E11FF4">
        <w:rPr>
          <w:rFonts w:ascii="Times New Roman" w:hAnsi="Times New Roman" w:cs="Times New Roman"/>
          <w:sz w:val="28"/>
          <w:szCs w:val="28"/>
        </w:rPr>
        <w:t>Health Product Vigilance Center; HPVC</w:t>
      </w:r>
    </w:p>
    <w:p w14:paraId="33142434" w14:textId="527554B9" w:rsidR="00AB56F3" w:rsidRPr="00E11FF4" w:rsidRDefault="00000000" w:rsidP="00E11FF4">
      <w:pPr>
        <w:pStyle w:val="Heading3"/>
        <w:numPr>
          <w:ilvl w:val="1"/>
          <w:numId w:val="7"/>
        </w:numPr>
        <w:tabs>
          <w:tab w:val="center" w:pos="1215"/>
        </w:tabs>
        <w:spacing w:after="240" w:line="360" w:lineRule="auto"/>
        <w:ind w:left="788" w:hanging="431"/>
        <w:jc w:val="thaiDistribute"/>
        <w:rPr>
          <w:sz w:val="28"/>
          <w:szCs w:val="28"/>
        </w:rPr>
      </w:pPr>
      <w:r w:rsidRPr="00E11FF4">
        <w:rPr>
          <w:sz w:val="28"/>
          <w:szCs w:val="28"/>
        </w:rPr>
        <w:t>Overdose</w:t>
      </w:r>
    </w:p>
    <w:p w14:paraId="26BDA134" w14:textId="77777777" w:rsidR="00AB56F3" w:rsidRPr="00E11FF4" w:rsidRDefault="00000000" w:rsidP="00E11FF4">
      <w:pPr>
        <w:spacing w:after="240" w:line="360" w:lineRule="auto"/>
        <w:ind w:left="731" w:right="227" w:hanging="11"/>
        <w:jc w:val="thaiDistribute"/>
        <w:rPr>
          <w:rFonts w:ascii="Times New Roman" w:hAnsi="Times New Roman" w:cs="Times New Roman"/>
          <w:sz w:val="28"/>
          <w:szCs w:val="28"/>
          <w:u w:val="single"/>
        </w:rPr>
      </w:pPr>
      <w:r w:rsidRPr="00E11FF4">
        <w:rPr>
          <w:rFonts w:ascii="Times New Roman" w:eastAsia="Times New Roman" w:hAnsi="Times New Roman" w:cs="Times New Roman"/>
          <w:sz w:val="28"/>
          <w:szCs w:val="28"/>
          <w:u w:val="single"/>
        </w:rPr>
        <w:t>Symptoms and Management</w:t>
      </w:r>
    </w:p>
    <w:p w14:paraId="0A53C509" w14:textId="457F4ED3" w:rsidR="00AB56F3" w:rsidRPr="00E11FF4" w:rsidRDefault="00000000" w:rsidP="00E11FF4">
      <w:pPr>
        <w:spacing w:after="8" w:line="360" w:lineRule="auto"/>
        <w:ind w:left="730" w:right="224" w:hanging="10"/>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rPr>
        <w:t>Reports of acute toxicity and/or deaths following overdosage with glucocorticoids are rare. No antidote is available. Treatment is probably not indicated for reactions due to chronic poisoning unless the patient has a condition that would render him unusually susceptible to ill effects from corticosteroids. In this case, the stomach should be emptied and symptomatic treatment should be instituted as necessary. Anaphylactic and hypersensitivity reactions may be treated with epinephrine</w:t>
      </w:r>
      <w:r w:rsidR="00E11FF4">
        <w:rPr>
          <w:rFonts w:ascii="Times New Roman" w:hAnsi="Times New Roman" w:cs="Times New Roman"/>
          <w:sz w:val="28"/>
          <w:szCs w:val="28"/>
        </w:rPr>
        <w:t xml:space="preserve"> </w:t>
      </w:r>
      <w:r w:rsidRPr="00E11FF4">
        <w:rPr>
          <w:rFonts w:ascii="Times New Roman" w:eastAsia="Times New Roman" w:hAnsi="Times New Roman" w:cs="Times New Roman"/>
          <w:sz w:val="28"/>
          <w:szCs w:val="28"/>
        </w:rPr>
        <w:t>(adrenaline), positive-pressure artificial respiration and aminophylline. The patient should be kept warm and quiet. The biological half life of dexamethasone in plasma is about 190 minutes.</w:t>
      </w:r>
    </w:p>
    <w:p w14:paraId="2D848846" w14:textId="77777777" w:rsidR="00E11FF4" w:rsidRPr="00E11FF4" w:rsidRDefault="00000000" w:rsidP="00E11FF4">
      <w:pPr>
        <w:pStyle w:val="Heading2"/>
        <w:numPr>
          <w:ilvl w:val="0"/>
          <w:numId w:val="7"/>
        </w:numPr>
        <w:tabs>
          <w:tab w:val="center" w:pos="2820"/>
        </w:tabs>
        <w:spacing w:after="240" w:line="360" w:lineRule="auto"/>
        <w:ind w:left="357" w:hanging="357"/>
        <w:jc w:val="thaiDistribute"/>
        <w:rPr>
          <w:sz w:val="28"/>
          <w:szCs w:val="28"/>
        </w:rPr>
      </w:pPr>
      <w:r w:rsidRPr="00E11FF4">
        <w:rPr>
          <w:sz w:val="28"/>
          <w:szCs w:val="28"/>
        </w:rPr>
        <w:lastRenderedPageBreak/>
        <w:t>PHARMACOLOGICAL PROPERTIE</w:t>
      </w:r>
    </w:p>
    <w:p w14:paraId="7C1D7BDD" w14:textId="77777777" w:rsidR="00E11FF4" w:rsidRDefault="00000000" w:rsidP="00E11FF4">
      <w:pPr>
        <w:pStyle w:val="Heading2"/>
        <w:numPr>
          <w:ilvl w:val="1"/>
          <w:numId w:val="7"/>
        </w:numPr>
        <w:tabs>
          <w:tab w:val="center" w:pos="2820"/>
        </w:tabs>
        <w:spacing w:after="240" w:line="360" w:lineRule="auto"/>
        <w:ind w:left="788" w:hanging="431"/>
        <w:jc w:val="thaiDistribute"/>
        <w:rPr>
          <w:sz w:val="28"/>
          <w:szCs w:val="28"/>
        </w:rPr>
      </w:pPr>
      <w:r w:rsidRPr="00E11FF4">
        <w:rPr>
          <w:sz w:val="28"/>
          <w:szCs w:val="28"/>
        </w:rPr>
        <w:t>Pharmacodynamic properties</w:t>
      </w:r>
    </w:p>
    <w:p w14:paraId="3A61D6DD" w14:textId="77777777" w:rsidR="00E11FF4" w:rsidRDefault="00000000" w:rsidP="00E11FF4">
      <w:pPr>
        <w:pStyle w:val="Heading2"/>
        <w:tabs>
          <w:tab w:val="center" w:pos="2820"/>
        </w:tabs>
        <w:spacing w:after="240" w:line="360" w:lineRule="auto"/>
        <w:ind w:left="794" w:firstLine="0"/>
        <w:jc w:val="thaiDistribute"/>
        <w:rPr>
          <w:b w:val="0"/>
          <w:bCs/>
          <w:sz w:val="28"/>
          <w:szCs w:val="28"/>
        </w:rPr>
      </w:pPr>
      <w:r w:rsidRPr="00E11FF4">
        <w:rPr>
          <w:b w:val="0"/>
          <w:bCs/>
          <w:sz w:val="28"/>
          <w:szCs w:val="28"/>
        </w:rPr>
        <w:t>Pharmacotherapeutic Group: corticosteroids for systemic use, glucocorticoids</w:t>
      </w:r>
    </w:p>
    <w:p w14:paraId="4B553D81" w14:textId="0E7F07FB" w:rsidR="00AB56F3" w:rsidRPr="00E11FF4" w:rsidRDefault="00000000" w:rsidP="00E11FF4">
      <w:pPr>
        <w:pStyle w:val="Heading2"/>
        <w:tabs>
          <w:tab w:val="center" w:pos="2820"/>
        </w:tabs>
        <w:spacing w:after="240" w:line="360" w:lineRule="auto"/>
        <w:ind w:left="794" w:firstLine="0"/>
        <w:jc w:val="thaiDistribute"/>
        <w:rPr>
          <w:b w:val="0"/>
          <w:bCs/>
          <w:sz w:val="28"/>
          <w:szCs w:val="28"/>
        </w:rPr>
      </w:pPr>
      <w:r w:rsidRPr="00E11FF4">
        <w:rPr>
          <w:b w:val="0"/>
          <w:bCs/>
          <w:sz w:val="28"/>
          <w:szCs w:val="28"/>
        </w:rPr>
        <w:t>ATC Code: H02A B02.</w:t>
      </w:r>
    </w:p>
    <w:p w14:paraId="20255203" w14:textId="77777777" w:rsidR="00AB56F3" w:rsidRPr="00E11FF4" w:rsidRDefault="00000000" w:rsidP="00E11FF4">
      <w:pPr>
        <w:spacing w:after="240" w:line="360" w:lineRule="auto"/>
        <w:ind w:left="731" w:hanging="11"/>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u w:val="single" w:color="000000"/>
        </w:rPr>
        <w:t>Mechanism of action</w:t>
      </w:r>
    </w:p>
    <w:p w14:paraId="52C7EFE4" w14:textId="77777777" w:rsidR="00AB56F3" w:rsidRPr="00E11FF4" w:rsidRDefault="00000000" w:rsidP="00E11FF4">
      <w:pPr>
        <w:spacing w:after="240" w:line="360" w:lineRule="auto"/>
        <w:ind w:left="714" w:right="153" w:hanging="11"/>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rPr>
        <w:t>Dexamethasone is a highly potent and long-acting glucocorticoid with negligible sodium retaining properties and is therefore, particularly suitable for the use in patients with cardiac failure and hypertension. Its anti-inflammatory potency is 7 times greater than prednisolone and, like other glucocorticoids, dexamethasone also has anti-allergic, antipyretic and immunosuppressive properties.</w:t>
      </w:r>
    </w:p>
    <w:p w14:paraId="6220C2B4" w14:textId="64F7B040" w:rsidR="00AB56F3" w:rsidRPr="00E11FF4" w:rsidRDefault="00000000" w:rsidP="00E11FF4">
      <w:pPr>
        <w:spacing w:after="19" w:line="360" w:lineRule="auto"/>
        <w:ind w:left="730" w:right="224" w:hanging="10"/>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rPr>
        <w:t>The RECOVERY trial (Randomised Evaluation of COVid-19 thERapY,)</w:t>
      </w:r>
      <w:r w:rsidRPr="00E11FF4">
        <w:rPr>
          <w:rFonts w:ascii="Times New Roman" w:eastAsia="Times New Roman" w:hAnsi="Times New Roman" w:cs="Times New Roman"/>
          <w:sz w:val="28"/>
          <w:szCs w:val="28"/>
          <w:u w:val="single" w:color="000000"/>
          <w:vertAlign w:val="superscript"/>
        </w:rPr>
        <w:footnoteReference w:id="1"/>
      </w:r>
      <w:r w:rsidRPr="00E11FF4">
        <w:rPr>
          <w:rFonts w:ascii="Times New Roman" w:eastAsia="Times New Roman" w:hAnsi="Times New Roman" w:cs="Times New Roman"/>
          <w:sz w:val="28"/>
          <w:szCs w:val="28"/>
          <w:u w:val="single" w:color="000000"/>
          <w:vertAlign w:val="superscript"/>
        </w:rPr>
        <w:t xml:space="preserve"> </w:t>
      </w:r>
      <w:r w:rsidRPr="00E11FF4">
        <w:rPr>
          <w:rFonts w:ascii="Times New Roman" w:eastAsia="Times New Roman" w:hAnsi="Times New Roman" w:cs="Times New Roman"/>
          <w:sz w:val="28"/>
          <w:szCs w:val="28"/>
        </w:rPr>
        <w:t>is an</w:t>
      </w:r>
      <w:r w:rsidR="00E11FF4">
        <w:rPr>
          <w:rFonts w:ascii="Times New Roman" w:hAnsi="Times New Roman" w:cs="Times New Roman"/>
          <w:sz w:val="28"/>
          <w:szCs w:val="28"/>
        </w:rPr>
        <w:t xml:space="preserve"> </w:t>
      </w:r>
      <w:r w:rsidRPr="00E11FF4">
        <w:rPr>
          <w:rFonts w:ascii="Times New Roman" w:eastAsia="Times New Roman" w:hAnsi="Times New Roman" w:cs="Times New Roman"/>
          <w:sz w:val="28"/>
          <w:szCs w:val="28"/>
        </w:rPr>
        <w:t>investigator-initiated, individually randomised, controlled, open-label, adaptive platform trial to evaluate the effects of potential treatments in patients hospitalised with COVID-19.</w:t>
      </w:r>
    </w:p>
    <w:p w14:paraId="1DDA649C" w14:textId="77777777" w:rsidR="00AB56F3" w:rsidRPr="00E11FF4" w:rsidRDefault="00000000" w:rsidP="00E11FF4">
      <w:pPr>
        <w:spacing w:after="240" w:line="360" w:lineRule="auto"/>
        <w:ind w:left="731" w:right="227" w:hanging="11"/>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rPr>
        <w:t>The trial was conducted at 176 hospital organizations in the United Kingdom.</w:t>
      </w:r>
    </w:p>
    <w:p w14:paraId="5E5279C1" w14:textId="77777777" w:rsidR="00AB56F3" w:rsidRPr="00E11FF4" w:rsidRDefault="00000000" w:rsidP="00E11FF4">
      <w:pPr>
        <w:spacing w:after="281" w:line="360" w:lineRule="auto"/>
        <w:ind w:left="730" w:right="224" w:hanging="10"/>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rPr>
        <w:t>There were 6425 Patients randomised to receive either dexamethasone (2104 patients) or usual care alone (4321 patients). 89% of the patients had laboratory-confirmed SARS-CoV-2 infection.</w:t>
      </w:r>
    </w:p>
    <w:p w14:paraId="1D15CD16" w14:textId="77777777" w:rsidR="00AB56F3" w:rsidRPr="00E11FF4" w:rsidRDefault="00000000" w:rsidP="00E11FF4">
      <w:pPr>
        <w:spacing w:after="240" w:line="360" w:lineRule="auto"/>
        <w:ind w:left="731" w:right="227" w:hanging="11"/>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rPr>
        <w:lastRenderedPageBreak/>
        <w:t>At randomization, 16% of patients were receiving invasive mechanical ventilation or extracorporeal membrane oxygenation, 60% were receiving oxygen only (with or without non invasive ventilation), and 24% were receiving neither.</w:t>
      </w:r>
    </w:p>
    <w:p w14:paraId="7A51145C" w14:textId="77777777" w:rsidR="00E11FF4" w:rsidRDefault="00000000" w:rsidP="00E11FF4">
      <w:pPr>
        <w:spacing w:after="240" w:line="360" w:lineRule="auto"/>
        <w:ind w:left="714" w:right="471" w:hanging="11"/>
        <w:jc w:val="thaiDistribute"/>
        <w:rPr>
          <w:rFonts w:ascii="Times New Roman" w:eastAsia="Times New Roman" w:hAnsi="Times New Roman" w:cs="Times New Roman"/>
          <w:sz w:val="28"/>
          <w:szCs w:val="28"/>
        </w:rPr>
      </w:pPr>
      <w:r w:rsidRPr="00E11FF4">
        <w:rPr>
          <w:rFonts w:ascii="Times New Roman" w:eastAsia="Times New Roman" w:hAnsi="Times New Roman" w:cs="Times New Roman"/>
          <w:sz w:val="28"/>
          <w:szCs w:val="28"/>
        </w:rPr>
        <w:t>The mean age of patients was 66.1+/-15.7 years. 36% of the patients were female. 24% of patients had a history of diabetes, 27% of heart disease and 21% of chronic lung disease.</w:t>
      </w:r>
    </w:p>
    <w:p w14:paraId="358693FE" w14:textId="0F138139" w:rsidR="00AB56F3" w:rsidRPr="00E11FF4" w:rsidRDefault="00000000" w:rsidP="00E11FF4">
      <w:pPr>
        <w:spacing w:after="240" w:line="360" w:lineRule="auto"/>
        <w:ind w:left="714" w:right="471" w:hanging="11"/>
        <w:rPr>
          <w:rFonts w:ascii="Times New Roman" w:hAnsi="Times New Roman" w:cs="Times New Roman"/>
          <w:i/>
          <w:iCs/>
          <w:sz w:val="28"/>
          <w:szCs w:val="28"/>
        </w:rPr>
      </w:pPr>
      <w:r w:rsidRPr="00E11FF4">
        <w:rPr>
          <w:rFonts w:ascii="Times New Roman" w:eastAsia="Times New Roman" w:hAnsi="Times New Roman" w:cs="Times New Roman"/>
          <w:i/>
          <w:iCs/>
          <w:sz w:val="28"/>
          <w:szCs w:val="28"/>
        </w:rPr>
        <w:t>Primary endpoint</w:t>
      </w:r>
    </w:p>
    <w:p w14:paraId="06E85370" w14:textId="77777777" w:rsidR="00AB56F3" w:rsidRPr="00E11FF4" w:rsidRDefault="00000000" w:rsidP="00E11FF4">
      <w:pPr>
        <w:spacing w:after="240" w:line="360" w:lineRule="auto"/>
        <w:ind w:left="731" w:right="227" w:hanging="11"/>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rPr>
        <w:t>Mortality at 28 days was significantly lower in the dexamethasone group than in the usual care group, with deaths reported in 482 of 2104 patients (22.9%) and in 1110 of 4321 patients (25.7%), respectively (rate ratio, 0.83; 95% confidence interval [CI], 0.75 to 0.93; P&lt;0.001).</w:t>
      </w:r>
    </w:p>
    <w:p w14:paraId="153A2F75" w14:textId="40D56C7A" w:rsidR="00AB56F3" w:rsidRPr="00E11FF4" w:rsidRDefault="00000000" w:rsidP="00E11FF4">
      <w:pPr>
        <w:spacing w:after="9" w:line="360" w:lineRule="auto"/>
        <w:ind w:left="740" w:right="224" w:hanging="10"/>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rPr>
        <w:t>In the dexamethasone group, the incidence of death was lower than that in the usual care group among patients receiving invasive mechanical ventilation (29.3% vs.</w:t>
      </w:r>
      <w:r w:rsidR="00E11FF4">
        <w:rPr>
          <w:rFonts w:ascii="Times New Roman" w:hAnsi="Times New Roman" w:cs="Times New Roman"/>
          <w:sz w:val="28"/>
          <w:szCs w:val="28"/>
        </w:rPr>
        <w:t xml:space="preserve"> </w:t>
      </w:r>
      <w:r w:rsidRPr="00E11FF4">
        <w:rPr>
          <w:rFonts w:ascii="Times New Roman" w:eastAsia="Times New Roman" w:hAnsi="Times New Roman" w:cs="Times New Roman"/>
          <w:sz w:val="28"/>
          <w:szCs w:val="28"/>
        </w:rPr>
        <w:t>41.4%; rate ratio, 0.64; 95% CI, 0.51 to 0.81) and in those receiving supplementary oxygen without invasive mechanical ventilation (23.3% vs. 26.2%; rate ratio, 0.82; 95% CI, 0.72 to 0.94).</w:t>
      </w:r>
      <w:r w:rsidR="00E11FF4">
        <w:rPr>
          <w:rFonts w:ascii="Times New Roman" w:hAnsi="Times New Roman" w:cs="Times New Roman"/>
          <w:sz w:val="28"/>
          <w:szCs w:val="28"/>
        </w:rPr>
        <w:t xml:space="preserve"> </w:t>
      </w:r>
      <w:r w:rsidRPr="00E11FF4">
        <w:rPr>
          <w:rFonts w:ascii="Times New Roman" w:eastAsia="Times New Roman" w:hAnsi="Times New Roman" w:cs="Times New Roman"/>
          <w:sz w:val="28"/>
          <w:szCs w:val="28"/>
        </w:rPr>
        <w:t>There was no clear effect of dexamethasone among patients who were not receiving any respiratory support at randomization (17.8% vs. 14.0%; rate ratio, 1.19; 95% CI, 0.91 to 1.55).</w:t>
      </w:r>
    </w:p>
    <w:p w14:paraId="743B46CF" w14:textId="77777777" w:rsidR="00AB56F3" w:rsidRPr="00E11FF4" w:rsidRDefault="00000000" w:rsidP="00E11FF4">
      <w:pPr>
        <w:pStyle w:val="Heading4"/>
        <w:spacing w:after="240" w:line="360" w:lineRule="auto"/>
        <w:ind w:left="0" w:firstLine="720"/>
        <w:jc w:val="thaiDistribute"/>
        <w:rPr>
          <w:b w:val="0"/>
          <w:bCs/>
          <w:iCs/>
          <w:sz w:val="28"/>
          <w:szCs w:val="28"/>
        </w:rPr>
      </w:pPr>
      <w:r w:rsidRPr="00E11FF4">
        <w:rPr>
          <w:b w:val="0"/>
          <w:bCs/>
          <w:iCs/>
          <w:sz w:val="28"/>
          <w:szCs w:val="28"/>
        </w:rPr>
        <w:lastRenderedPageBreak/>
        <w:t>Secondary endpoints</w:t>
      </w:r>
    </w:p>
    <w:p w14:paraId="211872F4" w14:textId="77777777" w:rsidR="00AB56F3" w:rsidRPr="00E11FF4" w:rsidRDefault="00000000" w:rsidP="00E11FF4">
      <w:pPr>
        <w:spacing w:after="240" w:line="360" w:lineRule="auto"/>
        <w:ind w:left="731" w:right="227" w:hanging="11"/>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rPr>
        <w:t>Patients in the dexamethasone group had a shorter duration of hospitalization than those in the usual care group (median, 12 days vs. 13 days) and a greater probability of discharge alive within 28 days (rate ratio, 1.10; 95% CI, 1.03 to 1.17).</w:t>
      </w:r>
    </w:p>
    <w:p w14:paraId="41FEC8F1" w14:textId="77777777" w:rsidR="00AB56F3" w:rsidRPr="00E11FF4" w:rsidRDefault="00000000" w:rsidP="00E11FF4">
      <w:pPr>
        <w:spacing w:after="281" w:line="360" w:lineRule="auto"/>
        <w:ind w:left="730" w:right="224" w:hanging="10"/>
        <w:jc w:val="thaiDistribute"/>
        <w:rPr>
          <w:rFonts w:ascii="Times New Roman" w:hAnsi="Times New Roman" w:cs="Times New Roman"/>
          <w:sz w:val="28"/>
          <w:szCs w:val="28"/>
        </w:rPr>
      </w:pPr>
      <w:r w:rsidRPr="00E11FF4">
        <w:rPr>
          <w:rFonts w:ascii="Times New Roman" w:eastAsia="Times New Roman" w:hAnsi="Times New Roman" w:cs="Times New Roman"/>
          <w:sz w:val="28"/>
          <w:szCs w:val="28"/>
        </w:rPr>
        <w:t>In line with the primary endpoint the greatest effect regarding discharge within 28 days was seen among patients who were receiving invasive mechanical ventilation at randomization (rate ratio 1.48; 95% CI 1.16, 1.90), followed by oxygen only (rate ratio, 1.15 ;95% CI 1.06-1.24) with no beneficial effect in patients not receiving oxygen (rate ratio, 0.96 ; 95% CI 0.85-1.08).</w:t>
      </w:r>
    </w:p>
    <w:tbl>
      <w:tblPr>
        <w:tblStyle w:val="TableGrid"/>
        <w:tblW w:w="8620" w:type="dxa"/>
        <w:tblInd w:w="527" w:type="dxa"/>
        <w:tblCellMar>
          <w:top w:w="168" w:type="dxa"/>
          <w:left w:w="58" w:type="dxa"/>
          <w:bottom w:w="38" w:type="dxa"/>
          <w:right w:w="87" w:type="dxa"/>
        </w:tblCellMar>
        <w:tblLook w:val="04A0" w:firstRow="1" w:lastRow="0" w:firstColumn="1" w:lastColumn="0" w:noHBand="0" w:noVBand="1"/>
      </w:tblPr>
      <w:tblGrid>
        <w:gridCol w:w="2780"/>
        <w:gridCol w:w="1780"/>
        <w:gridCol w:w="2020"/>
        <w:gridCol w:w="2040"/>
      </w:tblGrid>
      <w:tr w:rsidR="00AB56F3" w:rsidRPr="00E11FF4" w14:paraId="307B8A57" w14:textId="77777777" w:rsidTr="00E11FF4">
        <w:trPr>
          <w:cantSplit/>
          <w:trHeight w:val="920"/>
          <w:tblHeader/>
        </w:trPr>
        <w:tc>
          <w:tcPr>
            <w:tcW w:w="2780" w:type="dxa"/>
            <w:tcBorders>
              <w:top w:val="single" w:sz="8" w:space="0" w:color="000000"/>
              <w:left w:val="single" w:sz="8" w:space="0" w:color="000000"/>
              <w:bottom w:val="single" w:sz="8" w:space="0" w:color="000000"/>
              <w:right w:val="single" w:sz="8" w:space="0" w:color="000000"/>
            </w:tcBorders>
          </w:tcPr>
          <w:p w14:paraId="666F9845" w14:textId="77777777" w:rsidR="00AB56F3" w:rsidRPr="00E11FF4" w:rsidRDefault="00000000" w:rsidP="00E11FF4">
            <w:pPr>
              <w:spacing w:after="0"/>
              <w:ind w:left="35"/>
              <w:jc w:val="center"/>
              <w:rPr>
                <w:rFonts w:ascii="Times New Roman" w:hAnsi="Times New Roman" w:cs="Times New Roman"/>
                <w:sz w:val="24"/>
                <w:szCs w:val="24"/>
              </w:rPr>
            </w:pPr>
            <w:r w:rsidRPr="00E11FF4">
              <w:rPr>
                <w:rFonts w:ascii="Times New Roman" w:eastAsia="Times New Roman" w:hAnsi="Times New Roman" w:cs="Times New Roman"/>
                <w:b/>
                <w:sz w:val="24"/>
                <w:szCs w:val="24"/>
              </w:rPr>
              <w:t>Outcome</w:t>
            </w:r>
          </w:p>
        </w:tc>
        <w:tc>
          <w:tcPr>
            <w:tcW w:w="1780" w:type="dxa"/>
            <w:tcBorders>
              <w:top w:val="single" w:sz="8" w:space="0" w:color="000000"/>
              <w:left w:val="single" w:sz="8" w:space="0" w:color="000000"/>
              <w:bottom w:val="single" w:sz="8" w:space="0" w:color="000000"/>
              <w:right w:val="single" w:sz="8" w:space="0" w:color="000000"/>
            </w:tcBorders>
          </w:tcPr>
          <w:p w14:paraId="62317D49" w14:textId="77777777" w:rsidR="00AB56F3" w:rsidRPr="00E11FF4" w:rsidRDefault="00000000" w:rsidP="00E11FF4">
            <w:pPr>
              <w:spacing w:after="0"/>
              <w:jc w:val="center"/>
              <w:rPr>
                <w:rFonts w:ascii="Times New Roman" w:hAnsi="Times New Roman" w:cs="Times New Roman"/>
                <w:sz w:val="24"/>
                <w:szCs w:val="24"/>
              </w:rPr>
            </w:pPr>
            <w:r w:rsidRPr="00E11FF4">
              <w:rPr>
                <w:rFonts w:ascii="Times New Roman" w:eastAsia="Times New Roman" w:hAnsi="Times New Roman" w:cs="Times New Roman"/>
                <w:b/>
                <w:sz w:val="24"/>
                <w:szCs w:val="24"/>
              </w:rPr>
              <w:t>Dexamethasone (N=2104)</w:t>
            </w:r>
          </w:p>
        </w:tc>
        <w:tc>
          <w:tcPr>
            <w:tcW w:w="2020" w:type="dxa"/>
            <w:tcBorders>
              <w:top w:val="single" w:sz="8" w:space="0" w:color="000000"/>
              <w:left w:val="single" w:sz="8" w:space="0" w:color="000000"/>
              <w:bottom w:val="single" w:sz="8" w:space="0" w:color="000000"/>
              <w:right w:val="single" w:sz="8" w:space="0" w:color="000000"/>
            </w:tcBorders>
          </w:tcPr>
          <w:p w14:paraId="1FA03AC7" w14:textId="77777777" w:rsidR="00AB56F3" w:rsidRPr="00E11FF4" w:rsidRDefault="00000000" w:rsidP="00E11FF4">
            <w:pPr>
              <w:spacing w:after="0"/>
              <w:ind w:left="6"/>
              <w:jc w:val="center"/>
              <w:rPr>
                <w:rFonts w:ascii="Times New Roman" w:hAnsi="Times New Roman" w:cs="Times New Roman"/>
                <w:sz w:val="24"/>
                <w:szCs w:val="24"/>
              </w:rPr>
            </w:pPr>
            <w:r w:rsidRPr="00E11FF4">
              <w:rPr>
                <w:rFonts w:ascii="Times New Roman" w:eastAsia="Times New Roman" w:hAnsi="Times New Roman" w:cs="Times New Roman"/>
                <w:b/>
                <w:sz w:val="24"/>
                <w:szCs w:val="24"/>
              </w:rPr>
              <w:t>Usual Care (N=4321)</w:t>
            </w:r>
          </w:p>
        </w:tc>
        <w:tc>
          <w:tcPr>
            <w:tcW w:w="2040" w:type="dxa"/>
            <w:tcBorders>
              <w:top w:val="single" w:sz="8" w:space="0" w:color="000000"/>
              <w:left w:val="single" w:sz="8" w:space="0" w:color="000000"/>
              <w:bottom w:val="single" w:sz="8" w:space="0" w:color="000000"/>
              <w:right w:val="single" w:sz="8" w:space="0" w:color="000000"/>
            </w:tcBorders>
          </w:tcPr>
          <w:p w14:paraId="60FBB54A" w14:textId="77777777" w:rsidR="00AB56F3" w:rsidRPr="00E11FF4" w:rsidRDefault="00000000" w:rsidP="00E11FF4">
            <w:pPr>
              <w:spacing w:after="0"/>
              <w:ind w:left="50"/>
              <w:jc w:val="center"/>
              <w:rPr>
                <w:rFonts w:ascii="Times New Roman" w:hAnsi="Times New Roman" w:cs="Times New Roman"/>
                <w:sz w:val="24"/>
                <w:szCs w:val="24"/>
              </w:rPr>
            </w:pPr>
            <w:r w:rsidRPr="00E11FF4">
              <w:rPr>
                <w:rFonts w:ascii="Times New Roman" w:eastAsia="Times New Roman" w:hAnsi="Times New Roman" w:cs="Times New Roman"/>
                <w:b/>
                <w:sz w:val="24"/>
                <w:szCs w:val="24"/>
              </w:rPr>
              <w:t>Rate or Risk</w:t>
            </w:r>
          </w:p>
          <w:p w14:paraId="3366BF49" w14:textId="77777777" w:rsidR="00AB56F3" w:rsidRPr="00E11FF4" w:rsidRDefault="00000000" w:rsidP="00E11FF4">
            <w:pPr>
              <w:spacing w:after="8"/>
              <w:ind w:left="50"/>
              <w:jc w:val="center"/>
              <w:rPr>
                <w:rFonts w:ascii="Times New Roman" w:hAnsi="Times New Roman" w:cs="Times New Roman"/>
                <w:sz w:val="24"/>
                <w:szCs w:val="24"/>
              </w:rPr>
            </w:pPr>
            <w:r w:rsidRPr="00E11FF4">
              <w:rPr>
                <w:rFonts w:ascii="Times New Roman" w:eastAsia="Times New Roman" w:hAnsi="Times New Roman" w:cs="Times New Roman"/>
                <w:b/>
                <w:sz w:val="24"/>
                <w:szCs w:val="24"/>
              </w:rPr>
              <w:t>Ratio</w:t>
            </w:r>
          </w:p>
          <w:p w14:paraId="07C5207A" w14:textId="77777777" w:rsidR="00AB56F3" w:rsidRPr="00E11FF4" w:rsidRDefault="00000000" w:rsidP="00E11FF4">
            <w:pPr>
              <w:spacing w:after="0"/>
              <w:ind w:left="50"/>
              <w:jc w:val="center"/>
              <w:rPr>
                <w:rFonts w:ascii="Times New Roman" w:hAnsi="Times New Roman" w:cs="Times New Roman"/>
                <w:sz w:val="24"/>
                <w:szCs w:val="24"/>
              </w:rPr>
            </w:pPr>
            <w:r w:rsidRPr="00E11FF4">
              <w:rPr>
                <w:rFonts w:ascii="Times New Roman" w:eastAsia="Times New Roman" w:hAnsi="Times New Roman" w:cs="Times New Roman"/>
                <w:b/>
                <w:sz w:val="24"/>
                <w:szCs w:val="24"/>
              </w:rPr>
              <w:t>(95% CI)</w:t>
            </w:r>
            <w:r w:rsidRPr="00E11FF4">
              <w:rPr>
                <w:rFonts w:ascii="Times New Roman" w:eastAsia="Times New Roman" w:hAnsi="Times New Roman" w:cs="Times New Roman"/>
                <w:sz w:val="24"/>
                <w:szCs w:val="24"/>
              </w:rPr>
              <w:t>*</w:t>
            </w:r>
          </w:p>
        </w:tc>
      </w:tr>
      <w:tr w:rsidR="00AB56F3" w:rsidRPr="00E11FF4" w14:paraId="68098F44" w14:textId="77777777" w:rsidTr="00E11FF4">
        <w:trPr>
          <w:trHeight w:val="416"/>
        </w:trPr>
        <w:tc>
          <w:tcPr>
            <w:tcW w:w="2780" w:type="dxa"/>
            <w:tcBorders>
              <w:top w:val="single" w:sz="8" w:space="0" w:color="000000"/>
              <w:left w:val="single" w:sz="8" w:space="0" w:color="000000"/>
              <w:bottom w:val="single" w:sz="8" w:space="0" w:color="000000"/>
              <w:right w:val="single" w:sz="8" w:space="0" w:color="000000"/>
            </w:tcBorders>
          </w:tcPr>
          <w:p w14:paraId="0E76F0EB" w14:textId="77777777" w:rsidR="00AB56F3" w:rsidRPr="00E11FF4" w:rsidRDefault="00AB56F3" w:rsidP="00E11FF4">
            <w:pPr>
              <w:jc w:val="center"/>
              <w:rPr>
                <w:rFonts w:ascii="Times New Roman" w:hAnsi="Times New Roman" w:cs="Times New Roman"/>
                <w:sz w:val="24"/>
                <w:szCs w:val="24"/>
              </w:rPr>
            </w:pPr>
          </w:p>
        </w:tc>
        <w:tc>
          <w:tcPr>
            <w:tcW w:w="3800" w:type="dxa"/>
            <w:gridSpan w:val="2"/>
            <w:tcBorders>
              <w:top w:val="single" w:sz="8" w:space="0" w:color="000000"/>
              <w:left w:val="single" w:sz="8" w:space="0" w:color="000000"/>
              <w:bottom w:val="single" w:sz="8" w:space="0" w:color="000000"/>
              <w:right w:val="single" w:sz="4" w:space="0" w:color="auto"/>
            </w:tcBorders>
          </w:tcPr>
          <w:p w14:paraId="04051B86" w14:textId="77777777" w:rsidR="00AB56F3" w:rsidRPr="00E11FF4" w:rsidRDefault="00000000" w:rsidP="00E11FF4">
            <w:pPr>
              <w:spacing w:after="0"/>
              <w:ind w:right="45"/>
              <w:jc w:val="center"/>
              <w:rPr>
                <w:rFonts w:ascii="Times New Roman" w:hAnsi="Times New Roman" w:cs="Times New Roman"/>
                <w:sz w:val="24"/>
                <w:szCs w:val="24"/>
              </w:rPr>
            </w:pPr>
            <w:r w:rsidRPr="00E11FF4">
              <w:rPr>
                <w:rFonts w:ascii="Times New Roman" w:eastAsia="Times New Roman" w:hAnsi="Times New Roman" w:cs="Times New Roman"/>
                <w:i/>
                <w:sz w:val="24"/>
                <w:szCs w:val="24"/>
              </w:rPr>
              <w:t>no./total no. of patients</w:t>
            </w:r>
          </w:p>
        </w:tc>
        <w:tc>
          <w:tcPr>
            <w:tcW w:w="2040" w:type="dxa"/>
            <w:tcBorders>
              <w:top w:val="single" w:sz="8" w:space="0" w:color="000000"/>
              <w:left w:val="single" w:sz="4" w:space="0" w:color="auto"/>
              <w:bottom w:val="single" w:sz="8" w:space="0" w:color="000000"/>
              <w:right w:val="single" w:sz="8" w:space="0" w:color="000000"/>
            </w:tcBorders>
          </w:tcPr>
          <w:p w14:paraId="52FDA757" w14:textId="77777777" w:rsidR="00AB56F3" w:rsidRPr="00E11FF4" w:rsidRDefault="00000000" w:rsidP="00E11FF4">
            <w:pPr>
              <w:spacing w:after="0"/>
              <w:ind w:left="60"/>
              <w:jc w:val="center"/>
              <w:rPr>
                <w:rFonts w:ascii="Times New Roman" w:hAnsi="Times New Roman" w:cs="Times New Roman"/>
                <w:sz w:val="24"/>
                <w:szCs w:val="24"/>
              </w:rPr>
            </w:pPr>
            <w:r w:rsidRPr="00E11FF4">
              <w:rPr>
                <w:rFonts w:ascii="Times New Roman" w:eastAsia="Times New Roman" w:hAnsi="Times New Roman" w:cs="Times New Roman"/>
                <w:i/>
                <w:sz w:val="24"/>
                <w:szCs w:val="24"/>
              </w:rPr>
              <w:t>(%)</w:t>
            </w:r>
          </w:p>
        </w:tc>
      </w:tr>
      <w:tr w:rsidR="00AB56F3" w:rsidRPr="00E11FF4" w14:paraId="689AB8D3" w14:textId="77777777" w:rsidTr="00E11FF4">
        <w:trPr>
          <w:trHeight w:val="424"/>
        </w:trPr>
        <w:tc>
          <w:tcPr>
            <w:tcW w:w="2780" w:type="dxa"/>
            <w:tcBorders>
              <w:top w:val="single" w:sz="8" w:space="0" w:color="000000"/>
              <w:left w:val="single" w:sz="8" w:space="0" w:color="000000"/>
              <w:bottom w:val="single" w:sz="8" w:space="0" w:color="000000"/>
              <w:right w:val="nil"/>
            </w:tcBorders>
            <w:shd w:val="clear" w:color="auto" w:fill="F6F6F6"/>
          </w:tcPr>
          <w:p w14:paraId="51CA1BAA" w14:textId="77777777" w:rsidR="00AB56F3" w:rsidRPr="00E11FF4" w:rsidRDefault="00000000" w:rsidP="00E11FF4">
            <w:pPr>
              <w:spacing w:after="0"/>
              <w:ind w:left="125"/>
              <w:jc w:val="center"/>
              <w:rPr>
                <w:rFonts w:ascii="Times New Roman" w:hAnsi="Times New Roman" w:cs="Times New Roman"/>
                <w:sz w:val="24"/>
                <w:szCs w:val="24"/>
              </w:rPr>
            </w:pPr>
            <w:r w:rsidRPr="00E11FF4">
              <w:rPr>
                <w:rFonts w:ascii="Times New Roman" w:eastAsia="Times New Roman" w:hAnsi="Times New Roman" w:cs="Times New Roman"/>
                <w:b/>
                <w:sz w:val="24"/>
                <w:szCs w:val="24"/>
              </w:rPr>
              <w:t>Primary outcome</w:t>
            </w:r>
          </w:p>
        </w:tc>
        <w:tc>
          <w:tcPr>
            <w:tcW w:w="3800" w:type="dxa"/>
            <w:gridSpan w:val="2"/>
            <w:tcBorders>
              <w:top w:val="single" w:sz="8" w:space="0" w:color="000000"/>
              <w:left w:val="nil"/>
              <w:bottom w:val="single" w:sz="8" w:space="0" w:color="000000"/>
              <w:right w:val="nil"/>
            </w:tcBorders>
            <w:shd w:val="clear" w:color="auto" w:fill="F6F6F6"/>
          </w:tcPr>
          <w:p w14:paraId="51941B2E" w14:textId="77777777" w:rsidR="00AB56F3" w:rsidRPr="00E11FF4" w:rsidRDefault="00AB56F3" w:rsidP="00E11FF4">
            <w:pPr>
              <w:jc w:val="center"/>
              <w:rPr>
                <w:rFonts w:ascii="Times New Roman" w:hAnsi="Times New Roman" w:cs="Times New Roman"/>
                <w:sz w:val="24"/>
                <w:szCs w:val="24"/>
              </w:rPr>
            </w:pPr>
          </w:p>
        </w:tc>
        <w:tc>
          <w:tcPr>
            <w:tcW w:w="2040" w:type="dxa"/>
            <w:tcBorders>
              <w:top w:val="single" w:sz="8" w:space="0" w:color="000000"/>
              <w:left w:val="nil"/>
              <w:bottom w:val="single" w:sz="8" w:space="0" w:color="000000"/>
              <w:right w:val="single" w:sz="8" w:space="0" w:color="000000"/>
            </w:tcBorders>
            <w:shd w:val="clear" w:color="auto" w:fill="F6F6F6"/>
          </w:tcPr>
          <w:p w14:paraId="39E3860F" w14:textId="77777777" w:rsidR="00AB56F3" w:rsidRPr="00E11FF4" w:rsidRDefault="00AB56F3" w:rsidP="00E11FF4">
            <w:pPr>
              <w:jc w:val="center"/>
              <w:rPr>
                <w:rFonts w:ascii="Times New Roman" w:hAnsi="Times New Roman" w:cs="Times New Roman"/>
                <w:sz w:val="24"/>
                <w:szCs w:val="24"/>
              </w:rPr>
            </w:pPr>
          </w:p>
        </w:tc>
      </w:tr>
      <w:tr w:rsidR="00AB56F3" w:rsidRPr="00E11FF4" w14:paraId="1A50FE52" w14:textId="77777777" w:rsidTr="00E11FF4">
        <w:trPr>
          <w:trHeight w:val="716"/>
        </w:trPr>
        <w:tc>
          <w:tcPr>
            <w:tcW w:w="2780" w:type="dxa"/>
            <w:tcBorders>
              <w:top w:val="single" w:sz="8" w:space="0" w:color="000000"/>
              <w:left w:val="single" w:sz="8" w:space="0" w:color="000000"/>
              <w:bottom w:val="single" w:sz="8" w:space="0" w:color="000000"/>
              <w:right w:val="single" w:sz="8" w:space="0" w:color="000000"/>
            </w:tcBorders>
          </w:tcPr>
          <w:p w14:paraId="12B16C85" w14:textId="77777777" w:rsidR="00AB56F3" w:rsidRPr="00E11FF4" w:rsidRDefault="00000000" w:rsidP="00E11FF4">
            <w:pPr>
              <w:spacing w:after="0"/>
              <w:ind w:left="60"/>
              <w:jc w:val="center"/>
              <w:rPr>
                <w:rFonts w:ascii="Times New Roman" w:hAnsi="Times New Roman" w:cs="Times New Roman"/>
                <w:sz w:val="24"/>
                <w:szCs w:val="24"/>
              </w:rPr>
            </w:pPr>
            <w:r w:rsidRPr="00E11FF4">
              <w:rPr>
                <w:rFonts w:ascii="Times New Roman" w:eastAsia="Times New Roman" w:hAnsi="Times New Roman" w:cs="Times New Roman"/>
                <w:sz w:val="24"/>
                <w:szCs w:val="24"/>
              </w:rPr>
              <w:t>ality at 28 days</w:t>
            </w:r>
          </w:p>
        </w:tc>
        <w:tc>
          <w:tcPr>
            <w:tcW w:w="1780" w:type="dxa"/>
            <w:tcBorders>
              <w:top w:val="single" w:sz="8" w:space="0" w:color="000000"/>
              <w:left w:val="single" w:sz="8" w:space="0" w:color="000000"/>
              <w:bottom w:val="single" w:sz="8" w:space="0" w:color="000000"/>
              <w:right w:val="single" w:sz="8" w:space="0" w:color="000000"/>
            </w:tcBorders>
          </w:tcPr>
          <w:p w14:paraId="3B9CD314" w14:textId="77777777" w:rsidR="00AB56F3" w:rsidRPr="00E11FF4" w:rsidRDefault="00000000" w:rsidP="00E11FF4">
            <w:pPr>
              <w:spacing w:after="0"/>
              <w:ind w:left="192"/>
              <w:jc w:val="center"/>
              <w:rPr>
                <w:rFonts w:ascii="Times New Roman" w:hAnsi="Times New Roman" w:cs="Times New Roman"/>
                <w:sz w:val="24"/>
                <w:szCs w:val="24"/>
              </w:rPr>
            </w:pPr>
            <w:r w:rsidRPr="00E11FF4">
              <w:rPr>
                <w:rFonts w:ascii="Times New Roman" w:eastAsia="Times New Roman" w:hAnsi="Times New Roman" w:cs="Times New Roman"/>
                <w:sz w:val="24"/>
                <w:szCs w:val="24"/>
              </w:rPr>
              <w:t>482/2104 (22.9)</w:t>
            </w:r>
          </w:p>
        </w:tc>
        <w:tc>
          <w:tcPr>
            <w:tcW w:w="2020" w:type="dxa"/>
            <w:tcBorders>
              <w:top w:val="single" w:sz="8" w:space="0" w:color="000000"/>
              <w:left w:val="single" w:sz="8" w:space="0" w:color="000000"/>
              <w:bottom w:val="single" w:sz="8" w:space="0" w:color="000000"/>
              <w:right w:val="single" w:sz="8" w:space="0" w:color="000000"/>
            </w:tcBorders>
          </w:tcPr>
          <w:p w14:paraId="0A5A78EA" w14:textId="77777777" w:rsidR="00AB56F3" w:rsidRPr="00E11FF4" w:rsidRDefault="00000000" w:rsidP="00E11FF4">
            <w:pPr>
              <w:spacing w:after="0"/>
              <w:ind w:left="660"/>
              <w:jc w:val="center"/>
              <w:rPr>
                <w:rFonts w:ascii="Times New Roman" w:hAnsi="Times New Roman" w:cs="Times New Roman"/>
                <w:sz w:val="24"/>
                <w:szCs w:val="24"/>
              </w:rPr>
            </w:pPr>
            <w:r w:rsidRPr="00E11FF4">
              <w:rPr>
                <w:rFonts w:ascii="Times New Roman" w:eastAsia="Times New Roman" w:hAnsi="Times New Roman" w:cs="Times New Roman"/>
                <w:sz w:val="24"/>
                <w:szCs w:val="24"/>
              </w:rPr>
              <w:t>1110/4321</w:t>
            </w:r>
          </w:p>
          <w:p w14:paraId="4BDD69E5" w14:textId="77777777" w:rsidR="00AB56F3" w:rsidRPr="00E11FF4" w:rsidRDefault="00000000" w:rsidP="00E11FF4">
            <w:pPr>
              <w:spacing w:after="0"/>
              <w:ind w:right="24"/>
              <w:jc w:val="center"/>
              <w:rPr>
                <w:rFonts w:ascii="Times New Roman" w:hAnsi="Times New Roman" w:cs="Times New Roman"/>
                <w:sz w:val="24"/>
                <w:szCs w:val="24"/>
              </w:rPr>
            </w:pPr>
            <w:r w:rsidRPr="00E11FF4">
              <w:rPr>
                <w:rFonts w:ascii="Times New Roman" w:eastAsia="Times New Roman" w:hAnsi="Times New Roman" w:cs="Times New Roman"/>
                <w:sz w:val="24"/>
                <w:szCs w:val="24"/>
              </w:rPr>
              <w:t>(25.7)</w:t>
            </w:r>
          </w:p>
        </w:tc>
        <w:tc>
          <w:tcPr>
            <w:tcW w:w="2040" w:type="dxa"/>
            <w:tcBorders>
              <w:top w:val="single" w:sz="8" w:space="0" w:color="000000"/>
              <w:left w:val="single" w:sz="8" w:space="0" w:color="000000"/>
              <w:bottom w:val="single" w:sz="8" w:space="0" w:color="000000"/>
              <w:right w:val="single" w:sz="8" w:space="0" w:color="000000"/>
            </w:tcBorders>
          </w:tcPr>
          <w:p w14:paraId="08345B93" w14:textId="77777777" w:rsidR="00AB56F3" w:rsidRPr="00E11FF4" w:rsidRDefault="00000000" w:rsidP="00E11FF4">
            <w:pPr>
              <w:spacing w:after="0"/>
              <w:ind w:left="245"/>
              <w:jc w:val="center"/>
              <w:rPr>
                <w:rFonts w:ascii="Times New Roman" w:hAnsi="Times New Roman" w:cs="Times New Roman"/>
                <w:sz w:val="24"/>
                <w:szCs w:val="24"/>
              </w:rPr>
            </w:pPr>
            <w:r w:rsidRPr="00E11FF4">
              <w:rPr>
                <w:rFonts w:ascii="Times New Roman" w:eastAsia="Times New Roman" w:hAnsi="Times New Roman" w:cs="Times New Roman"/>
                <w:sz w:val="24"/>
                <w:szCs w:val="24"/>
              </w:rPr>
              <w:t>0.83 (0.75–</w:t>
            </w:r>
          </w:p>
          <w:p w14:paraId="5BA9C0A9" w14:textId="77777777" w:rsidR="00AB56F3" w:rsidRPr="00E11FF4" w:rsidRDefault="00000000" w:rsidP="00E11FF4">
            <w:pPr>
              <w:spacing w:after="0"/>
              <w:ind w:right="107"/>
              <w:jc w:val="center"/>
              <w:rPr>
                <w:rFonts w:ascii="Times New Roman" w:hAnsi="Times New Roman" w:cs="Times New Roman"/>
                <w:sz w:val="24"/>
                <w:szCs w:val="24"/>
              </w:rPr>
            </w:pPr>
            <w:r w:rsidRPr="00E11FF4">
              <w:rPr>
                <w:rFonts w:ascii="Times New Roman" w:eastAsia="Times New Roman" w:hAnsi="Times New Roman" w:cs="Times New Roman"/>
                <w:sz w:val="24"/>
                <w:szCs w:val="24"/>
              </w:rPr>
              <w:t>0.93)</w:t>
            </w:r>
          </w:p>
        </w:tc>
      </w:tr>
      <w:tr w:rsidR="00AB56F3" w:rsidRPr="00E11FF4" w14:paraId="7898F0CF" w14:textId="77777777" w:rsidTr="00E11FF4">
        <w:trPr>
          <w:trHeight w:val="424"/>
        </w:trPr>
        <w:tc>
          <w:tcPr>
            <w:tcW w:w="2780" w:type="dxa"/>
            <w:tcBorders>
              <w:top w:val="single" w:sz="8" w:space="0" w:color="000000"/>
              <w:left w:val="single" w:sz="8" w:space="0" w:color="000000"/>
              <w:bottom w:val="single" w:sz="8" w:space="0" w:color="000000"/>
              <w:right w:val="nil"/>
            </w:tcBorders>
            <w:shd w:val="clear" w:color="auto" w:fill="F6F6F6"/>
          </w:tcPr>
          <w:p w14:paraId="30394AFC" w14:textId="77777777" w:rsidR="00AB56F3" w:rsidRPr="00E11FF4" w:rsidRDefault="00000000" w:rsidP="00E11FF4">
            <w:pPr>
              <w:spacing w:after="0"/>
              <w:ind w:right="52"/>
              <w:jc w:val="center"/>
              <w:rPr>
                <w:rFonts w:ascii="Times New Roman" w:hAnsi="Times New Roman" w:cs="Times New Roman"/>
                <w:sz w:val="24"/>
                <w:szCs w:val="24"/>
              </w:rPr>
            </w:pPr>
            <w:r w:rsidRPr="00E11FF4">
              <w:rPr>
                <w:rFonts w:ascii="Times New Roman" w:eastAsia="Times New Roman" w:hAnsi="Times New Roman" w:cs="Times New Roman"/>
                <w:b/>
                <w:sz w:val="24"/>
                <w:szCs w:val="24"/>
              </w:rPr>
              <w:t>Secondary outcomes</w:t>
            </w:r>
          </w:p>
        </w:tc>
        <w:tc>
          <w:tcPr>
            <w:tcW w:w="3800" w:type="dxa"/>
            <w:gridSpan w:val="2"/>
            <w:tcBorders>
              <w:top w:val="single" w:sz="8" w:space="0" w:color="000000"/>
              <w:left w:val="nil"/>
              <w:bottom w:val="single" w:sz="8" w:space="0" w:color="000000"/>
              <w:right w:val="nil"/>
            </w:tcBorders>
            <w:shd w:val="clear" w:color="auto" w:fill="F6F6F6"/>
          </w:tcPr>
          <w:p w14:paraId="20FE6C0E" w14:textId="77777777" w:rsidR="00AB56F3" w:rsidRPr="00E11FF4" w:rsidRDefault="00AB56F3" w:rsidP="00E11FF4">
            <w:pPr>
              <w:jc w:val="center"/>
              <w:rPr>
                <w:rFonts w:ascii="Times New Roman" w:hAnsi="Times New Roman" w:cs="Times New Roman"/>
                <w:sz w:val="24"/>
                <w:szCs w:val="24"/>
              </w:rPr>
            </w:pPr>
          </w:p>
        </w:tc>
        <w:tc>
          <w:tcPr>
            <w:tcW w:w="2040" w:type="dxa"/>
            <w:tcBorders>
              <w:top w:val="single" w:sz="8" w:space="0" w:color="000000"/>
              <w:left w:val="nil"/>
              <w:bottom w:val="single" w:sz="8" w:space="0" w:color="000000"/>
              <w:right w:val="single" w:sz="8" w:space="0" w:color="000000"/>
            </w:tcBorders>
            <w:shd w:val="clear" w:color="auto" w:fill="F6F6F6"/>
          </w:tcPr>
          <w:p w14:paraId="5B842C00" w14:textId="77777777" w:rsidR="00AB56F3" w:rsidRPr="00E11FF4" w:rsidRDefault="00AB56F3" w:rsidP="00E11FF4">
            <w:pPr>
              <w:jc w:val="center"/>
              <w:rPr>
                <w:rFonts w:ascii="Times New Roman" w:hAnsi="Times New Roman" w:cs="Times New Roman"/>
                <w:sz w:val="24"/>
                <w:szCs w:val="24"/>
              </w:rPr>
            </w:pPr>
          </w:p>
        </w:tc>
      </w:tr>
      <w:tr w:rsidR="00AB56F3" w:rsidRPr="00E11FF4" w14:paraId="51023D6F" w14:textId="77777777" w:rsidTr="00E11FF4">
        <w:trPr>
          <w:trHeight w:val="716"/>
        </w:trPr>
        <w:tc>
          <w:tcPr>
            <w:tcW w:w="2780" w:type="dxa"/>
            <w:tcBorders>
              <w:top w:val="single" w:sz="8" w:space="0" w:color="000000"/>
              <w:left w:val="single" w:sz="8" w:space="0" w:color="000000"/>
              <w:bottom w:val="single" w:sz="8" w:space="0" w:color="000000"/>
              <w:right w:val="single" w:sz="8" w:space="0" w:color="000000"/>
            </w:tcBorders>
          </w:tcPr>
          <w:p w14:paraId="1E5B3C39" w14:textId="77777777" w:rsidR="00AB56F3" w:rsidRPr="00E11FF4" w:rsidRDefault="00000000" w:rsidP="00E11FF4">
            <w:pPr>
              <w:spacing w:after="0"/>
              <w:ind w:left="15"/>
              <w:jc w:val="center"/>
              <w:rPr>
                <w:rFonts w:ascii="Times New Roman" w:hAnsi="Times New Roman" w:cs="Times New Roman"/>
                <w:sz w:val="24"/>
                <w:szCs w:val="24"/>
              </w:rPr>
            </w:pPr>
            <w:r w:rsidRPr="00E11FF4">
              <w:rPr>
                <w:rFonts w:ascii="Times New Roman" w:eastAsia="Times New Roman" w:hAnsi="Times New Roman" w:cs="Times New Roman"/>
                <w:sz w:val="24"/>
                <w:szCs w:val="24"/>
              </w:rPr>
              <w:t>harged from hospital within</w:t>
            </w:r>
          </w:p>
        </w:tc>
        <w:tc>
          <w:tcPr>
            <w:tcW w:w="1780" w:type="dxa"/>
            <w:tcBorders>
              <w:top w:val="single" w:sz="8" w:space="0" w:color="000000"/>
              <w:left w:val="single" w:sz="8" w:space="0" w:color="000000"/>
              <w:bottom w:val="single" w:sz="8" w:space="0" w:color="000000"/>
              <w:right w:val="single" w:sz="8" w:space="0" w:color="000000"/>
            </w:tcBorders>
          </w:tcPr>
          <w:p w14:paraId="2D221653" w14:textId="77777777" w:rsidR="00AB56F3" w:rsidRPr="00E11FF4" w:rsidRDefault="00000000" w:rsidP="00E11FF4">
            <w:pPr>
              <w:spacing w:after="0"/>
              <w:ind w:left="205"/>
              <w:jc w:val="center"/>
              <w:rPr>
                <w:rFonts w:ascii="Times New Roman" w:hAnsi="Times New Roman" w:cs="Times New Roman"/>
                <w:sz w:val="24"/>
                <w:szCs w:val="24"/>
              </w:rPr>
            </w:pPr>
            <w:r w:rsidRPr="00E11FF4">
              <w:rPr>
                <w:rFonts w:ascii="Times New Roman" w:eastAsia="Times New Roman" w:hAnsi="Times New Roman" w:cs="Times New Roman"/>
                <w:sz w:val="24"/>
                <w:szCs w:val="24"/>
              </w:rPr>
              <w:t>1413/2104</w:t>
            </w:r>
          </w:p>
          <w:p w14:paraId="0FBF29CC" w14:textId="77777777" w:rsidR="00AB56F3" w:rsidRPr="00E11FF4" w:rsidRDefault="00000000" w:rsidP="00E11FF4">
            <w:pPr>
              <w:spacing w:after="0"/>
              <w:ind w:left="205"/>
              <w:jc w:val="center"/>
              <w:rPr>
                <w:rFonts w:ascii="Times New Roman" w:hAnsi="Times New Roman" w:cs="Times New Roman"/>
                <w:sz w:val="24"/>
                <w:szCs w:val="24"/>
              </w:rPr>
            </w:pPr>
            <w:r w:rsidRPr="00E11FF4">
              <w:rPr>
                <w:rFonts w:ascii="Times New Roman" w:eastAsia="Times New Roman" w:hAnsi="Times New Roman" w:cs="Times New Roman"/>
                <w:sz w:val="24"/>
                <w:szCs w:val="24"/>
              </w:rPr>
              <w:t>(67.2)</w:t>
            </w:r>
          </w:p>
        </w:tc>
        <w:tc>
          <w:tcPr>
            <w:tcW w:w="2020" w:type="dxa"/>
            <w:tcBorders>
              <w:top w:val="single" w:sz="8" w:space="0" w:color="000000"/>
              <w:left w:val="single" w:sz="8" w:space="0" w:color="000000"/>
              <w:bottom w:val="single" w:sz="8" w:space="0" w:color="000000"/>
              <w:right w:val="single" w:sz="8" w:space="0" w:color="000000"/>
            </w:tcBorders>
          </w:tcPr>
          <w:p w14:paraId="33B34111" w14:textId="77777777" w:rsidR="00AB56F3" w:rsidRPr="00E11FF4" w:rsidRDefault="00000000" w:rsidP="00E11FF4">
            <w:pPr>
              <w:spacing w:after="0"/>
              <w:ind w:left="660" w:hanging="103"/>
              <w:jc w:val="center"/>
              <w:rPr>
                <w:rFonts w:ascii="Times New Roman" w:hAnsi="Times New Roman" w:cs="Times New Roman"/>
                <w:sz w:val="24"/>
                <w:szCs w:val="24"/>
              </w:rPr>
            </w:pPr>
            <w:r w:rsidRPr="00E11FF4">
              <w:rPr>
                <w:rFonts w:ascii="Times New Roman" w:eastAsia="Times New Roman" w:hAnsi="Times New Roman" w:cs="Times New Roman"/>
                <w:sz w:val="24"/>
                <w:szCs w:val="24"/>
              </w:rPr>
              <w:t>2745/4321 (63.5)</w:t>
            </w:r>
          </w:p>
        </w:tc>
        <w:tc>
          <w:tcPr>
            <w:tcW w:w="2040" w:type="dxa"/>
            <w:tcBorders>
              <w:top w:val="single" w:sz="8" w:space="0" w:color="000000"/>
              <w:left w:val="single" w:sz="8" w:space="0" w:color="000000"/>
              <w:bottom w:val="single" w:sz="8" w:space="0" w:color="000000"/>
              <w:right w:val="single" w:sz="8" w:space="0" w:color="000000"/>
            </w:tcBorders>
          </w:tcPr>
          <w:p w14:paraId="7ED3E75D" w14:textId="77777777" w:rsidR="00AB56F3" w:rsidRPr="00E11FF4" w:rsidRDefault="00000000" w:rsidP="00E11FF4">
            <w:pPr>
              <w:spacing w:after="0"/>
              <w:ind w:left="245"/>
              <w:jc w:val="center"/>
              <w:rPr>
                <w:rFonts w:ascii="Times New Roman" w:hAnsi="Times New Roman" w:cs="Times New Roman"/>
                <w:sz w:val="24"/>
                <w:szCs w:val="24"/>
              </w:rPr>
            </w:pPr>
            <w:r w:rsidRPr="00E11FF4">
              <w:rPr>
                <w:rFonts w:ascii="Times New Roman" w:eastAsia="Times New Roman" w:hAnsi="Times New Roman" w:cs="Times New Roman"/>
                <w:sz w:val="24"/>
                <w:szCs w:val="24"/>
              </w:rPr>
              <w:t>1.10 (1.03–</w:t>
            </w:r>
          </w:p>
          <w:p w14:paraId="225FD1D9" w14:textId="77777777" w:rsidR="00AB56F3" w:rsidRPr="00E11FF4" w:rsidRDefault="00000000" w:rsidP="00E11FF4">
            <w:pPr>
              <w:spacing w:after="0"/>
              <w:ind w:right="107"/>
              <w:jc w:val="center"/>
              <w:rPr>
                <w:rFonts w:ascii="Times New Roman" w:hAnsi="Times New Roman" w:cs="Times New Roman"/>
                <w:sz w:val="24"/>
                <w:szCs w:val="24"/>
              </w:rPr>
            </w:pPr>
            <w:r w:rsidRPr="00E11FF4">
              <w:rPr>
                <w:rFonts w:ascii="Times New Roman" w:eastAsia="Times New Roman" w:hAnsi="Times New Roman" w:cs="Times New Roman"/>
                <w:sz w:val="24"/>
                <w:szCs w:val="24"/>
              </w:rPr>
              <w:t>1.17)</w:t>
            </w:r>
          </w:p>
        </w:tc>
      </w:tr>
      <w:tr w:rsidR="00AB56F3" w:rsidRPr="00E11FF4" w14:paraId="60D81F33" w14:textId="77777777" w:rsidTr="00E11FF4">
        <w:trPr>
          <w:trHeight w:val="664"/>
        </w:trPr>
        <w:tc>
          <w:tcPr>
            <w:tcW w:w="2780" w:type="dxa"/>
            <w:tcBorders>
              <w:top w:val="single" w:sz="8" w:space="0" w:color="000000"/>
              <w:left w:val="single" w:sz="8" w:space="0" w:color="000000"/>
              <w:bottom w:val="single" w:sz="8" w:space="0" w:color="000000"/>
              <w:right w:val="single" w:sz="8" w:space="0" w:color="000000"/>
            </w:tcBorders>
            <w:shd w:val="clear" w:color="auto" w:fill="F6F6F6"/>
          </w:tcPr>
          <w:p w14:paraId="5DFBAFBA" w14:textId="77777777" w:rsidR="00AB56F3" w:rsidRPr="00E11FF4" w:rsidRDefault="00000000" w:rsidP="00E11FF4">
            <w:pPr>
              <w:spacing w:after="11"/>
              <w:jc w:val="center"/>
              <w:rPr>
                <w:rFonts w:ascii="Times New Roman" w:hAnsi="Times New Roman" w:cs="Times New Roman"/>
                <w:sz w:val="24"/>
                <w:szCs w:val="24"/>
              </w:rPr>
            </w:pPr>
            <w:r w:rsidRPr="00E11FF4">
              <w:rPr>
                <w:rFonts w:ascii="Times New Roman" w:eastAsia="Times New Roman" w:hAnsi="Times New Roman" w:cs="Times New Roman"/>
                <w:sz w:val="24"/>
                <w:szCs w:val="24"/>
              </w:rPr>
              <w:t>sive mechanical ventilation</w:t>
            </w:r>
          </w:p>
          <w:p w14:paraId="1B915BB2" w14:textId="77777777" w:rsidR="00AB56F3" w:rsidRPr="00E11FF4" w:rsidRDefault="00000000" w:rsidP="00E11FF4">
            <w:pPr>
              <w:spacing w:after="0"/>
              <w:ind w:left="90"/>
              <w:jc w:val="center"/>
              <w:rPr>
                <w:rFonts w:ascii="Times New Roman" w:hAnsi="Times New Roman" w:cs="Times New Roman"/>
                <w:sz w:val="24"/>
                <w:szCs w:val="24"/>
              </w:rPr>
            </w:pPr>
            <w:r w:rsidRPr="00E11FF4">
              <w:rPr>
                <w:rFonts w:ascii="Times New Roman" w:eastAsia="Times New Roman" w:hAnsi="Times New Roman" w:cs="Times New Roman"/>
                <w:sz w:val="24"/>
                <w:szCs w:val="24"/>
              </w:rPr>
              <w:t>or †</w:t>
            </w:r>
          </w:p>
        </w:tc>
        <w:tc>
          <w:tcPr>
            <w:tcW w:w="1780" w:type="dxa"/>
            <w:tcBorders>
              <w:top w:val="single" w:sz="8" w:space="0" w:color="000000"/>
              <w:left w:val="single" w:sz="8" w:space="0" w:color="000000"/>
              <w:bottom w:val="single" w:sz="8" w:space="0" w:color="000000"/>
              <w:right w:val="single" w:sz="8" w:space="0" w:color="000000"/>
            </w:tcBorders>
            <w:shd w:val="clear" w:color="auto" w:fill="F6F6F6"/>
          </w:tcPr>
          <w:p w14:paraId="32778F6F" w14:textId="77777777" w:rsidR="00AB56F3" w:rsidRPr="00E11FF4" w:rsidRDefault="00000000" w:rsidP="00E11FF4">
            <w:pPr>
              <w:spacing w:after="0"/>
              <w:ind w:left="192"/>
              <w:jc w:val="center"/>
              <w:rPr>
                <w:rFonts w:ascii="Times New Roman" w:hAnsi="Times New Roman" w:cs="Times New Roman"/>
                <w:sz w:val="24"/>
                <w:szCs w:val="24"/>
              </w:rPr>
            </w:pPr>
            <w:r w:rsidRPr="00E11FF4">
              <w:rPr>
                <w:rFonts w:ascii="Times New Roman" w:eastAsia="Times New Roman" w:hAnsi="Times New Roman" w:cs="Times New Roman"/>
                <w:sz w:val="24"/>
                <w:szCs w:val="24"/>
              </w:rPr>
              <w:t>456/1780 (25.6)</w:t>
            </w:r>
          </w:p>
        </w:tc>
        <w:tc>
          <w:tcPr>
            <w:tcW w:w="2020" w:type="dxa"/>
            <w:tcBorders>
              <w:top w:val="single" w:sz="8" w:space="0" w:color="000000"/>
              <w:left w:val="single" w:sz="8" w:space="0" w:color="000000"/>
              <w:bottom w:val="single" w:sz="8" w:space="0" w:color="000000"/>
              <w:right w:val="single" w:sz="8" w:space="0" w:color="000000"/>
            </w:tcBorders>
            <w:shd w:val="clear" w:color="auto" w:fill="F6F6F6"/>
          </w:tcPr>
          <w:p w14:paraId="2FC67203" w14:textId="77777777" w:rsidR="00AB56F3" w:rsidRPr="00E11FF4" w:rsidRDefault="00000000" w:rsidP="00E11FF4">
            <w:pPr>
              <w:spacing w:after="0"/>
              <w:jc w:val="center"/>
              <w:rPr>
                <w:rFonts w:ascii="Times New Roman" w:hAnsi="Times New Roman" w:cs="Times New Roman"/>
                <w:sz w:val="24"/>
                <w:szCs w:val="24"/>
              </w:rPr>
            </w:pPr>
            <w:r w:rsidRPr="00E11FF4">
              <w:rPr>
                <w:rFonts w:ascii="Times New Roman" w:eastAsia="Times New Roman" w:hAnsi="Times New Roman" w:cs="Times New Roman"/>
                <w:sz w:val="24"/>
                <w:szCs w:val="24"/>
              </w:rPr>
              <w:t>994/3638 (27.3)</w:t>
            </w:r>
          </w:p>
        </w:tc>
        <w:tc>
          <w:tcPr>
            <w:tcW w:w="2040" w:type="dxa"/>
            <w:tcBorders>
              <w:top w:val="single" w:sz="8" w:space="0" w:color="000000"/>
              <w:left w:val="single" w:sz="8" w:space="0" w:color="000000"/>
              <w:bottom w:val="single" w:sz="8" w:space="0" w:color="000000"/>
              <w:right w:val="single" w:sz="8" w:space="0" w:color="000000"/>
            </w:tcBorders>
            <w:shd w:val="clear" w:color="auto" w:fill="F6F6F6"/>
          </w:tcPr>
          <w:p w14:paraId="6B10AB03" w14:textId="77777777" w:rsidR="00AB56F3" w:rsidRPr="00E11FF4" w:rsidRDefault="00000000" w:rsidP="00E11FF4">
            <w:pPr>
              <w:spacing w:after="0"/>
              <w:ind w:left="671"/>
              <w:jc w:val="center"/>
              <w:rPr>
                <w:rFonts w:ascii="Times New Roman" w:hAnsi="Times New Roman" w:cs="Times New Roman"/>
                <w:sz w:val="24"/>
                <w:szCs w:val="24"/>
              </w:rPr>
            </w:pPr>
            <w:r w:rsidRPr="00E11FF4">
              <w:rPr>
                <w:rFonts w:ascii="Times New Roman" w:eastAsia="Times New Roman" w:hAnsi="Times New Roman" w:cs="Times New Roman"/>
                <w:sz w:val="24"/>
                <w:szCs w:val="24"/>
              </w:rPr>
              <w:t>0.92 (0.84–</w:t>
            </w:r>
          </w:p>
          <w:p w14:paraId="797D8EB1" w14:textId="77777777" w:rsidR="00AB56F3" w:rsidRPr="00E11FF4" w:rsidRDefault="00000000" w:rsidP="00E11FF4">
            <w:pPr>
              <w:spacing w:after="0"/>
              <w:ind w:right="107"/>
              <w:jc w:val="center"/>
              <w:rPr>
                <w:rFonts w:ascii="Times New Roman" w:hAnsi="Times New Roman" w:cs="Times New Roman"/>
                <w:sz w:val="24"/>
                <w:szCs w:val="24"/>
              </w:rPr>
            </w:pPr>
            <w:r w:rsidRPr="00E11FF4">
              <w:rPr>
                <w:rFonts w:ascii="Times New Roman" w:eastAsia="Times New Roman" w:hAnsi="Times New Roman" w:cs="Times New Roman"/>
                <w:sz w:val="24"/>
                <w:szCs w:val="24"/>
              </w:rPr>
              <w:t>1.01)</w:t>
            </w:r>
          </w:p>
        </w:tc>
      </w:tr>
      <w:tr w:rsidR="00AB56F3" w:rsidRPr="00E11FF4" w14:paraId="6A6CE962" w14:textId="77777777" w:rsidTr="00E11FF4">
        <w:trPr>
          <w:trHeight w:val="701"/>
        </w:trPr>
        <w:tc>
          <w:tcPr>
            <w:tcW w:w="2780" w:type="dxa"/>
            <w:tcBorders>
              <w:top w:val="single" w:sz="8" w:space="0" w:color="000000"/>
              <w:left w:val="single" w:sz="8" w:space="0" w:color="000000"/>
              <w:bottom w:val="single" w:sz="8" w:space="0" w:color="000000"/>
              <w:right w:val="single" w:sz="8" w:space="0" w:color="000000"/>
            </w:tcBorders>
          </w:tcPr>
          <w:p w14:paraId="5E31CDF4" w14:textId="77777777" w:rsidR="00AB56F3" w:rsidRPr="00E11FF4" w:rsidRDefault="00000000" w:rsidP="00E11FF4">
            <w:pPr>
              <w:spacing w:after="0"/>
              <w:jc w:val="center"/>
              <w:rPr>
                <w:rFonts w:ascii="Times New Roman" w:hAnsi="Times New Roman" w:cs="Times New Roman"/>
                <w:sz w:val="24"/>
                <w:szCs w:val="24"/>
              </w:rPr>
            </w:pPr>
            <w:r w:rsidRPr="00E11FF4">
              <w:rPr>
                <w:rFonts w:ascii="Times New Roman" w:eastAsia="Times New Roman" w:hAnsi="Times New Roman" w:cs="Times New Roman"/>
                <w:sz w:val="24"/>
                <w:szCs w:val="24"/>
              </w:rPr>
              <w:lastRenderedPageBreak/>
              <w:t>sive mechanical ventilation</w:t>
            </w:r>
          </w:p>
        </w:tc>
        <w:tc>
          <w:tcPr>
            <w:tcW w:w="1780" w:type="dxa"/>
            <w:tcBorders>
              <w:top w:val="single" w:sz="8" w:space="0" w:color="000000"/>
              <w:left w:val="single" w:sz="8" w:space="0" w:color="000000"/>
              <w:bottom w:val="single" w:sz="8" w:space="0" w:color="000000"/>
              <w:right w:val="single" w:sz="8" w:space="0" w:color="000000"/>
            </w:tcBorders>
          </w:tcPr>
          <w:p w14:paraId="37B6EF18" w14:textId="77777777" w:rsidR="00AB56F3" w:rsidRPr="00E11FF4" w:rsidRDefault="00000000" w:rsidP="00E11FF4">
            <w:pPr>
              <w:spacing w:after="0"/>
              <w:ind w:left="82"/>
              <w:jc w:val="center"/>
              <w:rPr>
                <w:rFonts w:ascii="Times New Roman" w:hAnsi="Times New Roman" w:cs="Times New Roman"/>
                <w:sz w:val="24"/>
                <w:szCs w:val="24"/>
              </w:rPr>
            </w:pPr>
            <w:r w:rsidRPr="00E11FF4">
              <w:rPr>
                <w:rFonts w:ascii="Times New Roman" w:eastAsia="Times New Roman" w:hAnsi="Times New Roman" w:cs="Times New Roman"/>
                <w:sz w:val="24"/>
                <w:szCs w:val="24"/>
              </w:rPr>
              <w:t>102/1780 (5.7)</w:t>
            </w:r>
          </w:p>
        </w:tc>
        <w:tc>
          <w:tcPr>
            <w:tcW w:w="2020" w:type="dxa"/>
            <w:tcBorders>
              <w:top w:val="single" w:sz="8" w:space="0" w:color="000000"/>
              <w:left w:val="single" w:sz="8" w:space="0" w:color="000000"/>
              <w:bottom w:val="single" w:sz="8" w:space="0" w:color="000000"/>
              <w:right w:val="single" w:sz="8" w:space="0" w:color="000000"/>
            </w:tcBorders>
          </w:tcPr>
          <w:p w14:paraId="7FFF434E" w14:textId="77777777" w:rsidR="00AB56F3" w:rsidRPr="00E11FF4" w:rsidRDefault="00000000" w:rsidP="00E11FF4">
            <w:pPr>
              <w:spacing w:after="0"/>
              <w:ind w:left="463"/>
              <w:jc w:val="center"/>
              <w:rPr>
                <w:rFonts w:ascii="Times New Roman" w:hAnsi="Times New Roman" w:cs="Times New Roman"/>
                <w:sz w:val="24"/>
                <w:szCs w:val="24"/>
              </w:rPr>
            </w:pPr>
            <w:r w:rsidRPr="00E11FF4">
              <w:rPr>
                <w:rFonts w:ascii="Times New Roman" w:eastAsia="Times New Roman" w:hAnsi="Times New Roman" w:cs="Times New Roman"/>
                <w:sz w:val="24"/>
                <w:szCs w:val="24"/>
              </w:rPr>
              <w:t>285/3638 (7.8)</w:t>
            </w:r>
          </w:p>
        </w:tc>
        <w:tc>
          <w:tcPr>
            <w:tcW w:w="2040" w:type="dxa"/>
            <w:tcBorders>
              <w:top w:val="single" w:sz="8" w:space="0" w:color="000000"/>
              <w:left w:val="single" w:sz="8" w:space="0" w:color="000000"/>
              <w:bottom w:val="single" w:sz="8" w:space="0" w:color="000000"/>
              <w:right w:val="single" w:sz="8" w:space="0" w:color="000000"/>
            </w:tcBorders>
          </w:tcPr>
          <w:p w14:paraId="7EC6147F" w14:textId="77777777" w:rsidR="00AB56F3" w:rsidRPr="00E11FF4" w:rsidRDefault="00000000" w:rsidP="00E11FF4">
            <w:pPr>
              <w:spacing w:after="0"/>
              <w:ind w:left="245"/>
              <w:jc w:val="center"/>
              <w:rPr>
                <w:rFonts w:ascii="Times New Roman" w:hAnsi="Times New Roman" w:cs="Times New Roman"/>
                <w:sz w:val="24"/>
                <w:szCs w:val="24"/>
              </w:rPr>
            </w:pPr>
            <w:r w:rsidRPr="00E11FF4">
              <w:rPr>
                <w:rFonts w:ascii="Times New Roman" w:eastAsia="Times New Roman" w:hAnsi="Times New Roman" w:cs="Times New Roman"/>
                <w:sz w:val="24"/>
                <w:szCs w:val="24"/>
              </w:rPr>
              <w:t>0.77 (0.62–</w:t>
            </w:r>
          </w:p>
          <w:p w14:paraId="100D546F" w14:textId="77777777" w:rsidR="00AB56F3" w:rsidRPr="00E11FF4" w:rsidRDefault="00000000" w:rsidP="00E11FF4">
            <w:pPr>
              <w:spacing w:after="0"/>
              <w:ind w:right="107"/>
              <w:jc w:val="center"/>
              <w:rPr>
                <w:rFonts w:ascii="Times New Roman" w:hAnsi="Times New Roman" w:cs="Times New Roman"/>
                <w:sz w:val="24"/>
                <w:szCs w:val="24"/>
              </w:rPr>
            </w:pPr>
            <w:r w:rsidRPr="00E11FF4">
              <w:rPr>
                <w:rFonts w:ascii="Times New Roman" w:eastAsia="Times New Roman" w:hAnsi="Times New Roman" w:cs="Times New Roman"/>
                <w:sz w:val="24"/>
                <w:szCs w:val="24"/>
              </w:rPr>
              <w:t>0.95)</w:t>
            </w:r>
          </w:p>
        </w:tc>
      </w:tr>
      <w:tr w:rsidR="00AB56F3" w:rsidRPr="00E11FF4" w14:paraId="09144D99" w14:textId="77777777" w:rsidTr="00E11FF4">
        <w:trPr>
          <w:trHeight w:val="679"/>
        </w:trPr>
        <w:tc>
          <w:tcPr>
            <w:tcW w:w="2780" w:type="dxa"/>
            <w:tcBorders>
              <w:top w:val="single" w:sz="8" w:space="0" w:color="000000"/>
              <w:left w:val="single" w:sz="8" w:space="0" w:color="000000"/>
              <w:bottom w:val="single" w:sz="8" w:space="0" w:color="000000"/>
              <w:right w:val="single" w:sz="8" w:space="0" w:color="000000"/>
            </w:tcBorders>
            <w:shd w:val="clear" w:color="auto" w:fill="F6F6F6"/>
          </w:tcPr>
          <w:p w14:paraId="6F42443E" w14:textId="77777777" w:rsidR="00AB56F3" w:rsidRPr="00E11FF4" w:rsidRDefault="00AB56F3" w:rsidP="00E11FF4">
            <w:pPr>
              <w:jc w:val="center"/>
              <w:rPr>
                <w:rFonts w:ascii="Times New Roman" w:hAnsi="Times New Roman" w:cs="Times New Roman"/>
                <w:sz w:val="24"/>
                <w:szCs w:val="24"/>
              </w:rPr>
            </w:pPr>
          </w:p>
        </w:tc>
        <w:tc>
          <w:tcPr>
            <w:tcW w:w="1780" w:type="dxa"/>
            <w:tcBorders>
              <w:top w:val="single" w:sz="8" w:space="0" w:color="000000"/>
              <w:left w:val="single" w:sz="8" w:space="0" w:color="000000"/>
              <w:bottom w:val="single" w:sz="8" w:space="0" w:color="000000"/>
              <w:right w:val="single" w:sz="8" w:space="0" w:color="000000"/>
            </w:tcBorders>
            <w:shd w:val="clear" w:color="auto" w:fill="F6F6F6"/>
          </w:tcPr>
          <w:p w14:paraId="5C40F116" w14:textId="77777777" w:rsidR="00AB56F3" w:rsidRPr="00E11FF4" w:rsidRDefault="00000000" w:rsidP="00E11FF4">
            <w:pPr>
              <w:spacing w:after="0"/>
              <w:ind w:left="192"/>
              <w:jc w:val="center"/>
              <w:rPr>
                <w:rFonts w:ascii="Times New Roman" w:hAnsi="Times New Roman" w:cs="Times New Roman"/>
                <w:sz w:val="24"/>
                <w:szCs w:val="24"/>
              </w:rPr>
            </w:pPr>
            <w:r w:rsidRPr="00E11FF4">
              <w:rPr>
                <w:rFonts w:ascii="Times New Roman" w:eastAsia="Times New Roman" w:hAnsi="Times New Roman" w:cs="Times New Roman"/>
                <w:sz w:val="24"/>
                <w:szCs w:val="24"/>
              </w:rPr>
              <w:t>387/1780 (21.7)</w:t>
            </w:r>
          </w:p>
        </w:tc>
        <w:tc>
          <w:tcPr>
            <w:tcW w:w="2020" w:type="dxa"/>
            <w:tcBorders>
              <w:top w:val="single" w:sz="8" w:space="0" w:color="000000"/>
              <w:left w:val="single" w:sz="8" w:space="0" w:color="000000"/>
              <w:bottom w:val="single" w:sz="8" w:space="0" w:color="000000"/>
              <w:right w:val="single" w:sz="8" w:space="0" w:color="000000"/>
            </w:tcBorders>
            <w:shd w:val="clear" w:color="auto" w:fill="F6F6F6"/>
          </w:tcPr>
          <w:p w14:paraId="426DCEDB" w14:textId="77777777" w:rsidR="00AB56F3" w:rsidRPr="00E11FF4" w:rsidRDefault="00000000" w:rsidP="00E11FF4">
            <w:pPr>
              <w:spacing w:after="0"/>
              <w:jc w:val="center"/>
              <w:rPr>
                <w:rFonts w:ascii="Times New Roman" w:hAnsi="Times New Roman" w:cs="Times New Roman"/>
                <w:sz w:val="24"/>
                <w:szCs w:val="24"/>
              </w:rPr>
            </w:pPr>
            <w:r w:rsidRPr="00E11FF4">
              <w:rPr>
                <w:rFonts w:ascii="Times New Roman" w:eastAsia="Times New Roman" w:hAnsi="Times New Roman" w:cs="Times New Roman"/>
                <w:sz w:val="24"/>
                <w:szCs w:val="24"/>
              </w:rPr>
              <w:t>827/3638 (22.7)</w:t>
            </w:r>
          </w:p>
        </w:tc>
        <w:tc>
          <w:tcPr>
            <w:tcW w:w="2040" w:type="dxa"/>
            <w:tcBorders>
              <w:top w:val="single" w:sz="8" w:space="0" w:color="000000"/>
              <w:left w:val="single" w:sz="8" w:space="0" w:color="000000"/>
              <w:bottom w:val="single" w:sz="8" w:space="0" w:color="000000"/>
              <w:right w:val="single" w:sz="8" w:space="0" w:color="000000"/>
            </w:tcBorders>
          </w:tcPr>
          <w:p w14:paraId="09A576B0" w14:textId="77777777" w:rsidR="00AB56F3" w:rsidRPr="00E11FF4" w:rsidRDefault="00000000" w:rsidP="00E11FF4">
            <w:pPr>
              <w:spacing w:after="0"/>
              <w:ind w:left="245"/>
              <w:jc w:val="center"/>
              <w:rPr>
                <w:rFonts w:ascii="Times New Roman" w:hAnsi="Times New Roman" w:cs="Times New Roman"/>
                <w:sz w:val="24"/>
                <w:szCs w:val="24"/>
              </w:rPr>
            </w:pPr>
            <w:r w:rsidRPr="00E11FF4">
              <w:rPr>
                <w:rFonts w:ascii="Times New Roman" w:eastAsia="Times New Roman" w:hAnsi="Times New Roman" w:cs="Times New Roman"/>
                <w:sz w:val="24"/>
                <w:szCs w:val="24"/>
              </w:rPr>
              <w:t>0.93 (0.84–</w:t>
            </w:r>
          </w:p>
          <w:p w14:paraId="2BC6EA39" w14:textId="77777777" w:rsidR="00AB56F3" w:rsidRPr="00E11FF4" w:rsidRDefault="00000000" w:rsidP="00E11FF4">
            <w:pPr>
              <w:spacing w:after="0"/>
              <w:ind w:right="115"/>
              <w:jc w:val="center"/>
              <w:rPr>
                <w:rFonts w:ascii="Times New Roman" w:hAnsi="Times New Roman" w:cs="Times New Roman"/>
                <w:sz w:val="24"/>
                <w:szCs w:val="24"/>
              </w:rPr>
            </w:pPr>
            <w:r w:rsidRPr="00E11FF4">
              <w:rPr>
                <w:rFonts w:ascii="Times New Roman" w:eastAsia="Times New Roman" w:hAnsi="Times New Roman" w:cs="Times New Roman"/>
                <w:sz w:val="24"/>
                <w:szCs w:val="24"/>
              </w:rPr>
              <w:t>1.03)</w:t>
            </w:r>
          </w:p>
        </w:tc>
      </w:tr>
    </w:tbl>
    <w:p w14:paraId="5786351E" w14:textId="77777777" w:rsidR="00AB56F3" w:rsidRPr="00866324" w:rsidRDefault="00000000" w:rsidP="00866324">
      <w:pPr>
        <w:spacing w:before="240" w:after="240" w:line="360" w:lineRule="auto"/>
        <w:ind w:left="714" w:right="153" w:hanging="11"/>
        <w:jc w:val="thaiDistribute"/>
        <w:rPr>
          <w:rFonts w:ascii="Times New Roman" w:hAnsi="Times New Roman" w:cs="Times New Roman"/>
          <w:sz w:val="28"/>
          <w:szCs w:val="28"/>
        </w:rPr>
      </w:pPr>
      <w:r w:rsidRPr="00866324">
        <w:rPr>
          <w:rFonts w:ascii="Times New Roman" w:eastAsia="Times New Roman" w:hAnsi="Times New Roman" w:cs="Times New Roman"/>
          <w:sz w:val="28"/>
          <w:szCs w:val="28"/>
        </w:rPr>
        <w:t>* Rate ratios have been adjusted for age with respect to the outcomes of 28-day mortality and hospital discharge. Risk ratios have been adjusted for age with respect to the outcome of receipt of invasive mechanical ventilation or death and its subcomponents.</w:t>
      </w:r>
    </w:p>
    <w:p w14:paraId="7D14039B" w14:textId="77777777" w:rsidR="00866324" w:rsidRDefault="00000000" w:rsidP="00866324">
      <w:pPr>
        <w:spacing w:after="240" w:line="360" w:lineRule="auto"/>
        <w:ind w:left="731" w:right="227" w:hanging="11"/>
        <w:jc w:val="thaiDistribute"/>
        <w:rPr>
          <w:rFonts w:ascii="Times New Roman" w:eastAsia="Times New Roman" w:hAnsi="Times New Roman" w:cs="Times New Roman"/>
        </w:rPr>
      </w:pPr>
      <w:r w:rsidRPr="00866324">
        <w:rPr>
          <w:rFonts w:ascii="Times New Roman" w:eastAsia="Times New Roman" w:hAnsi="Times New Roman" w:cs="Times New Roman"/>
          <w:sz w:val="28"/>
          <w:szCs w:val="28"/>
        </w:rPr>
        <w:t>† Excluded from this category are patients who were receiving invasive mechanical ventilation at randomization</w:t>
      </w:r>
      <w:r w:rsidRPr="00EA57E8">
        <w:rPr>
          <w:rFonts w:ascii="Times New Roman" w:eastAsia="Times New Roman" w:hAnsi="Times New Roman" w:cs="Times New Roman"/>
        </w:rPr>
        <w:t>.</w:t>
      </w:r>
    </w:p>
    <w:p w14:paraId="5EE0D87B" w14:textId="6F17BF55" w:rsidR="00AB56F3" w:rsidRPr="00866324" w:rsidRDefault="00000000" w:rsidP="00866324">
      <w:pPr>
        <w:spacing w:after="240" w:line="360" w:lineRule="auto"/>
        <w:ind w:left="731" w:right="227" w:hanging="11"/>
        <w:jc w:val="thaiDistribute"/>
        <w:rPr>
          <w:rFonts w:ascii="Times New Roman" w:hAnsi="Times New Roman" w:cs="Times New Roman"/>
          <w:i/>
          <w:iCs/>
          <w:sz w:val="28"/>
          <w:szCs w:val="28"/>
        </w:rPr>
      </w:pPr>
      <w:r w:rsidRPr="00866324">
        <w:rPr>
          <w:rFonts w:ascii="Times New Roman" w:eastAsia="Times New Roman" w:hAnsi="Times New Roman" w:cs="Times New Roman"/>
          <w:i/>
          <w:iCs/>
          <w:sz w:val="28"/>
          <w:szCs w:val="28"/>
        </w:rPr>
        <w:t>Safety</w:t>
      </w:r>
    </w:p>
    <w:p w14:paraId="2EC22E49" w14:textId="77777777" w:rsidR="00866324" w:rsidRDefault="00000000" w:rsidP="00866324">
      <w:pPr>
        <w:spacing w:after="282" w:line="360" w:lineRule="auto"/>
        <w:ind w:left="715" w:right="155" w:hanging="10"/>
        <w:jc w:val="both"/>
        <w:rPr>
          <w:rFonts w:ascii="Times New Roman" w:eastAsia="Times New Roman" w:hAnsi="Times New Roman" w:cs="Times New Roman"/>
          <w:sz w:val="28"/>
          <w:szCs w:val="28"/>
        </w:rPr>
      </w:pPr>
      <w:r w:rsidRPr="00866324">
        <w:rPr>
          <w:rFonts w:ascii="Times New Roman" w:eastAsia="Times New Roman" w:hAnsi="Times New Roman" w:cs="Times New Roman"/>
          <w:sz w:val="28"/>
          <w:szCs w:val="28"/>
        </w:rPr>
        <w:t>There were four serious adverse events (SAEs) related to study treatment: two SAEs of hyperglycaemia, one SAE of steroid-induced psychosis and one SAE of an upper gastrointestinal bleed. All events resolved.</w:t>
      </w:r>
    </w:p>
    <w:p w14:paraId="360A5C47" w14:textId="77777777" w:rsidR="00866324" w:rsidRDefault="00866324" w:rsidP="00866324">
      <w:pPr>
        <w:spacing w:after="282" w:line="360" w:lineRule="auto"/>
        <w:ind w:left="715" w:right="155" w:hanging="10"/>
        <w:jc w:val="both"/>
        <w:rPr>
          <w:rFonts w:ascii="Times New Roman" w:eastAsia="Times New Roman" w:hAnsi="Times New Roman" w:cs="Times New Roman"/>
          <w:i/>
          <w:iCs/>
          <w:sz w:val="28"/>
          <w:szCs w:val="36"/>
        </w:rPr>
      </w:pPr>
    </w:p>
    <w:p w14:paraId="35AD5EE0" w14:textId="77777777" w:rsidR="00866324" w:rsidRDefault="00866324">
      <w:pPr>
        <w:spacing w:line="278" w:lineRule="auto"/>
        <w:rPr>
          <w:rFonts w:ascii="Times New Roman" w:eastAsia="Times New Roman" w:hAnsi="Times New Roman" w:cs="Times New Roman"/>
          <w:i/>
          <w:iCs/>
          <w:sz w:val="28"/>
          <w:szCs w:val="36"/>
        </w:rPr>
      </w:pPr>
      <w:r>
        <w:rPr>
          <w:rFonts w:ascii="Times New Roman" w:eastAsia="Times New Roman" w:hAnsi="Times New Roman" w:cs="Times New Roman"/>
          <w:i/>
          <w:iCs/>
          <w:sz w:val="28"/>
          <w:szCs w:val="36"/>
        </w:rPr>
        <w:br w:type="page"/>
      </w:r>
    </w:p>
    <w:p w14:paraId="4B532C80" w14:textId="77777777" w:rsidR="00866324" w:rsidRDefault="00000000" w:rsidP="00866324">
      <w:pPr>
        <w:spacing w:after="282" w:line="360" w:lineRule="auto"/>
        <w:ind w:left="715" w:right="155" w:hanging="10"/>
        <w:jc w:val="both"/>
      </w:pPr>
      <w:r w:rsidRPr="00866324">
        <w:rPr>
          <w:rFonts w:ascii="Times New Roman" w:eastAsia="Times New Roman" w:hAnsi="Times New Roman" w:cs="Times New Roman"/>
          <w:i/>
          <w:iCs/>
          <w:sz w:val="28"/>
          <w:szCs w:val="36"/>
        </w:rPr>
        <w:lastRenderedPageBreak/>
        <w:t>Subgroup analyses</w:t>
      </w:r>
      <w:r w:rsidR="00866324" w:rsidRPr="00866324">
        <w:t xml:space="preserve"> </w:t>
      </w:r>
    </w:p>
    <w:p w14:paraId="69B5E600" w14:textId="6279534A" w:rsidR="00866324" w:rsidRPr="00866324" w:rsidRDefault="00866324" w:rsidP="00866324">
      <w:pPr>
        <w:spacing w:after="282" w:line="360" w:lineRule="auto"/>
        <w:ind w:left="715" w:right="155" w:hanging="10"/>
        <w:jc w:val="both"/>
        <w:rPr>
          <w:rFonts w:ascii="Times New Roman" w:hAnsi="Times New Roman" w:cs="Times New Roman"/>
          <w:sz w:val="36"/>
          <w:szCs w:val="36"/>
        </w:rPr>
      </w:pPr>
      <w:r w:rsidRPr="00866324">
        <w:rPr>
          <w:rFonts w:ascii="Times New Roman" w:eastAsia="Times New Roman" w:hAnsi="Times New Roman" w:cs="Times New Roman"/>
          <w:sz w:val="28"/>
          <w:szCs w:val="36"/>
        </w:rPr>
        <w:t>Effects of allocation to DEXAMETHASONE on 28−day mortality, by age and respiratory support received at randomisation</w:t>
      </w:r>
    </w:p>
    <w:p w14:paraId="6CAD7736" w14:textId="77777777" w:rsidR="00AB56F3" w:rsidRPr="00EA57E8" w:rsidRDefault="00000000" w:rsidP="00866324">
      <w:pPr>
        <w:spacing w:after="0"/>
        <w:ind w:left="758" w:right="-65"/>
        <w:rPr>
          <w:rFonts w:ascii="Times New Roman" w:hAnsi="Times New Roman" w:cs="Times New Roman"/>
        </w:rPr>
      </w:pPr>
      <w:r w:rsidRPr="00EA57E8">
        <w:rPr>
          <w:rFonts w:ascii="Times New Roman" w:hAnsi="Times New Roman" w:cs="Times New Roman"/>
          <w:noProof/>
        </w:rPr>
        <w:drawing>
          <wp:inline distT="0" distB="0" distL="0" distR="0" wp14:anchorId="05BAD2C9" wp14:editId="6B351E97">
            <wp:extent cx="4962526" cy="2028825"/>
            <wp:effectExtent l="0" t="0" r="0" b="0"/>
            <wp:docPr id="5492" name="Picture 5492"/>
            <wp:cNvGraphicFramePr/>
            <a:graphic xmlns:a="http://schemas.openxmlformats.org/drawingml/2006/main">
              <a:graphicData uri="http://schemas.openxmlformats.org/drawingml/2006/picture">
                <pic:pic xmlns:pic="http://schemas.openxmlformats.org/drawingml/2006/picture">
                  <pic:nvPicPr>
                    <pic:cNvPr id="5492" name="Picture 5492"/>
                    <pic:cNvPicPr/>
                  </pic:nvPicPr>
                  <pic:blipFill>
                    <a:blip r:embed="rId7"/>
                    <a:stretch>
                      <a:fillRect/>
                    </a:stretch>
                  </pic:blipFill>
                  <pic:spPr>
                    <a:xfrm>
                      <a:off x="0" y="0"/>
                      <a:ext cx="4962526" cy="2028825"/>
                    </a:xfrm>
                    <a:prstGeom prst="rect">
                      <a:avLst/>
                    </a:prstGeom>
                  </pic:spPr>
                </pic:pic>
              </a:graphicData>
            </a:graphic>
          </wp:inline>
        </w:drawing>
      </w:r>
    </w:p>
    <w:p w14:paraId="55C342EF" w14:textId="77777777" w:rsidR="00AB56F3" w:rsidRPr="00866324" w:rsidRDefault="00000000" w:rsidP="00866324">
      <w:pPr>
        <w:pStyle w:val="Heading5"/>
        <w:spacing w:after="58" w:line="360" w:lineRule="auto"/>
        <w:ind w:left="783"/>
        <w:rPr>
          <w:b w:val="0"/>
          <w:bCs/>
          <w:i w:val="0"/>
          <w:iCs/>
          <w:sz w:val="28"/>
          <w:szCs w:val="28"/>
        </w:rPr>
      </w:pPr>
      <w:r w:rsidRPr="00866324">
        <w:rPr>
          <w:b w:val="0"/>
          <w:bCs/>
          <w:i w:val="0"/>
          <w:iCs/>
          <w:sz w:val="28"/>
          <w:szCs w:val="28"/>
        </w:rPr>
        <w:t>Effects of allocation to DEXAMETHASONE on 28−day mortality, by respiratory support received at randomisation and history of any chronic disease.</w:t>
      </w:r>
      <w:r w:rsidRPr="00866324">
        <w:rPr>
          <w:b w:val="0"/>
          <w:bCs/>
          <w:i w:val="0"/>
          <w:iCs/>
          <w:sz w:val="28"/>
          <w:szCs w:val="28"/>
          <w:u w:val="single" w:color="000000"/>
          <w:vertAlign w:val="superscript"/>
        </w:rPr>
        <w:t>3</w:t>
      </w:r>
    </w:p>
    <w:p w14:paraId="3EEBAF74" w14:textId="77777777" w:rsidR="00AB56F3" w:rsidRPr="00EA57E8" w:rsidRDefault="00000000">
      <w:pPr>
        <w:spacing w:after="0"/>
        <w:ind w:left="773"/>
        <w:rPr>
          <w:rFonts w:ascii="Times New Roman" w:hAnsi="Times New Roman" w:cs="Times New Roman"/>
        </w:rPr>
      </w:pPr>
      <w:r w:rsidRPr="00EA57E8">
        <w:rPr>
          <w:rFonts w:ascii="Times New Roman" w:hAnsi="Times New Roman" w:cs="Times New Roman"/>
          <w:noProof/>
        </w:rPr>
        <w:drawing>
          <wp:inline distT="0" distB="0" distL="0" distR="0" wp14:anchorId="6FE3822F" wp14:editId="06064488">
            <wp:extent cx="4781550" cy="2305050"/>
            <wp:effectExtent l="0" t="0" r="0" b="0"/>
            <wp:docPr id="5494" name="Picture 5494"/>
            <wp:cNvGraphicFramePr/>
            <a:graphic xmlns:a="http://schemas.openxmlformats.org/drawingml/2006/main">
              <a:graphicData uri="http://schemas.openxmlformats.org/drawingml/2006/picture">
                <pic:pic xmlns:pic="http://schemas.openxmlformats.org/drawingml/2006/picture">
                  <pic:nvPicPr>
                    <pic:cNvPr id="5494" name="Picture 5494"/>
                    <pic:cNvPicPr/>
                  </pic:nvPicPr>
                  <pic:blipFill>
                    <a:blip r:embed="rId8"/>
                    <a:stretch>
                      <a:fillRect/>
                    </a:stretch>
                  </pic:blipFill>
                  <pic:spPr>
                    <a:xfrm>
                      <a:off x="0" y="0"/>
                      <a:ext cx="4781550" cy="2305050"/>
                    </a:xfrm>
                    <a:prstGeom prst="rect">
                      <a:avLst/>
                    </a:prstGeom>
                  </pic:spPr>
                </pic:pic>
              </a:graphicData>
            </a:graphic>
          </wp:inline>
        </w:drawing>
      </w:r>
    </w:p>
    <w:p w14:paraId="72B6CCCE" w14:textId="7667C862" w:rsidR="00AB56F3" w:rsidRPr="00866324" w:rsidRDefault="00000000" w:rsidP="00866324">
      <w:pPr>
        <w:pStyle w:val="Heading3"/>
        <w:numPr>
          <w:ilvl w:val="1"/>
          <w:numId w:val="7"/>
        </w:numPr>
        <w:tabs>
          <w:tab w:val="center" w:pos="2160"/>
        </w:tabs>
        <w:spacing w:after="240" w:line="264" w:lineRule="auto"/>
        <w:ind w:left="788" w:hanging="431"/>
        <w:rPr>
          <w:sz w:val="28"/>
          <w:szCs w:val="28"/>
        </w:rPr>
      </w:pPr>
      <w:r w:rsidRPr="00866324">
        <w:rPr>
          <w:sz w:val="28"/>
          <w:szCs w:val="28"/>
        </w:rPr>
        <w:t>Pharmacokinetic properties</w:t>
      </w:r>
    </w:p>
    <w:p w14:paraId="69DBE89B" w14:textId="77777777" w:rsidR="00AB56F3" w:rsidRPr="00866324" w:rsidRDefault="00000000" w:rsidP="00866324">
      <w:pPr>
        <w:spacing w:after="240" w:line="360" w:lineRule="auto"/>
        <w:ind w:left="731" w:right="227" w:hanging="11"/>
        <w:jc w:val="thaiDistribute"/>
        <w:rPr>
          <w:rFonts w:ascii="Times New Roman" w:hAnsi="Times New Roman" w:cs="Times New Roman"/>
          <w:sz w:val="28"/>
          <w:szCs w:val="28"/>
        </w:rPr>
      </w:pPr>
      <w:r w:rsidRPr="00866324">
        <w:rPr>
          <w:rFonts w:ascii="Times New Roman" w:eastAsia="Times New Roman" w:hAnsi="Times New Roman" w:cs="Times New Roman"/>
          <w:sz w:val="28"/>
          <w:szCs w:val="28"/>
        </w:rPr>
        <w:t xml:space="preserve">Dexamethasone is well absorbed when given by mouth; peak plasma levels are reached between 1 and 2 hours after ingestion and show wide interindividual variations. In healthy subjects a plasma half life of 3-6 hours has been observed however in studies of patients this can </w:t>
      </w:r>
      <w:r w:rsidRPr="00866324">
        <w:rPr>
          <w:rFonts w:ascii="Times New Roman" w:eastAsia="Times New Roman" w:hAnsi="Times New Roman" w:cs="Times New Roman"/>
          <w:sz w:val="28"/>
          <w:szCs w:val="28"/>
        </w:rPr>
        <w:lastRenderedPageBreak/>
        <w:t>be reduced to under 2 hours. Dexamethasone is bound (to about 77%) to plasma proteins</w:t>
      </w:r>
      <w:r w:rsidRPr="00866324">
        <w:rPr>
          <w:rFonts w:ascii="Times New Roman" w:eastAsia="Times New Roman" w:hAnsi="Times New Roman" w:cs="Times New Roman"/>
          <w:b/>
          <w:i/>
          <w:sz w:val="28"/>
          <w:szCs w:val="28"/>
        </w:rPr>
        <w:t xml:space="preserve">, </w:t>
      </w:r>
      <w:r w:rsidRPr="00866324">
        <w:rPr>
          <w:rFonts w:ascii="Times New Roman" w:eastAsia="Times New Roman" w:hAnsi="Times New Roman" w:cs="Times New Roman"/>
          <w:sz w:val="28"/>
          <w:szCs w:val="28"/>
        </w:rPr>
        <w:t>mainly albumins. Percentage protein binding of dexamethasone, unlike that of cortisol, remains practically unchanged with increasing steroid concentrations. Corticosteroids are rapidly distributed to all body tissues. Dexamethasone is metabolised mainly in the liver but also in the kidney. Dexamethasone and its metabolites are excreted in the urine.</w:t>
      </w:r>
    </w:p>
    <w:p w14:paraId="34776032" w14:textId="19AFDE21" w:rsidR="00AB56F3" w:rsidRPr="00866324" w:rsidRDefault="00000000" w:rsidP="00866324">
      <w:pPr>
        <w:pStyle w:val="Heading3"/>
        <w:numPr>
          <w:ilvl w:val="1"/>
          <w:numId w:val="7"/>
        </w:numPr>
        <w:tabs>
          <w:tab w:val="center" w:pos="1875"/>
        </w:tabs>
        <w:spacing w:after="240" w:line="360" w:lineRule="auto"/>
        <w:ind w:left="788" w:hanging="431"/>
        <w:jc w:val="thaiDistribute"/>
        <w:rPr>
          <w:sz w:val="28"/>
          <w:szCs w:val="28"/>
        </w:rPr>
      </w:pPr>
      <w:r w:rsidRPr="00866324">
        <w:rPr>
          <w:sz w:val="28"/>
          <w:szCs w:val="28"/>
        </w:rPr>
        <w:t>Preclinical safety data</w:t>
      </w:r>
    </w:p>
    <w:p w14:paraId="62B2287E" w14:textId="77777777" w:rsidR="00AB56F3" w:rsidRPr="00866324" w:rsidRDefault="00000000" w:rsidP="00866324">
      <w:pPr>
        <w:spacing w:after="240" w:line="360" w:lineRule="auto"/>
        <w:ind w:left="731" w:right="227" w:hanging="11"/>
        <w:jc w:val="thaiDistribute"/>
        <w:rPr>
          <w:rFonts w:ascii="Times New Roman" w:hAnsi="Times New Roman" w:cs="Times New Roman"/>
          <w:sz w:val="28"/>
          <w:szCs w:val="28"/>
        </w:rPr>
      </w:pPr>
      <w:r w:rsidRPr="00866324">
        <w:rPr>
          <w:rFonts w:ascii="Times New Roman" w:eastAsia="Times New Roman" w:hAnsi="Times New Roman" w:cs="Times New Roman"/>
          <w:sz w:val="28"/>
          <w:szCs w:val="28"/>
        </w:rPr>
        <w:t>In animal studies, cleft palate was observed in rats, mice, hamsters, rabbits, dogs and primates; not in horses and sheep. In some cases these divergences were combined with defects of the central nervous system and of the heart. In primates, effects in the brain were seen after exposure. Moreover, intra-uterine growth can be delayed. All these effects were seen at high dosages.</w:t>
      </w:r>
    </w:p>
    <w:p w14:paraId="1EA3B50E" w14:textId="77777777" w:rsidR="00866324" w:rsidRPr="00866324" w:rsidRDefault="00000000" w:rsidP="00866324">
      <w:pPr>
        <w:pStyle w:val="Heading1"/>
        <w:numPr>
          <w:ilvl w:val="0"/>
          <w:numId w:val="7"/>
        </w:numPr>
        <w:tabs>
          <w:tab w:val="center" w:pos="3120"/>
        </w:tabs>
        <w:spacing w:after="240" w:line="360" w:lineRule="auto"/>
        <w:ind w:left="357" w:hanging="357"/>
        <w:rPr>
          <w:szCs w:val="28"/>
        </w:rPr>
      </w:pPr>
      <w:r w:rsidRPr="00866324">
        <w:rPr>
          <w:szCs w:val="28"/>
        </w:rPr>
        <w:t>PHARMACEUTICAL PARTICULARS</w:t>
      </w:r>
    </w:p>
    <w:p w14:paraId="09EAA34C" w14:textId="3955762F" w:rsidR="00AB56F3" w:rsidRPr="00866324" w:rsidRDefault="00000000" w:rsidP="00866324">
      <w:pPr>
        <w:pStyle w:val="Heading1"/>
        <w:numPr>
          <w:ilvl w:val="1"/>
          <w:numId w:val="7"/>
        </w:numPr>
        <w:tabs>
          <w:tab w:val="center" w:pos="3120"/>
        </w:tabs>
        <w:spacing w:after="240" w:line="360" w:lineRule="auto"/>
        <w:ind w:left="788" w:hanging="431"/>
        <w:rPr>
          <w:szCs w:val="28"/>
        </w:rPr>
      </w:pPr>
      <w:r w:rsidRPr="00866324">
        <w:rPr>
          <w:szCs w:val="28"/>
        </w:rPr>
        <w:t>List of excipients</w:t>
      </w:r>
    </w:p>
    <w:p w14:paraId="098741A7" w14:textId="77777777" w:rsidR="00AB56F3" w:rsidRPr="00866324" w:rsidRDefault="00000000" w:rsidP="00866324">
      <w:pPr>
        <w:spacing w:after="240" w:line="360" w:lineRule="auto"/>
        <w:ind w:left="839" w:right="720" w:hanging="11"/>
        <w:rPr>
          <w:rFonts w:ascii="Times New Roman" w:hAnsi="Times New Roman" w:cs="Times New Roman"/>
          <w:sz w:val="28"/>
          <w:szCs w:val="28"/>
        </w:rPr>
      </w:pPr>
      <w:r w:rsidRPr="00866324">
        <w:rPr>
          <w:rFonts w:ascii="Times New Roman" w:eastAsia="Times New Roman" w:hAnsi="Times New Roman" w:cs="Times New Roman"/>
          <w:color w:val="FF0000"/>
          <w:sz w:val="28"/>
          <w:szCs w:val="28"/>
        </w:rPr>
        <w:t>&lt;REGARDING THE APPROVAL&gt;</w:t>
      </w:r>
    </w:p>
    <w:p w14:paraId="59CBE51D" w14:textId="77777777" w:rsidR="00866324" w:rsidRPr="00866324" w:rsidRDefault="00000000" w:rsidP="00866324">
      <w:pPr>
        <w:pStyle w:val="ListParagraph"/>
        <w:numPr>
          <w:ilvl w:val="1"/>
          <w:numId w:val="7"/>
        </w:numPr>
        <w:tabs>
          <w:tab w:val="center" w:pos="1605"/>
        </w:tabs>
        <w:spacing w:after="240" w:line="360" w:lineRule="auto"/>
        <w:ind w:left="788" w:hanging="431"/>
        <w:contextualSpacing w:val="0"/>
        <w:rPr>
          <w:rFonts w:ascii="Times New Roman" w:hAnsi="Times New Roman" w:cs="Times New Roman"/>
          <w:sz w:val="28"/>
          <w:szCs w:val="28"/>
        </w:rPr>
      </w:pPr>
      <w:r w:rsidRPr="00866324">
        <w:rPr>
          <w:rFonts w:ascii="Times New Roman" w:eastAsia="Times New Roman" w:hAnsi="Times New Roman" w:cs="Times New Roman"/>
          <w:b/>
          <w:sz w:val="28"/>
          <w:szCs w:val="28"/>
        </w:rPr>
        <w:t>Incompatibilities</w:t>
      </w:r>
    </w:p>
    <w:p w14:paraId="6478704C" w14:textId="7374902C" w:rsidR="00AB56F3" w:rsidRPr="00866324" w:rsidRDefault="00000000" w:rsidP="00866324">
      <w:pPr>
        <w:pStyle w:val="ListParagraph"/>
        <w:tabs>
          <w:tab w:val="center" w:pos="1605"/>
        </w:tabs>
        <w:spacing w:after="240" w:line="360" w:lineRule="auto"/>
        <w:ind w:left="794"/>
        <w:contextualSpacing w:val="0"/>
        <w:rPr>
          <w:rFonts w:ascii="Times New Roman" w:hAnsi="Times New Roman" w:cs="Times New Roman"/>
          <w:sz w:val="28"/>
          <w:szCs w:val="28"/>
        </w:rPr>
      </w:pPr>
      <w:r w:rsidRPr="00866324">
        <w:rPr>
          <w:rFonts w:ascii="Times New Roman" w:eastAsia="Times New Roman" w:hAnsi="Times New Roman" w:cs="Times New Roman"/>
          <w:color w:val="FF0000"/>
          <w:sz w:val="28"/>
          <w:szCs w:val="28"/>
        </w:rPr>
        <w:t>&lt;REGARDING THE APPROVAL&gt;</w:t>
      </w:r>
    </w:p>
    <w:p w14:paraId="4E38F4CB" w14:textId="77777777" w:rsidR="00866324" w:rsidRPr="00866324" w:rsidRDefault="00000000" w:rsidP="00866324">
      <w:pPr>
        <w:pStyle w:val="ListParagraph"/>
        <w:numPr>
          <w:ilvl w:val="1"/>
          <w:numId w:val="7"/>
        </w:numPr>
        <w:tabs>
          <w:tab w:val="center" w:pos="1185"/>
        </w:tabs>
        <w:spacing w:after="240" w:line="360" w:lineRule="auto"/>
        <w:ind w:left="788" w:hanging="431"/>
        <w:contextualSpacing w:val="0"/>
        <w:rPr>
          <w:rFonts w:ascii="Times New Roman" w:hAnsi="Times New Roman" w:cs="Times New Roman"/>
          <w:sz w:val="28"/>
          <w:szCs w:val="28"/>
        </w:rPr>
      </w:pPr>
      <w:r w:rsidRPr="00866324">
        <w:rPr>
          <w:rFonts w:ascii="Times New Roman" w:eastAsia="Times New Roman" w:hAnsi="Times New Roman" w:cs="Times New Roman"/>
          <w:b/>
          <w:sz w:val="28"/>
          <w:szCs w:val="28"/>
        </w:rPr>
        <w:t>Shelf life</w:t>
      </w:r>
    </w:p>
    <w:p w14:paraId="10544AEA" w14:textId="722A4306" w:rsidR="00866324" w:rsidRPr="00866324" w:rsidRDefault="00000000" w:rsidP="00866324">
      <w:pPr>
        <w:pStyle w:val="ListParagraph"/>
        <w:tabs>
          <w:tab w:val="center" w:pos="1185"/>
        </w:tabs>
        <w:spacing w:after="402" w:line="360" w:lineRule="auto"/>
        <w:ind w:left="792"/>
        <w:rPr>
          <w:rFonts w:ascii="Times New Roman" w:hAnsi="Times New Roman" w:cs="Times New Roman"/>
          <w:sz w:val="28"/>
          <w:szCs w:val="28"/>
        </w:rPr>
      </w:pPr>
      <w:r w:rsidRPr="00866324">
        <w:rPr>
          <w:rFonts w:ascii="Times New Roman" w:eastAsia="Times New Roman" w:hAnsi="Times New Roman" w:cs="Times New Roman"/>
          <w:color w:val="FF0000"/>
          <w:sz w:val="28"/>
          <w:szCs w:val="28"/>
        </w:rPr>
        <w:t>&lt;REGARDING THE APPROVAL&gt;</w:t>
      </w:r>
      <w:r w:rsidR="00866324">
        <w:rPr>
          <w:rFonts w:ascii="Times New Roman" w:eastAsia="Times New Roman" w:hAnsi="Times New Roman" w:cs="Times New Roman"/>
          <w:b/>
          <w:sz w:val="28"/>
          <w:szCs w:val="28"/>
        </w:rPr>
        <w:br w:type="page"/>
      </w:r>
    </w:p>
    <w:p w14:paraId="37950EE8" w14:textId="58C1728C" w:rsidR="00866324" w:rsidRPr="00866324" w:rsidRDefault="00000000" w:rsidP="00866324">
      <w:pPr>
        <w:pStyle w:val="ListParagraph"/>
        <w:numPr>
          <w:ilvl w:val="1"/>
          <w:numId w:val="7"/>
        </w:numPr>
        <w:spacing w:after="240" w:line="360" w:lineRule="auto"/>
        <w:ind w:left="788" w:hanging="431"/>
        <w:contextualSpacing w:val="0"/>
        <w:rPr>
          <w:rFonts w:ascii="Times New Roman" w:hAnsi="Times New Roman" w:cs="Times New Roman"/>
          <w:sz w:val="28"/>
          <w:szCs w:val="28"/>
        </w:rPr>
      </w:pPr>
      <w:r w:rsidRPr="00866324">
        <w:rPr>
          <w:rFonts w:ascii="Times New Roman" w:eastAsia="Times New Roman" w:hAnsi="Times New Roman" w:cs="Times New Roman"/>
          <w:b/>
          <w:sz w:val="28"/>
          <w:szCs w:val="28"/>
        </w:rPr>
        <w:lastRenderedPageBreak/>
        <w:t>Special precautions for storage</w:t>
      </w:r>
    </w:p>
    <w:p w14:paraId="5377CEA0" w14:textId="5893C262" w:rsidR="00AB56F3" w:rsidRPr="00866324" w:rsidRDefault="00000000" w:rsidP="00866324">
      <w:pPr>
        <w:pStyle w:val="ListParagraph"/>
        <w:spacing w:after="240" w:line="360" w:lineRule="auto"/>
        <w:ind w:left="794"/>
        <w:contextualSpacing w:val="0"/>
        <w:rPr>
          <w:rFonts w:ascii="Times New Roman" w:hAnsi="Times New Roman" w:cs="Times New Roman"/>
          <w:sz w:val="28"/>
          <w:szCs w:val="28"/>
        </w:rPr>
      </w:pPr>
      <w:r w:rsidRPr="00866324">
        <w:rPr>
          <w:rFonts w:ascii="Times New Roman" w:eastAsia="Times New Roman" w:hAnsi="Times New Roman" w:cs="Times New Roman"/>
          <w:color w:val="FF0000"/>
          <w:sz w:val="28"/>
          <w:szCs w:val="28"/>
        </w:rPr>
        <w:t>&lt;REGARDING THE APPROVAL&gt;</w:t>
      </w:r>
    </w:p>
    <w:p w14:paraId="0074BBCD" w14:textId="77777777" w:rsidR="00866324" w:rsidRPr="00866324" w:rsidRDefault="00000000" w:rsidP="00866324">
      <w:pPr>
        <w:pStyle w:val="ListParagraph"/>
        <w:numPr>
          <w:ilvl w:val="1"/>
          <w:numId w:val="7"/>
        </w:numPr>
        <w:tabs>
          <w:tab w:val="center" w:pos="2415"/>
        </w:tabs>
        <w:spacing w:after="240" w:line="360" w:lineRule="auto"/>
        <w:ind w:left="788" w:hanging="431"/>
        <w:contextualSpacing w:val="0"/>
        <w:rPr>
          <w:rFonts w:ascii="Times New Roman" w:hAnsi="Times New Roman" w:cs="Times New Roman"/>
          <w:sz w:val="28"/>
          <w:szCs w:val="28"/>
        </w:rPr>
      </w:pPr>
      <w:r w:rsidRPr="00866324">
        <w:rPr>
          <w:rFonts w:ascii="Times New Roman" w:eastAsia="Times New Roman" w:hAnsi="Times New Roman" w:cs="Times New Roman"/>
          <w:b/>
          <w:sz w:val="28"/>
          <w:szCs w:val="28"/>
        </w:rPr>
        <w:t>Nature and contents of container</w:t>
      </w:r>
    </w:p>
    <w:p w14:paraId="1CBABE07" w14:textId="476B7502" w:rsidR="00AB56F3" w:rsidRPr="00866324" w:rsidRDefault="00000000" w:rsidP="00866324">
      <w:pPr>
        <w:pStyle w:val="ListParagraph"/>
        <w:tabs>
          <w:tab w:val="center" w:pos="2415"/>
        </w:tabs>
        <w:spacing w:after="240" w:line="360" w:lineRule="auto"/>
        <w:ind w:left="794"/>
        <w:contextualSpacing w:val="0"/>
        <w:rPr>
          <w:rFonts w:ascii="Times New Roman" w:hAnsi="Times New Roman" w:cs="Times New Roman"/>
          <w:sz w:val="28"/>
          <w:szCs w:val="28"/>
        </w:rPr>
      </w:pPr>
      <w:r w:rsidRPr="00866324">
        <w:rPr>
          <w:rFonts w:ascii="Times New Roman" w:eastAsia="Times New Roman" w:hAnsi="Times New Roman" w:cs="Times New Roman"/>
          <w:color w:val="FF0000"/>
          <w:sz w:val="28"/>
          <w:szCs w:val="28"/>
        </w:rPr>
        <w:t>&lt;REGARDING THE APPROVAL&gt;</w:t>
      </w:r>
    </w:p>
    <w:p w14:paraId="1E6DC96D" w14:textId="77777777" w:rsidR="00866324" w:rsidRPr="00866324" w:rsidRDefault="00000000" w:rsidP="00866324">
      <w:pPr>
        <w:pStyle w:val="ListParagraph"/>
        <w:numPr>
          <w:ilvl w:val="1"/>
          <w:numId w:val="7"/>
        </w:numPr>
        <w:tabs>
          <w:tab w:val="center" w:pos="2355"/>
        </w:tabs>
        <w:spacing w:after="240" w:line="360" w:lineRule="auto"/>
        <w:ind w:left="788" w:hanging="431"/>
        <w:contextualSpacing w:val="0"/>
        <w:rPr>
          <w:rFonts w:ascii="Times New Roman" w:hAnsi="Times New Roman" w:cs="Times New Roman"/>
          <w:sz w:val="28"/>
          <w:szCs w:val="28"/>
        </w:rPr>
      </w:pPr>
      <w:r w:rsidRPr="00866324">
        <w:rPr>
          <w:rFonts w:ascii="Times New Roman" w:eastAsia="Times New Roman" w:hAnsi="Times New Roman" w:cs="Times New Roman"/>
          <w:b/>
          <w:sz w:val="28"/>
          <w:szCs w:val="28"/>
        </w:rPr>
        <w:t>Special precautions for disposal</w:t>
      </w:r>
    </w:p>
    <w:p w14:paraId="286BBFC0" w14:textId="223D22D3" w:rsidR="00AB56F3" w:rsidRPr="00866324" w:rsidRDefault="00000000" w:rsidP="00866324">
      <w:pPr>
        <w:pStyle w:val="ListParagraph"/>
        <w:tabs>
          <w:tab w:val="center" w:pos="2355"/>
        </w:tabs>
        <w:spacing w:after="240" w:line="360" w:lineRule="auto"/>
        <w:ind w:left="794"/>
        <w:contextualSpacing w:val="0"/>
        <w:rPr>
          <w:rFonts w:ascii="Times New Roman" w:hAnsi="Times New Roman" w:cs="Times New Roman"/>
          <w:sz w:val="28"/>
          <w:szCs w:val="28"/>
        </w:rPr>
      </w:pPr>
      <w:r w:rsidRPr="00866324">
        <w:rPr>
          <w:rFonts w:ascii="Times New Roman" w:eastAsia="Times New Roman" w:hAnsi="Times New Roman" w:cs="Times New Roman"/>
          <w:color w:val="FF0000"/>
          <w:sz w:val="28"/>
          <w:szCs w:val="28"/>
        </w:rPr>
        <w:t>&lt;REGARDING THE APPROVAL&gt;</w:t>
      </w:r>
    </w:p>
    <w:p w14:paraId="1A14F1C7" w14:textId="77777777" w:rsidR="00866324" w:rsidRPr="00866324" w:rsidRDefault="00000000" w:rsidP="00866324">
      <w:pPr>
        <w:pStyle w:val="ListParagraph"/>
        <w:numPr>
          <w:ilvl w:val="0"/>
          <w:numId w:val="7"/>
        </w:numPr>
        <w:spacing w:after="240" w:line="360" w:lineRule="auto"/>
        <w:ind w:left="357" w:hanging="357"/>
        <w:contextualSpacing w:val="0"/>
        <w:rPr>
          <w:rFonts w:ascii="Times New Roman" w:hAnsi="Times New Roman" w:cs="Times New Roman"/>
          <w:sz w:val="28"/>
          <w:szCs w:val="28"/>
        </w:rPr>
      </w:pPr>
      <w:r w:rsidRPr="00866324">
        <w:rPr>
          <w:rFonts w:ascii="Times New Roman" w:eastAsia="Times New Roman" w:hAnsi="Times New Roman" w:cs="Times New Roman"/>
          <w:b/>
          <w:sz w:val="28"/>
          <w:szCs w:val="28"/>
        </w:rPr>
        <w:t>MARKETING AUTHORISATION HOLDER</w:t>
      </w:r>
    </w:p>
    <w:p w14:paraId="076698E1" w14:textId="77777777" w:rsidR="00866324" w:rsidRDefault="00000000" w:rsidP="00866324">
      <w:pPr>
        <w:pStyle w:val="ListParagraph"/>
        <w:spacing w:after="240" w:line="360" w:lineRule="auto"/>
        <w:ind w:left="357"/>
        <w:contextualSpacing w:val="0"/>
        <w:rPr>
          <w:rFonts w:ascii="Times New Roman" w:eastAsia="Times New Roman" w:hAnsi="Times New Roman" w:cs="Times New Roman"/>
          <w:color w:val="FF0000"/>
          <w:sz w:val="28"/>
          <w:szCs w:val="28"/>
        </w:rPr>
      </w:pPr>
      <w:r w:rsidRPr="00866324">
        <w:rPr>
          <w:rFonts w:ascii="Times New Roman" w:eastAsia="Times New Roman" w:hAnsi="Times New Roman" w:cs="Times New Roman"/>
          <w:color w:val="FF0000"/>
          <w:sz w:val="28"/>
          <w:szCs w:val="28"/>
        </w:rPr>
        <w:t>&lt;REGARDING THE APPROVAL&gt;</w:t>
      </w:r>
    </w:p>
    <w:p w14:paraId="0F37DF16" w14:textId="77777777" w:rsidR="00866324" w:rsidRPr="00866324" w:rsidRDefault="00000000" w:rsidP="00866324">
      <w:pPr>
        <w:pStyle w:val="ListParagraph"/>
        <w:numPr>
          <w:ilvl w:val="0"/>
          <w:numId w:val="7"/>
        </w:numPr>
        <w:spacing w:after="240" w:line="360" w:lineRule="auto"/>
        <w:ind w:left="357" w:hanging="357"/>
        <w:contextualSpacing w:val="0"/>
        <w:rPr>
          <w:rFonts w:ascii="Times New Roman" w:hAnsi="Times New Roman" w:cs="Times New Roman"/>
          <w:sz w:val="28"/>
          <w:szCs w:val="28"/>
        </w:rPr>
      </w:pPr>
      <w:r w:rsidRPr="00866324">
        <w:rPr>
          <w:rFonts w:ascii="Times New Roman" w:eastAsia="Times New Roman" w:hAnsi="Times New Roman" w:cs="Times New Roman"/>
          <w:b/>
          <w:sz w:val="28"/>
          <w:szCs w:val="28"/>
        </w:rPr>
        <w:t>MARKETING AUTHORISATION NUMBER(S)</w:t>
      </w:r>
    </w:p>
    <w:p w14:paraId="6B53029E" w14:textId="77777777" w:rsidR="00866324" w:rsidRDefault="00000000" w:rsidP="00866324">
      <w:pPr>
        <w:pStyle w:val="ListParagraph"/>
        <w:spacing w:after="240" w:line="360" w:lineRule="auto"/>
        <w:ind w:left="357"/>
        <w:contextualSpacing w:val="0"/>
        <w:rPr>
          <w:rFonts w:ascii="Times New Roman" w:eastAsia="Times New Roman" w:hAnsi="Times New Roman" w:cs="Times New Roman"/>
          <w:color w:val="FF0000"/>
          <w:sz w:val="28"/>
          <w:szCs w:val="28"/>
        </w:rPr>
      </w:pPr>
      <w:r w:rsidRPr="00866324">
        <w:rPr>
          <w:rFonts w:ascii="Times New Roman" w:eastAsia="Times New Roman" w:hAnsi="Times New Roman" w:cs="Times New Roman"/>
          <w:color w:val="FF0000"/>
          <w:sz w:val="28"/>
          <w:szCs w:val="28"/>
        </w:rPr>
        <w:t>&lt;REGARDING THE APPROVAL&gt;</w:t>
      </w:r>
    </w:p>
    <w:p w14:paraId="6BA824CD" w14:textId="77777777" w:rsidR="00866324" w:rsidRPr="00866324" w:rsidRDefault="00000000" w:rsidP="00866324">
      <w:pPr>
        <w:pStyle w:val="ListParagraph"/>
        <w:numPr>
          <w:ilvl w:val="0"/>
          <w:numId w:val="7"/>
        </w:numPr>
        <w:spacing w:after="240" w:line="360" w:lineRule="auto"/>
        <w:ind w:left="357" w:hanging="357"/>
        <w:contextualSpacing w:val="0"/>
        <w:rPr>
          <w:rFonts w:ascii="Times New Roman" w:hAnsi="Times New Roman" w:cs="Times New Roman"/>
          <w:sz w:val="28"/>
          <w:szCs w:val="28"/>
        </w:rPr>
      </w:pPr>
      <w:r w:rsidRPr="00866324">
        <w:rPr>
          <w:rFonts w:ascii="Times New Roman" w:eastAsia="Times New Roman" w:hAnsi="Times New Roman" w:cs="Times New Roman"/>
          <w:b/>
          <w:sz w:val="28"/>
          <w:szCs w:val="28"/>
        </w:rPr>
        <w:t>DATE OF FIRST AUTHORISATION/RENEWAL OF THE AUTHORISATION</w:t>
      </w:r>
    </w:p>
    <w:p w14:paraId="7BCA3691" w14:textId="77777777" w:rsidR="00866324" w:rsidRDefault="00000000" w:rsidP="00866324">
      <w:pPr>
        <w:pStyle w:val="ListParagraph"/>
        <w:spacing w:after="240" w:line="360" w:lineRule="auto"/>
        <w:ind w:left="357"/>
        <w:contextualSpacing w:val="0"/>
        <w:rPr>
          <w:rFonts w:ascii="Times New Roman" w:eastAsia="Times New Roman" w:hAnsi="Times New Roman" w:cs="Times New Roman"/>
          <w:color w:val="FF0000"/>
          <w:sz w:val="28"/>
          <w:szCs w:val="28"/>
        </w:rPr>
      </w:pPr>
      <w:r w:rsidRPr="00866324">
        <w:rPr>
          <w:rFonts w:ascii="Times New Roman" w:eastAsia="Times New Roman" w:hAnsi="Times New Roman" w:cs="Times New Roman"/>
          <w:color w:val="FF0000"/>
          <w:sz w:val="28"/>
          <w:szCs w:val="28"/>
        </w:rPr>
        <w:t>&lt;REGARDING THE APPROVAL&gt;</w:t>
      </w:r>
    </w:p>
    <w:p w14:paraId="1E6C6992" w14:textId="77777777" w:rsidR="00866324" w:rsidRDefault="00000000" w:rsidP="00866324">
      <w:pPr>
        <w:pStyle w:val="ListParagraph"/>
        <w:numPr>
          <w:ilvl w:val="0"/>
          <w:numId w:val="7"/>
        </w:numPr>
        <w:spacing w:after="240" w:line="360" w:lineRule="auto"/>
        <w:ind w:left="357" w:hanging="357"/>
        <w:contextualSpacing w:val="0"/>
        <w:rPr>
          <w:rFonts w:ascii="Times New Roman" w:hAnsi="Times New Roman" w:cs="Times New Roman"/>
          <w:b/>
          <w:bCs/>
          <w:sz w:val="28"/>
          <w:szCs w:val="28"/>
        </w:rPr>
      </w:pPr>
      <w:r w:rsidRPr="00866324">
        <w:rPr>
          <w:rFonts w:ascii="Times New Roman" w:hAnsi="Times New Roman" w:cs="Times New Roman"/>
          <w:b/>
          <w:bCs/>
          <w:sz w:val="28"/>
          <w:szCs w:val="28"/>
        </w:rPr>
        <w:t>DATE OF REVISION OF THE TEXT</w:t>
      </w:r>
      <w:r w:rsidRPr="00866324">
        <w:rPr>
          <w:rFonts w:eastAsia="Times New Roman"/>
          <w:b/>
          <w:bCs/>
          <w:vertAlign w:val="superscript"/>
        </w:rPr>
        <w:footnoteReference w:id="2"/>
      </w:r>
    </w:p>
    <w:p w14:paraId="08AA3B8A" w14:textId="37D5C17B" w:rsidR="00AB56F3" w:rsidRPr="00866324" w:rsidRDefault="00000000" w:rsidP="00866324">
      <w:pPr>
        <w:pStyle w:val="ListParagraph"/>
        <w:spacing w:after="534" w:line="360" w:lineRule="auto"/>
        <w:ind w:left="360"/>
        <w:rPr>
          <w:rFonts w:ascii="Times New Roman" w:hAnsi="Times New Roman" w:cs="Times New Roman"/>
          <w:b/>
          <w:bCs/>
          <w:sz w:val="28"/>
          <w:szCs w:val="28"/>
        </w:rPr>
      </w:pPr>
      <w:r w:rsidRPr="00866324">
        <w:rPr>
          <w:rFonts w:ascii="Times New Roman" w:eastAsia="Times New Roman" w:hAnsi="Times New Roman" w:cs="Times New Roman"/>
          <w:color w:val="FF0000"/>
          <w:sz w:val="28"/>
          <w:szCs w:val="28"/>
        </w:rPr>
        <w:t>&lt;REGARDING THE APPROVAL&gt;</w:t>
      </w:r>
    </w:p>
    <w:sectPr w:rsidR="00AB56F3" w:rsidRPr="00866324" w:rsidSect="00EA57E8">
      <w:pgSz w:w="11920" w:h="16840"/>
      <w:pgMar w:top="1985" w:right="1418" w:bottom="1985"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87B6D" w14:textId="77777777" w:rsidR="005B15FB" w:rsidRDefault="005B15FB">
      <w:pPr>
        <w:spacing w:after="0" w:line="240" w:lineRule="auto"/>
      </w:pPr>
      <w:r>
        <w:separator/>
      </w:r>
    </w:p>
  </w:endnote>
  <w:endnote w:type="continuationSeparator" w:id="0">
    <w:p w14:paraId="4FE5A9F2" w14:textId="77777777" w:rsidR="005B15FB" w:rsidRDefault="005B1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EECB6" w14:textId="77777777" w:rsidR="005B15FB" w:rsidRDefault="005B15FB">
      <w:pPr>
        <w:spacing w:after="0"/>
        <w:ind w:left="15"/>
      </w:pPr>
      <w:r>
        <w:separator/>
      </w:r>
    </w:p>
  </w:footnote>
  <w:footnote w:type="continuationSeparator" w:id="0">
    <w:p w14:paraId="7AE8F76E" w14:textId="77777777" w:rsidR="005B15FB" w:rsidRDefault="005B15FB">
      <w:pPr>
        <w:spacing w:after="0"/>
        <w:ind w:left="15"/>
      </w:pPr>
      <w:r>
        <w:continuationSeparator/>
      </w:r>
    </w:p>
  </w:footnote>
  <w:footnote w:id="1">
    <w:p w14:paraId="382C045F" w14:textId="77777777" w:rsidR="00AB56F3" w:rsidRDefault="00000000">
      <w:pPr>
        <w:pStyle w:val="footnotedescription"/>
      </w:pPr>
      <w:r>
        <w:rPr>
          <w:rStyle w:val="footnotemark"/>
        </w:rPr>
        <w:footnoteRef/>
      </w:r>
      <w:r>
        <w:t xml:space="preserve"> </w:t>
      </w:r>
      <w:r>
        <w:rPr>
          <w:color w:val="0563C0"/>
          <w:sz w:val="18"/>
          <w:u w:val="single" w:color="0563C0"/>
        </w:rPr>
        <w:t>www.recoverytrial.net</w:t>
      </w:r>
    </w:p>
  </w:footnote>
  <w:footnote w:id="2">
    <w:p w14:paraId="216C8696" w14:textId="77777777" w:rsidR="00AB56F3" w:rsidRDefault="00000000">
      <w:pPr>
        <w:pStyle w:val="footnotedescription"/>
      </w:pPr>
      <w:r>
        <w:rPr>
          <w:rStyle w:val="footnotemark"/>
        </w:rPr>
        <w:footnoteRef/>
      </w:r>
      <w:r>
        <w:t xml:space="preserve"> </w:t>
      </w:r>
      <w:r>
        <w:rPr>
          <w:sz w:val="22"/>
        </w:rPr>
        <w:t xml:space="preserve">Ref: Dexamethasone, MHRA, </w:t>
      </w:r>
      <w:r>
        <w:rPr>
          <w:sz w:val="24"/>
        </w:rPr>
        <w:t>27/10/2023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23159"/>
    <w:multiLevelType w:val="hybridMultilevel"/>
    <w:tmpl w:val="A35471FE"/>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 w15:restartNumberingAfterBreak="0">
    <w:nsid w:val="26E731D6"/>
    <w:multiLevelType w:val="hybridMultilevel"/>
    <w:tmpl w:val="EB443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07077D8"/>
    <w:multiLevelType w:val="multilevel"/>
    <w:tmpl w:val="A510FA3E"/>
    <w:lvl w:ilvl="0">
      <w:start w:val="1"/>
      <w:numFmt w:val="decimal"/>
      <w:lvlText w:val="%1."/>
      <w:lvlJc w:val="left"/>
      <w:pPr>
        <w:ind w:left="360" w:hanging="360"/>
      </w:pPr>
    </w:lvl>
    <w:lvl w:ilvl="1">
      <w:start w:val="1"/>
      <w:numFmt w:val="decimal"/>
      <w:lvlText w:val="%1.%2."/>
      <w:lvlJc w:val="left"/>
      <w:pPr>
        <w:ind w:left="792" w:hanging="432"/>
      </w:pPr>
      <w:rPr>
        <w:b/>
        <w:bCs/>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3D95298"/>
    <w:multiLevelType w:val="hybridMultilevel"/>
    <w:tmpl w:val="9730B9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DD60EB"/>
    <w:multiLevelType w:val="hybridMultilevel"/>
    <w:tmpl w:val="E98EA70E"/>
    <w:lvl w:ilvl="0" w:tplc="3F70262C">
      <w:start w:val="1"/>
      <w:numFmt w:val="bullet"/>
      <w:lvlText w:val="-"/>
      <w:lvlJc w:val="left"/>
      <w:pPr>
        <w:ind w:left="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7166FA8">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B6377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1D8AEA2">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CEAF50">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E43D6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8C05B6">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6A5B2E">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AC8D72">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4973A03"/>
    <w:multiLevelType w:val="hybridMultilevel"/>
    <w:tmpl w:val="68B674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8C51943"/>
    <w:multiLevelType w:val="hybridMultilevel"/>
    <w:tmpl w:val="C7F6E2B4"/>
    <w:lvl w:ilvl="0" w:tplc="3F70262C">
      <w:start w:val="1"/>
      <w:numFmt w:val="bullet"/>
      <w:lvlText w:val="-"/>
      <w:lvlJc w:val="left"/>
      <w:pPr>
        <w:ind w:left="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523C34"/>
    <w:multiLevelType w:val="hybridMultilevel"/>
    <w:tmpl w:val="B4967AEC"/>
    <w:lvl w:ilvl="0" w:tplc="47FA99F0">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161CB0">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0442B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DBC08D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AC2F84">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96BAC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40002">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D41F18">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FE23EA">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2F26E00"/>
    <w:multiLevelType w:val="hybridMultilevel"/>
    <w:tmpl w:val="A3C2B626"/>
    <w:lvl w:ilvl="0" w:tplc="EA9E4C3C">
      <w:start w:val="1"/>
      <w:numFmt w:val="bullet"/>
      <w:lvlText w:val=""/>
      <w:lvlJc w:val="left"/>
      <w:pPr>
        <w:ind w:left="108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ADC2B14"/>
    <w:multiLevelType w:val="hybridMultilevel"/>
    <w:tmpl w:val="BDC0EACE"/>
    <w:lvl w:ilvl="0" w:tplc="614ACD5A">
      <w:start w:val="7"/>
      <w:numFmt w:val="decimal"/>
      <w:lvlText w:val="%1"/>
      <w:lvlJc w:val="left"/>
      <w:pPr>
        <w:ind w:left="7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2C0B342">
      <w:start w:val="1"/>
      <w:numFmt w:val="lowerLetter"/>
      <w:lvlText w:val="%2"/>
      <w:lvlJc w:val="left"/>
      <w:pPr>
        <w:ind w:left="10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182F0AC">
      <w:start w:val="1"/>
      <w:numFmt w:val="lowerRoman"/>
      <w:lvlText w:val="%3"/>
      <w:lvlJc w:val="left"/>
      <w:pPr>
        <w:ind w:left="18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E502E80">
      <w:start w:val="1"/>
      <w:numFmt w:val="decimal"/>
      <w:lvlText w:val="%4"/>
      <w:lvlJc w:val="left"/>
      <w:pPr>
        <w:ind w:left="25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2E651B0">
      <w:start w:val="1"/>
      <w:numFmt w:val="lowerLetter"/>
      <w:lvlText w:val="%5"/>
      <w:lvlJc w:val="left"/>
      <w:pPr>
        <w:ind w:left="32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1A6A34A">
      <w:start w:val="1"/>
      <w:numFmt w:val="lowerRoman"/>
      <w:lvlText w:val="%6"/>
      <w:lvlJc w:val="left"/>
      <w:pPr>
        <w:ind w:left="39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810CC68">
      <w:start w:val="1"/>
      <w:numFmt w:val="decimal"/>
      <w:lvlText w:val="%7"/>
      <w:lvlJc w:val="left"/>
      <w:pPr>
        <w:ind w:left="46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8A4A19A">
      <w:start w:val="1"/>
      <w:numFmt w:val="lowerLetter"/>
      <w:lvlText w:val="%8"/>
      <w:lvlJc w:val="left"/>
      <w:pPr>
        <w:ind w:left="54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3942394">
      <w:start w:val="1"/>
      <w:numFmt w:val="lowerRoman"/>
      <w:lvlText w:val="%9"/>
      <w:lvlJc w:val="left"/>
      <w:pPr>
        <w:ind w:left="61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C9C3AC0"/>
    <w:multiLevelType w:val="hybridMultilevel"/>
    <w:tmpl w:val="20AA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CC359B"/>
    <w:multiLevelType w:val="multilevel"/>
    <w:tmpl w:val="A510FA3E"/>
    <w:lvl w:ilvl="0">
      <w:start w:val="1"/>
      <w:numFmt w:val="decimal"/>
      <w:lvlText w:val="%1."/>
      <w:lvlJc w:val="left"/>
      <w:pPr>
        <w:ind w:left="360" w:hanging="360"/>
      </w:pPr>
    </w:lvl>
    <w:lvl w:ilvl="1">
      <w:start w:val="1"/>
      <w:numFmt w:val="decimal"/>
      <w:lvlText w:val="%1.%2."/>
      <w:lvlJc w:val="left"/>
      <w:pPr>
        <w:ind w:left="792" w:hanging="432"/>
      </w:pPr>
      <w:rPr>
        <w:b/>
        <w:bCs/>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89B79C7"/>
    <w:multiLevelType w:val="hybridMultilevel"/>
    <w:tmpl w:val="1D0EFB42"/>
    <w:lvl w:ilvl="0" w:tplc="AFF6F76E">
      <w:start w:val="1"/>
      <w:numFmt w:val="decimal"/>
      <w:lvlText w:val="%1."/>
      <w:lvlJc w:val="left"/>
      <w:pPr>
        <w:ind w:left="11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C2AD6E">
      <w:start w:val="1"/>
      <w:numFmt w:val="lowerLetter"/>
      <w:lvlText w:val="%2"/>
      <w:lvlJc w:val="left"/>
      <w:pPr>
        <w:ind w:left="19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C0B81A">
      <w:start w:val="1"/>
      <w:numFmt w:val="lowerRoman"/>
      <w:lvlText w:val="%3"/>
      <w:lvlJc w:val="left"/>
      <w:pPr>
        <w:ind w:left="2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4D6582E">
      <w:start w:val="1"/>
      <w:numFmt w:val="decimal"/>
      <w:lvlText w:val="%4"/>
      <w:lvlJc w:val="left"/>
      <w:pPr>
        <w:ind w:left="3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B2439A">
      <w:start w:val="1"/>
      <w:numFmt w:val="lowerLetter"/>
      <w:lvlText w:val="%5"/>
      <w:lvlJc w:val="left"/>
      <w:pPr>
        <w:ind w:left="4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122BFFE">
      <w:start w:val="1"/>
      <w:numFmt w:val="lowerRoman"/>
      <w:lvlText w:val="%6"/>
      <w:lvlJc w:val="left"/>
      <w:pPr>
        <w:ind w:left="48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66B022">
      <w:start w:val="1"/>
      <w:numFmt w:val="decimal"/>
      <w:lvlText w:val="%7"/>
      <w:lvlJc w:val="left"/>
      <w:pPr>
        <w:ind w:left="55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3A150A">
      <w:start w:val="1"/>
      <w:numFmt w:val="lowerLetter"/>
      <w:lvlText w:val="%8"/>
      <w:lvlJc w:val="left"/>
      <w:pPr>
        <w:ind w:left="63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102C0E">
      <w:start w:val="1"/>
      <w:numFmt w:val="lowerRoman"/>
      <w:lvlText w:val="%9"/>
      <w:lvlJc w:val="left"/>
      <w:pPr>
        <w:ind w:left="70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A7031A9"/>
    <w:multiLevelType w:val="hybridMultilevel"/>
    <w:tmpl w:val="F36E8D7C"/>
    <w:lvl w:ilvl="0" w:tplc="04090001">
      <w:start w:val="1"/>
      <w:numFmt w:val="bullet"/>
      <w:lvlText w:val=""/>
      <w:lvlJc w:val="left"/>
      <w:pPr>
        <w:ind w:left="144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AD84C6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1443C45"/>
    <w:multiLevelType w:val="hybridMultilevel"/>
    <w:tmpl w:val="9DEAA600"/>
    <w:lvl w:ilvl="0" w:tplc="EA9E4C3C">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67F3726"/>
    <w:multiLevelType w:val="hybridMultilevel"/>
    <w:tmpl w:val="C61495BA"/>
    <w:lvl w:ilvl="0" w:tplc="9D600652">
      <w:start w:val="1"/>
      <w:numFmt w:val="bullet"/>
      <w:lvlText w:val="-"/>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15E878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44AD9A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1EF1A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6024BB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3EBC3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886A41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CAD58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92083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B0659F3"/>
    <w:multiLevelType w:val="hybridMultilevel"/>
    <w:tmpl w:val="F3746AE6"/>
    <w:lvl w:ilvl="0" w:tplc="631EF3F2">
      <w:start w:val="1"/>
      <w:numFmt w:val="bullet"/>
      <w:lvlText w:val="-"/>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981798">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04DEA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5403FE">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58090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3AD0D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D45E48">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08EAF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D073B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D0B5AA1"/>
    <w:multiLevelType w:val="multilevel"/>
    <w:tmpl w:val="2932C8F8"/>
    <w:lvl w:ilvl="0">
      <w:start w:val="1"/>
      <w:numFmt w:val="decimal"/>
      <w:lvlText w:val="%1."/>
      <w:lvlJc w:val="left"/>
      <w:pPr>
        <w:ind w:left="360" w:hanging="360"/>
      </w:pPr>
      <w:rPr>
        <w:b/>
        <w:bCs/>
      </w:rPr>
    </w:lvl>
    <w:lvl w:ilvl="1">
      <w:start w:val="1"/>
      <w:numFmt w:val="decimal"/>
      <w:lvlText w:val="%1.%2."/>
      <w:lvlJc w:val="left"/>
      <w:pPr>
        <w:ind w:left="792" w:hanging="432"/>
      </w:pPr>
      <w:rPr>
        <w:b/>
        <w:bCs/>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D9E73E6"/>
    <w:multiLevelType w:val="hybridMultilevel"/>
    <w:tmpl w:val="1EA022E6"/>
    <w:lvl w:ilvl="0" w:tplc="3F70262C">
      <w:start w:val="1"/>
      <w:numFmt w:val="bullet"/>
      <w:lvlText w:val="-"/>
      <w:lvlJc w:val="left"/>
      <w:pPr>
        <w:ind w:left="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2095204">
    <w:abstractNumId w:val="12"/>
  </w:num>
  <w:num w:numId="2" w16cid:durableId="373233904">
    <w:abstractNumId w:val="17"/>
  </w:num>
  <w:num w:numId="3" w16cid:durableId="2076927995">
    <w:abstractNumId w:val="4"/>
  </w:num>
  <w:num w:numId="4" w16cid:durableId="1659530048">
    <w:abstractNumId w:val="16"/>
  </w:num>
  <w:num w:numId="5" w16cid:durableId="1380547632">
    <w:abstractNumId w:val="7"/>
  </w:num>
  <w:num w:numId="6" w16cid:durableId="51736019">
    <w:abstractNumId w:val="9"/>
  </w:num>
  <w:num w:numId="7" w16cid:durableId="429084012">
    <w:abstractNumId w:val="18"/>
  </w:num>
  <w:num w:numId="8" w16cid:durableId="478116744">
    <w:abstractNumId w:val="14"/>
  </w:num>
  <w:num w:numId="9" w16cid:durableId="323558042">
    <w:abstractNumId w:val="3"/>
  </w:num>
  <w:num w:numId="10" w16cid:durableId="1140532590">
    <w:abstractNumId w:val="1"/>
  </w:num>
  <w:num w:numId="11" w16cid:durableId="2140413263">
    <w:abstractNumId w:val="0"/>
  </w:num>
  <w:num w:numId="12" w16cid:durableId="224802630">
    <w:abstractNumId w:val="5"/>
  </w:num>
  <w:num w:numId="13" w16cid:durableId="272981560">
    <w:abstractNumId w:val="10"/>
  </w:num>
  <w:num w:numId="14" w16cid:durableId="900217625">
    <w:abstractNumId w:val="19"/>
  </w:num>
  <w:num w:numId="15" w16cid:durableId="1960798880">
    <w:abstractNumId w:val="6"/>
  </w:num>
  <w:num w:numId="16" w16cid:durableId="1389568331">
    <w:abstractNumId w:val="13"/>
  </w:num>
  <w:num w:numId="17" w16cid:durableId="857813784">
    <w:abstractNumId w:val="15"/>
  </w:num>
  <w:num w:numId="18" w16cid:durableId="386535456">
    <w:abstractNumId w:val="8"/>
  </w:num>
  <w:num w:numId="19" w16cid:durableId="822432897">
    <w:abstractNumId w:val="2"/>
  </w:num>
  <w:num w:numId="20" w16cid:durableId="2150928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6F3"/>
    <w:rsid w:val="005B15FB"/>
    <w:rsid w:val="00866324"/>
    <w:rsid w:val="009A5AC8"/>
    <w:rsid w:val="00AB56F3"/>
    <w:rsid w:val="00E11FF4"/>
    <w:rsid w:val="00EA57E8"/>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decimalSymbol w:val="."/>
  <w:listSeparator w:val=","/>
  <w14:docId w14:val="3A897FCA"/>
  <w15:docId w15:val="{6560189B-3F91-7941-BB88-E4788BA63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TH" w:eastAsia="en-US"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65" w:lineRule="auto"/>
      <w:ind w:left="1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402" w:line="265" w:lineRule="auto"/>
      <w:ind w:left="10"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402" w:line="265" w:lineRule="auto"/>
      <w:ind w:left="10" w:hanging="10"/>
      <w:outlineLvl w:val="2"/>
    </w:pPr>
    <w:rPr>
      <w:rFonts w:ascii="Times New Roman" w:eastAsia="Times New Roman" w:hAnsi="Times New Roman" w:cs="Times New Roman"/>
      <w:b/>
      <w:color w:val="000000"/>
    </w:rPr>
  </w:style>
  <w:style w:type="paragraph" w:styleId="Heading4">
    <w:name w:val="heading 4"/>
    <w:next w:val="Normal"/>
    <w:link w:val="Heading4Char"/>
    <w:uiPriority w:val="9"/>
    <w:unhideWhenUsed/>
    <w:qFormat/>
    <w:pPr>
      <w:keepNext/>
      <w:keepLines/>
      <w:spacing w:after="112" w:line="270" w:lineRule="auto"/>
      <w:ind w:left="1465" w:hanging="10"/>
      <w:outlineLvl w:val="3"/>
    </w:pPr>
    <w:rPr>
      <w:rFonts w:ascii="Times New Roman" w:eastAsia="Times New Roman" w:hAnsi="Times New Roman" w:cs="Times New Roman"/>
      <w:b/>
      <w:i/>
      <w:color w:val="000000"/>
      <w:sz w:val="22"/>
    </w:rPr>
  </w:style>
  <w:style w:type="paragraph" w:styleId="Heading5">
    <w:name w:val="heading 5"/>
    <w:next w:val="Normal"/>
    <w:link w:val="Heading5Char"/>
    <w:uiPriority w:val="9"/>
    <w:unhideWhenUsed/>
    <w:qFormat/>
    <w:pPr>
      <w:keepNext/>
      <w:keepLines/>
      <w:spacing w:after="112" w:line="270" w:lineRule="auto"/>
      <w:ind w:left="1465" w:hanging="10"/>
      <w:outlineLvl w:val="4"/>
    </w:pPr>
    <w:rPr>
      <w:rFonts w:ascii="Times New Roman" w:eastAsia="Times New Roman" w:hAnsi="Times New Roman" w:cs="Times New Roman"/>
      <w:b/>
      <w: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59" w:lineRule="auto"/>
      <w:ind w:left="15"/>
    </w:pPr>
    <w:rPr>
      <w:rFonts w:ascii="Times New Roman" w:eastAsia="Times New Roman" w:hAnsi="Times New Roman" w:cs="Times New Roman"/>
      <w:color w:val="000000"/>
      <w:sz w:val="13"/>
    </w:rPr>
  </w:style>
  <w:style w:type="character" w:customStyle="1" w:styleId="footnotedescriptionChar">
    <w:name w:val="footnote description Char"/>
    <w:link w:val="footnotedescription"/>
    <w:rPr>
      <w:rFonts w:ascii="Times New Roman" w:eastAsia="Times New Roman" w:hAnsi="Times New Roman" w:cs="Times New Roman"/>
      <w:color w:val="000000"/>
      <w:sz w:val="13"/>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1Char">
    <w:name w:val="Heading 1 Char"/>
    <w:link w:val="Heading1"/>
    <w:uiPriority w:val="9"/>
    <w:rPr>
      <w:rFonts w:ascii="Times New Roman" w:eastAsia="Times New Roman" w:hAnsi="Times New Roman" w:cs="Times New Roman"/>
      <w:b/>
      <w:color w:val="000000"/>
      <w:sz w:val="28"/>
    </w:rPr>
  </w:style>
  <w:style w:type="character" w:customStyle="1" w:styleId="Heading4Char">
    <w:name w:val="Heading 4 Char"/>
    <w:link w:val="Heading4"/>
    <w:rPr>
      <w:rFonts w:ascii="Times New Roman" w:eastAsia="Times New Roman" w:hAnsi="Times New Roman" w:cs="Times New Roman"/>
      <w:b/>
      <w:i/>
      <w:color w:val="000000"/>
      <w:sz w:val="22"/>
    </w:rPr>
  </w:style>
  <w:style w:type="character" w:customStyle="1" w:styleId="Heading5Char">
    <w:name w:val="Heading 5 Char"/>
    <w:link w:val="Heading5"/>
    <w:rPr>
      <w:rFonts w:ascii="Times New Roman" w:eastAsia="Times New Roman" w:hAnsi="Times New Roman" w:cs="Times New Roman"/>
      <w:b/>
      <w:i/>
      <w:color w:val="000000"/>
      <w:sz w:val="22"/>
    </w:rPr>
  </w:style>
  <w:style w:type="character" w:customStyle="1" w:styleId="footnotemark">
    <w:name w:val="footnote mark"/>
    <w:hidden/>
    <w:rPr>
      <w:rFonts w:ascii="Times New Roman" w:eastAsia="Times New Roman" w:hAnsi="Times New Roman" w:cs="Times New Roman"/>
      <w:color w:val="000000"/>
      <w:sz w:val="1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EA5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1FF4"/>
    <w:pPr>
      <w:ind w:left="720"/>
      <w:contextualSpacing/>
    </w:pPr>
    <w:rPr>
      <w:rFonts w:cs="Angsan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.~WRD0003</Template>
  <TotalTime>8</TotalTime>
  <Pages>31</Pages>
  <Words>5490</Words>
  <Characters>31293</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6979_1_dexamethasone_syrup_smpc_MHRA.docx</vt:lpstr>
    </vt:vector>
  </TitlesOfParts>
  <Company/>
  <LinksUpToDate>false</LinksUpToDate>
  <CharactersWithSpaces>36710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6979_1_dexamethasone_syrup_smpc_MHRA.docx</dc:title>
  <dc:subject/>
  <dc:creator>PIYATIDA PANITSUPAKAMOL</dc:creator>
  <cp:keywords/>
  <cp:lastModifiedBy>PIYATIDA PANITSUPAKAMOL</cp:lastModifiedBy>
  <cp:revision>2</cp:revision>
  <dcterms:created xsi:type="dcterms:W3CDTF">2024-09-06T19:51:00Z</dcterms:created>
  <dcterms:modified xsi:type="dcterms:W3CDTF">2024-09-06T19:51:00Z</dcterms:modified>
</cp:coreProperties>
</file>