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67FD" w14:textId="77777777" w:rsidR="00F22A3D" w:rsidRDefault="00000000" w:rsidP="00F22A3D">
      <w:pPr>
        <w:spacing w:after="240" w:line="480" w:lineRule="auto"/>
        <w:ind w:left="748" w:hanging="11"/>
        <w:jc w:val="left"/>
        <w:rPr>
          <w:b/>
          <w:sz w:val="28"/>
          <w:szCs w:val="28"/>
        </w:rPr>
      </w:pPr>
      <w:r w:rsidRPr="00F22A3D">
        <w:rPr>
          <w:b/>
          <w:sz w:val="28"/>
          <w:szCs w:val="28"/>
        </w:rPr>
        <w:t>SUMMARY OF PRODUCT CHARACTERISTICS</w:t>
      </w:r>
    </w:p>
    <w:p w14:paraId="228F11C9" w14:textId="77777777" w:rsidR="00F22A3D" w:rsidRDefault="00000000" w:rsidP="00F22A3D">
      <w:pPr>
        <w:pStyle w:val="ListParagraph"/>
        <w:numPr>
          <w:ilvl w:val="0"/>
          <w:numId w:val="3"/>
        </w:numPr>
        <w:spacing w:after="240" w:line="264" w:lineRule="auto"/>
        <w:ind w:left="357" w:hanging="357"/>
        <w:contextualSpacing w:val="0"/>
        <w:jc w:val="left"/>
        <w:rPr>
          <w:b/>
          <w:bCs/>
          <w:sz w:val="28"/>
          <w:szCs w:val="28"/>
        </w:rPr>
      </w:pPr>
      <w:r w:rsidRPr="00F22A3D">
        <w:rPr>
          <w:b/>
          <w:bCs/>
          <w:sz w:val="28"/>
          <w:szCs w:val="28"/>
        </w:rPr>
        <w:t>NAME OF THE MEDICINAL PRODUCT</w:t>
      </w:r>
    </w:p>
    <w:p w14:paraId="75660FA9" w14:textId="77777777" w:rsidR="00F22A3D" w:rsidRDefault="00000000" w:rsidP="00F22A3D">
      <w:pPr>
        <w:pStyle w:val="ListParagraph"/>
        <w:spacing w:after="674" w:line="360" w:lineRule="auto"/>
        <w:ind w:left="360" w:firstLine="0"/>
        <w:jc w:val="left"/>
        <w:rPr>
          <w:sz w:val="28"/>
          <w:szCs w:val="28"/>
        </w:rPr>
      </w:pPr>
      <w:r w:rsidRPr="00F22A3D">
        <w:rPr>
          <w:color w:val="FF0000"/>
          <w:sz w:val="28"/>
          <w:szCs w:val="28"/>
        </w:rPr>
        <w:t xml:space="preserve">&lt;TRADE NAME&gt; &lt;STRENGTH&gt; </w:t>
      </w:r>
      <w:r w:rsidRPr="00F22A3D">
        <w:rPr>
          <w:sz w:val="28"/>
          <w:szCs w:val="28"/>
        </w:rPr>
        <w:t>Vaginal Tablet</w:t>
      </w:r>
    </w:p>
    <w:p w14:paraId="5D251FE8" w14:textId="77777777" w:rsidR="00F22A3D" w:rsidRDefault="00000000" w:rsidP="00F22A3D">
      <w:pPr>
        <w:pStyle w:val="ListParagraph"/>
        <w:spacing w:after="240" w:line="360" w:lineRule="auto"/>
        <w:ind w:left="357" w:firstLine="0"/>
        <w:contextualSpacing w:val="0"/>
        <w:jc w:val="left"/>
        <w:rPr>
          <w:rFonts w:cs="Times New Roman"/>
          <w:color w:val="FF0000"/>
          <w:sz w:val="28"/>
          <w:szCs w:val="28"/>
        </w:rPr>
      </w:pPr>
      <w:r w:rsidRPr="00F22A3D">
        <w:rPr>
          <w:rFonts w:cs="Times New Roman"/>
          <w:color w:val="FF0000"/>
          <w:sz w:val="28"/>
          <w:szCs w:val="28"/>
        </w:rPr>
        <w:t>&lt;REGARDING THE APRROVAL&gt;</w:t>
      </w:r>
    </w:p>
    <w:p w14:paraId="27C309DA" w14:textId="77777777" w:rsidR="00F22A3D" w:rsidRDefault="00000000" w:rsidP="00F22A3D">
      <w:pPr>
        <w:pStyle w:val="ListParagraph"/>
        <w:numPr>
          <w:ilvl w:val="0"/>
          <w:numId w:val="3"/>
        </w:numPr>
        <w:spacing w:after="240" w:line="360" w:lineRule="auto"/>
        <w:ind w:left="357" w:hanging="357"/>
        <w:contextualSpacing w:val="0"/>
        <w:jc w:val="left"/>
        <w:rPr>
          <w:b/>
          <w:bCs/>
          <w:sz w:val="28"/>
          <w:szCs w:val="28"/>
        </w:rPr>
      </w:pPr>
      <w:r w:rsidRPr="00F22A3D">
        <w:rPr>
          <w:b/>
          <w:bCs/>
          <w:sz w:val="28"/>
          <w:szCs w:val="28"/>
        </w:rPr>
        <w:t>QUALITATIVE AND QUANTITATIVE COMPOSITION</w:t>
      </w:r>
    </w:p>
    <w:p w14:paraId="76590690" w14:textId="77777777" w:rsidR="00F22A3D" w:rsidRDefault="00000000" w:rsidP="00F22A3D">
      <w:pPr>
        <w:pStyle w:val="ListParagraph"/>
        <w:spacing w:after="240" w:line="360" w:lineRule="auto"/>
        <w:ind w:left="357" w:firstLine="0"/>
        <w:contextualSpacing w:val="0"/>
        <w:jc w:val="left"/>
        <w:rPr>
          <w:color w:val="FF0000"/>
          <w:sz w:val="28"/>
          <w:szCs w:val="28"/>
        </w:rPr>
      </w:pPr>
      <w:r w:rsidRPr="00F22A3D">
        <w:rPr>
          <w:sz w:val="28"/>
          <w:szCs w:val="28"/>
        </w:rPr>
        <w:t xml:space="preserve">Each tablet contains clotrimazole </w:t>
      </w:r>
      <w:r w:rsidRPr="00F22A3D">
        <w:rPr>
          <w:color w:val="FF0000"/>
          <w:sz w:val="28"/>
          <w:szCs w:val="28"/>
        </w:rPr>
        <w:t>&lt;GENERIC NAME&gt; &lt;STRENGTH&gt;</w:t>
      </w:r>
    </w:p>
    <w:p w14:paraId="7DCFA66D" w14:textId="76DC23DF" w:rsidR="00F22A3D" w:rsidRPr="00F22A3D" w:rsidRDefault="00000000" w:rsidP="00F22A3D">
      <w:pPr>
        <w:pStyle w:val="ListParagraph"/>
        <w:spacing w:after="0" w:line="360" w:lineRule="auto"/>
        <w:ind w:left="357" w:firstLine="0"/>
        <w:contextualSpacing w:val="0"/>
        <w:jc w:val="left"/>
        <w:rPr>
          <w:color w:val="FF0000"/>
          <w:sz w:val="28"/>
          <w:szCs w:val="28"/>
        </w:rPr>
      </w:pPr>
      <w:r w:rsidRPr="00F22A3D">
        <w:rPr>
          <w:sz w:val="28"/>
          <w:szCs w:val="28"/>
        </w:rPr>
        <w:t>Excipient with known effect:</w:t>
      </w:r>
    </w:p>
    <w:p w14:paraId="382C53DC" w14:textId="77777777" w:rsidR="00F22A3D" w:rsidRDefault="00000000" w:rsidP="00F22A3D">
      <w:pPr>
        <w:pStyle w:val="ListParagraph"/>
        <w:spacing w:after="240" w:line="360" w:lineRule="auto"/>
        <w:ind w:left="357" w:firstLine="0"/>
        <w:contextualSpacing w:val="0"/>
        <w:jc w:val="left"/>
        <w:rPr>
          <w:rFonts w:cs="Times New Roman"/>
          <w:color w:val="FF0000"/>
          <w:sz w:val="28"/>
          <w:szCs w:val="28"/>
        </w:rPr>
      </w:pPr>
      <w:r w:rsidRPr="00F22A3D">
        <w:rPr>
          <w:rFonts w:cs="Times New Roman"/>
          <w:color w:val="FF0000"/>
          <w:sz w:val="28"/>
          <w:szCs w:val="28"/>
        </w:rPr>
        <w:t>&lt;REGARDING THE APRROVAL&gt;</w:t>
      </w:r>
    </w:p>
    <w:p w14:paraId="26618BC4" w14:textId="77777777" w:rsidR="00F22A3D" w:rsidRDefault="00000000" w:rsidP="00F22A3D">
      <w:pPr>
        <w:pStyle w:val="ListParagraph"/>
        <w:spacing w:after="240" w:line="360" w:lineRule="auto"/>
        <w:ind w:left="357" w:firstLine="0"/>
        <w:contextualSpacing w:val="0"/>
        <w:jc w:val="left"/>
        <w:rPr>
          <w:rFonts w:cs="Times New Roman"/>
          <w:sz w:val="28"/>
          <w:szCs w:val="28"/>
        </w:rPr>
      </w:pPr>
      <w:r w:rsidRPr="00F22A3D">
        <w:rPr>
          <w:rFonts w:cs="Times New Roman"/>
          <w:sz w:val="28"/>
          <w:szCs w:val="28"/>
        </w:rPr>
        <w:t>For the full list of excipients, see section 6.1.</w:t>
      </w:r>
    </w:p>
    <w:p w14:paraId="6A2D2B79" w14:textId="77777777" w:rsidR="00F22A3D" w:rsidRDefault="00000000" w:rsidP="00F22A3D">
      <w:pPr>
        <w:pStyle w:val="ListParagraph"/>
        <w:numPr>
          <w:ilvl w:val="0"/>
          <w:numId w:val="3"/>
        </w:numPr>
        <w:spacing w:after="240" w:line="360" w:lineRule="auto"/>
        <w:ind w:left="357" w:hanging="357"/>
        <w:contextualSpacing w:val="0"/>
        <w:jc w:val="left"/>
        <w:rPr>
          <w:b/>
          <w:bCs/>
          <w:sz w:val="28"/>
          <w:szCs w:val="28"/>
        </w:rPr>
      </w:pPr>
      <w:r w:rsidRPr="00F22A3D">
        <w:rPr>
          <w:b/>
          <w:bCs/>
          <w:sz w:val="28"/>
          <w:szCs w:val="28"/>
        </w:rPr>
        <w:t>PHARMACEUTICAL FORM</w:t>
      </w:r>
    </w:p>
    <w:p w14:paraId="3329726E" w14:textId="77777777" w:rsidR="00F22A3D" w:rsidRDefault="00000000" w:rsidP="00F22A3D">
      <w:pPr>
        <w:pStyle w:val="ListParagraph"/>
        <w:spacing w:after="674" w:line="360" w:lineRule="auto"/>
        <w:ind w:left="360" w:firstLine="0"/>
        <w:jc w:val="left"/>
        <w:rPr>
          <w:sz w:val="28"/>
          <w:szCs w:val="28"/>
        </w:rPr>
      </w:pPr>
      <w:r w:rsidRPr="00F22A3D">
        <w:rPr>
          <w:sz w:val="28"/>
          <w:szCs w:val="28"/>
        </w:rPr>
        <w:t>Vaginal tablet</w:t>
      </w:r>
    </w:p>
    <w:p w14:paraId="61EEC479" w14:textId="77777777" w:rsidR="00F22A3D" w:rsidRDefault="00000000" w:rsidP="00F22A3D">
      <w:pPr>
        <w:pStyle w:val="ListParagraph"/>
        <w:spacing w:after="240" w:line="360" w:lineRule="auto"/>
        <w:ind w:left="357" w:firstLine="0"/>
        <w:contextualSpacing w:val="0"/>
        <w:jc w:val="left"/>
        <w:rPr>
          <w:rFonts w:cs="Times New Roman"/>
          <w:color w:val="FF0000"/>
          <w:sz w:val="28"/>
          <w:szCs w:val="28"/>
        </w:rPr>
      </w:pPr>
      <w:r w:rsidRPr="00F22A3D">
        <w:rPr>
          <w:rFonts w:cs="Times New Roman"/>
          <w:color w:val="FF0000"/>
          <w:sz w:val="28"/>
          <w:szCs w:val="28"/>
        </w:rPr>
        <w:t>&lt;REGARDING THE APRROVAL&gt;</w:t>
      </w:r>
    </w:p>
    <w:p w14:paraId="2FDA4BE0" w14:textId="77777777" w:rsidR="00F22A3D" w:rsidRPr="00F22A3D" w:rsidRDefault="00000000" w:rsidP="00F22A3D">
      <w:pPr>
        <w:pStyle w:val="ListParagraph"/>
        <w:numPr>
          <w:ilvl w:val="0"/>
          <w:numId w:val="3"/>
        </w:numPr>
        <w:spacing w:after="240" w:line="360" w:lineRule="auto"/>
        <w:ind w:left="357" w:hanging="357"/>
        <w:contextualSpacing w:val="0"/>
        <w:jc w:val="left"/>
        <w:rPr>
          <w:b/>
          <w:bCs/>
          <w:sz w:val="28"/>
          <w:szCs w:val="28"/>
        </w:rPr>
      </w:pPr>
      <w:r w:rsidRPr="00F22A3D">
        <w:rPr>
          <w:rFonts w:cs="Times New Roman"/>
          <w:b/>
          <w:bCs/>
          <w:sz w:val="28"/>
          <w:szCs w:val="28"/>
        </w:rPr>
        <w:t>CLINICAL PARTICULARS</w:t>
      </w:r>
    </w:p>
    <w:p w14:paraId="4CB7FD18" w14:textId="77777777" w:rsidR="00F22A3D" w:rsidRDefault="00000000" w:rsidP="00F22A3D">
      <w:pPr>
        <w:pStyle w:val="ListParagraph"/>
        <w:numPr>
          <w:ilvl w:val="1"/>
          <w:numId w:val="3"/>
        </w:numPr>
        <w:spacing w:after="240" w:line="360" w:lineRule="auto"/>
        <w:ind w:left="788" w:hanging="431"/>
        <w:contextualSpacing w:val="0"/>
        <w:jc w:val="left"/>
        <w:rPr>
          <w:b/>
          <w:bCs/>
          <w:sz w:val="28"/>
          <w:szCs w:val="28"/>
        </w:rPr>
      </w:pPr>
      <w:r w:rsidRPr="00F22A3D">
        <w:rPr>
          <w:b/>
          <w:bCs/>
          <w:sz w:val="28"/>
          <w:szCs w:val="28"/>
        </w:rPr>
        <w:t>Therapeutic indications</w:t>
      </w:r>
    </w:p>
    <w:p w14:paraId="57F5D05D" w14:textId="335B32C8" w:rsidR="00920F94" w:rsidRPr="00F22A3D" w:rsidRDefault="00000000" w:rsidP="00F22A3D">
      <w:pPr>
        <w:pStyle w:val="ListParagraph"/>
        <w:spacing w:after="240" w:line="360" w:lineRule="auto"/>
        <w:ind w:left="794" w:firstLine="0"/>
        <w:contextualSpacing w:val="0"/>
        <w:jc w:val="left"/>
        <w:rPr>
          <w:b/>
          <w:bCs/>
          <w:sz w:val="28"/>
          <w:szCs w:val="28"/>
        </w:rPr>
      </w:pPr>
      <w:r w:rsidRPr="00F22A3D">
        <w:rPr>
          <w:color w:val="FF0000"/>
          <w:sz w:val="28"/>
          <w:szCs w:val="28"/>
        </w:rPr>
        <w:t xml:space="preserve">&lt;GENERIC NAME&gt; </w:t>
      </w:r>
      <w:r w:rsidRPr="00F22A3D">
        <w:rPr>
          <w:sz w:val="28"/>
          <w:szCs w:val="28"/>
        </w:rPr>
        <w:t>vaginal tablets are indicated for the treatment of candidal vaginitis.</w:t>
      </w:r>
    </w:p>
    <w:p w14:paraId="56247411" w14:textId="77777777" w:rsidR="00F22A3D" w:rsidRDefault="00000000" w:rsidP="00F22A3D">
      <w:pPr>
        <w:pStyle w:val="Heading2"/>
        <w:numPr>
          <w:ilvl w:val="1"/>
          <w:numId w:val="3"/>
        </w:numPr>
        <w:rPr>
          <w:szCs w:val="28"/>
        </w:rPr>
      </w:pPr>
      <w:r w:rsidRPr="00F22A3D">
        <w:rPr>
          <w:szCs w:val="28"/>
        </w:rPr>
        <w:lastRenderedPageBreak/>
        <w:t>Posology and method of administration</w:t>
      </w:r>
    </w:p>
    <w:p w14:paraId="03F649A6" w14:textId="77777777" w:rsidR="00F22A3D" w:rsidRDefault="00000000" w:rsidP="00F22A3D">
      <w:pPr>
        <w:pStyle w:val="Heading2"/>
        <w:spacing w:after="240" w:line="264" w:lineRule="auto"/>
        <w:ind w:left="794" w:firstLine="0"/>
        <w:rPr>
          <w:b w:val="0"/>
          <w:bCs/>
          <w:szCs w:val="28"/>
          <w:u w:val="single" w:color="000000"/>
        </w:rPr>
      </w:pPr>
      <w:r w:rsidRPr="00F22A3D">
        <w:rPr>
          <w:b w:val="0"/>
          <w:bCs/>
          <w:szCs w:val="28"/>
          <w:u w:val="single" w:color="000000"/>
        </w:rPr>
        <w:t>Posology</w:t>
      </w:r>
    </w:p>
    <w:p w14:paraId="1187A582" w14:textId="77777777" w:rsidR="00F22A3D" w:rsidRDefault="00000000" w:rsidP="00F22A3D">
      <w:pPr>
        <w:pStyle w:val="Heading2"/>
        <w:spacing w:after="240" w:line="360" w:lineRule="auto"/>
        <w:ind w:left="794" w:firstLine="0"/>
        <w:jc w:val="thaiDistribute"/>
        <w:rPr>
          <w:b w:val="0"/>
          <w:bCs/>
          <w:szCs w:val="28"/>
        </w:rPr>
      </w:pPr>
      <w:r w:rsidRPr="00F22A3D">
        <w:rPr>
          <w:b w:val="0"/>
          <w:bCs/>
          <w:szCs w:val="28"/>
        </w:rPr>
        <w:t>The treatment consists of one vaginal tablet to be inserted at night, using the applicator provided.</w:t>
      </w:r>
    </w:p>
    <w:p w14:paraId="519D92FA" w14:textId="77777777" w:rsidR="00F22A3D" w:rsidRDefault="00000000" w:rsidP="00F22A3D">
      <w:pPr>
        <w:pStyle w:val="Heading2"/>
        <w:spacing w:after="240" w:line="360" w:lineRule="auto"/>
        <w:ind w:left="794" w:firstLine="0"/>
        <w:rPr>
          <w:b w:val="0"/>
          <w:bCs/>
          <w:szCs w:val="28"/>
          <w:u w:val="single" w:color="000000"/>
        </w:rPr>
      </w:pPr>
      <w:r w:rsidRPr="00F22A3D">
        <w:rPr>
          <w:b w:val="0"/>
          <w:bCs/>
          <w:szCs w:val="28"/>
          <w:u w:val="single" w:color="000000"/>
        </w:rPr>
        <w:t>Method of administration</w:t>
      </w:r>
    </w:p>
    <w:p w14:paraId="34C513E2" w14:textId="77777777" w:rsidR="00F22A3D" w:rsidRDefault="00000000" w:rsidP="00F22A3D">
      <w:pPr>
        <w:pStyle w:val="Heading2"/>
        <w:spacing w:after="240" w:line="360" w:lineRule="auto"/>
        <w:ind w:left="794" w:firstLine="0"/>
        <w:jc w:val="thaiDistribute"/>
        <w:rPr>
          <w:szCs w:val="28"/>
        </w:rPr>
      </w:pPr>
      <w:r w:rsidRPr="00F22A3D">
        <w:rPr>
          <w:b w:val="0"/>
          <w:bCs/>
          <w:szCs w:val="28"/>
        </w:rPr>
        <w:t xml:space="preserve">One </w:t>
      </w:r>
      <w:r w:rsidRPr="00F22A3D">
        <w:rPr>
          <w:b w:val="0"/>
          <w:bCs/>
          <w:color w:val="FF0000"/>
          <w:szCs w:val="28"/>
        </w:rPr>
        <w:t xml:space="preserve">&lt;STRENGTH&gt; </w:t>
      </w:r>
      <w:r w:rsidRPr="00F22A3D">
        <w:rPr>
          <w:b w:val="0"/>
          <w:bCs/>
          <w:szCs w:val="28"/>
        </w:rPr>
        <w:t>tablet should be placed into the holder of the applicator. The applicator should be inserted as high as possible into the vagina. This is best achieved when lying back with legs bent up. The plunger is slowly pushed in as far as it will go depositing the tablet in the vagina. The applicator should then be removed from the vagina and disposed of carefully, out of the reach of children. A second treatment may be carried out if necessary.</w:t>
      </w:r>
    </w:p>
    <w:p w14:paraId="05A25731" w14:textId="120DC180" w:rsidR="00920F94" w:rsidRPr="00F22A3D" w:rsidRDefault="00000000" w:rsidP="00F22A3D">
      <w:pPr>
        <w:pStyle w:val="Heading2"/>
        <w:spacing w:after="240" w:line="360" w:lineRule="auto"/>
        <w:ind w:left="794" w:firstLine="0"/>
        <w:jc w:val="thaiDistribute"/>
        <w:rPr>
          <w:b w:val="0"/>
          <w:bCs/>
          <w:szCs w:val="28"/>
        </w:rPr>
      </w:pPr>
      <w:r w:rsidRPr="00F22A3D">
        <w:rPr>
          <w:b w:val="0"/>
          <w:bCs/>
          <w:color w:val="FF0000"/>
          <w:szCs w:val="28"/>
        </w:rPr>
        <w:t xml:space="preserve">&lt;GENERIC NAME&gt; </w:t>
      </w:r>
      <w:r w:rsidRPr="00F22A3D">
        <w:rPr>
          <w:b w:val="0"/>
          <w:bCs/>
          <w:szCs w:val="28"/>
        </w:rPr>
        <w:t>vaginal tablets need moisture in the vagina in order to dissolve completely, otherwise undissolved pieces of the tablets might crumble out of the vagina. Pieces of undissolved tablets may be noticed by women who experience vaginal dryness. To help prevent this it is important that the tablet is inserted as high as possible into the vagina at bedtime.</w:t>
      </w:r>
    </w:p>
    <w:p w14:paraId="5CFCD52C" w14:textId="77777777" w:rsidR="00F22A3D" w:rsidRDefault="00000000" w:rsidP="00F22A3D">
      <w:pPr>
        <w:spacing w:after="240" w:line="360" w:lineRule="auto"/>
        <w:ind w:left="737" w:right="204" w:firstLine="0"/>
        <w:rPr>
          <w:sz w:val="28"/>
          <w:szCs w:val="28"/>
        </w:rPr>
      </w:pPr>
      <w:r w:rsidRPr="00F22A3D">
        <w:rPr>
          <w:sz w:val="28"/>
          <w:szCs w:val="28"/>
        </w:rPr>
        <w:t>Treatment should not be performed during menstrual period due to the risk of the tablets being washed out by the menstrual flow. The treatment should be finished before the onset of menstruation.</w:t>
      </w:r>
    </w:p>
    <w:p w14:paraId="5D7C6873" w14:textId="77777777" w:rsidR="00F22A3D" w:rsidRDefault="00000000" w:rsidP="00F22A3D">
      <w:pPr>
        <w:spacing w:after="240" w:line="360" w:lineRule="auto"/>
        <w:ind w:left="737" w:right="204" w:firstLine="0"/>
        <w:rPr>
          <w:sz w:val="28"/>
          <w:szCs w:val="28"/>
        </w:rPr>
      </w:pPr>
      <w:r w:rsidRPr="00F22A3D">
        <w:rPr>
          <w:sz w:val="28"/>
          <w:szCs w:val="28"/>
        </w:rPr>
        <w:t>Do not use tampons, intravaginal douches, spermicides or other vaginal products while using this product.</w:t>
      </w:r>
    </w:p>
    <w:p w14:paraId="6CD0CE9C" w14:textId="77777777" w:rsidR="00F22A3D" w:rsidRDefault="00000000" w:rsidP="00F22A3D">
      <w:pPr>
        <w:spacing w:after="240" w:line="360" w:lineRule="auto"/>
        <w:ind w:left="737" w:right="204" w:firstLine="0"/>
        <w:rPr>
          <w:sz w:val="28"/>
          <w:szCs w:val="28"/>
        </w:rPr>
      </w:pPr>
      <w:r w:rsidRPr="00F22A3D">
        <w:rPr>
          <w:sz w:val="28"/>
          <w:szCs w:val="28"/>
        </w:rPr>
        <w:lastRenderedPageBreak/>
        <w:t>Vaginal intercourse should be avoided in case of vaginal infection and while using this product because the partner could become infected.</w:t>
      </w:r>
    </w:p>
    <w:p w14:paraId="50404188" w14:textId="47463E4C" w:rsidR="00920F94" w:rsidRPr="00F22A3D" w:rsidRDefault="00000000" w:rsidP="00F22A3D">
      <w:pPr>
        <w:spacing w:after="240" w:line="360" w:lineRule="auto"/>
        <w:ind w:left="737" w:right="204" w:firstLine="0"/>
        <w:jc w:val="thaiDistribute"/>
        <w:rPr>
          <w:sz w:val="28"/>
          <w:szCs w:val="28"/>
        </w:rPr>
      </w:pPr>
      <w:r w:rsidRPr="00F22A3D">
        <w:rPr>
          <w:sz w:val="28"/>
          <w:szCs w:val="28"/>
        </w:rPr>
        <w:t>Children: Not for use in children under 16 years of age.</w:t>
      </w:r>
    </w:p>
    <w:p w14:paraId="64F83E08" w14:textId="77777777" w:rsidR="00F22A3D" w:rsidRDefault="00000000" w:rsidP="00F22A3D">
      <w:pPr>
        <w:pStyle w:val="ListParagraph"/>
        <w:numPr>
          <w:ilvl w:val="1"/>
          <w:numId w:val="3"/>
        </w:numPr>
        <w:tabs>
          <w:tab w:val="center" w:pos="1665"/>
        </w:tabs>
        <w:spacing w:after="240" w:line="264" w:lineRule="auto"/>
        <w:ind w:left="788" w:hanging="431"/>
        <w:contextualSpacing w:val="0"/>
        <w:jc w:val="left"/>
        <w:rPr>
          <w:b/>
          <w:sz w:val="28"/>
          <w:szCs w:val="28"/>
        </w:rPr>
      </w:pPr>
      <w:r w:rsidRPr="00F22A3D">
        <w:rPr>
          <w:b/>
          <w:sz w:val="28"/>
          <w:szCs w:val="28"/>
        </w:rPr>
        <w:t>Contraindications</w:t>
      </w:r>
    </w:p>
    <w:p w14:paraId="74DCC0E9" w14:textId="77777777" w:rsidR="00F22A3D" w:rsidRDefault="00000000" w:rsidP="00F22A3D">
      <w:pPr>
        <w:pStyle w:val="ListParagraph"/>
        <w:tabs>
          <w:tab w:val="center" w:pos="1665"/>
        </w:tabs>
        <w:spacing w:after="240" w:line="360" w:lineRule="auto"/>
        <w:ind w:left="794" w:firstLine="0"/>
        <w:contextualSpacing w:val="0"/>
        <w:jc w:val="left"/>
        <w:rPr>
          <w:sz w:val="28"/>
          <w:szCs w:val="28"/>
        </w:rPr>
      </w:pPr>
      <w:r w:rsidRPr="00F22A3D">
        <w:rPr>
          <w:sz w:val="28"/>
          <w:szCs w:val="28"/>
        </w:rPr>
        <w:t>Hypersensitivity to the active substance or to any of the excipients listed in section 6.1</w:t>
      </w:r>
    </w:p>
    <w:p w14:paraId="45A6759A" w14:textId="77777777" w:rsidR="00F22A3D" w:rsidRPr="00F22A3D" w:rsidRDefault="00000000" w:rsidP="00F22A3D">
      <w:pPr>
        <w:pStyle w:val="ListParagraph"/>
        <w:numPr>
          <w:ilvl w:val="1"/>
          <w:numId w:val="3"/>
        </w:numPr>
        <w:tabs>
          <w:tab w:val="center" w:pos="1665"/>
        </w:tabs>
        <w:spacing w:after="240" w:line="360" w:lineRule="auto"/>
        <w:ind w:left="788" w:hanging="431"/>
        <w:contextualSpacing w:val="0"/>
        <w:jc w:val="left"/>
        <w:rPr>
          <w:b/>
          <w:bCs/>
          <w:sz w:val="28"/>
          <w:szCs w:val="28"/>
        </w:rPr>
      </w:pPr>
      <w:r w:rsidRPr="00F22A3D">
        <w:rPr>
          <w:rFonts w:cs="Times New Roman"/>
          <w:b/>
          <w:bCs/>
          <w:sz w:val="28"/>
          <w:szCs w:val="28"/>
        </w:rPr>
        <w:t>Special warnings and precautions for use</w:t>
      </w:r>
    </w:p>
    <w:p w14:paraId="5EFE9149" w14:textId="77777777" w:rsidR="00F22A3D" w:rsidRDefault="00000000" w:rsidP="00F22A3D">
      <w:pPr>
        <w:pStyle w:val="ListParagraph"/>
        <w:tabs>
          <w:tab w:val="center" w:pos="1665"/>
        </w:tabs>
        <w:spacing w:after="240" w:line="360" w:lineRule="auto"/>
        <w:ind w:left="794" w:firstLine="0"/>
        <w:contextualSpacing w:val="0"/>
        <w:jc w:val="left"/>
        <w:rPr>
          <w:sz w:val="28"/>
          <w:szCs w:val="28"/>
        </w:rPr>
      </w:pPr>
      <w:r w:rsidRPr="00F22A3D">
        <w:rPr>
          <w:sz w:val="28"/>
          <w:szCs w:val="28"/>
        </w:rPr>
        <w:t>Medical advice should be sought if this is the first time the patient has experienced symptoms of candidal vaginitis.</w:t>
      </w:r>
    </w:p>
    <w:p w14:paraId="50E5226F" w14:textId="205B05E9" w:rsidR="00920F94" w:rsidRPr="00F22A3D" w:rsidRDefault="00000000" w:rsidP="00F22A3D">
      <w:pPr>
        <w:pStyle w:val="ListParagraph"/>
        <w:tabs>
          <w:tab w:val="center" w:pos="1665"/>
        </w:tabs>
        <w:spacing w:after="240" w:line="360" w:lineRule="auto"/>
        <w:ind w:left="794" w:firstLine="0"/>
        <w:contextualSpacing w:val="0"/>
        <w:jc w:val="left"/>
        <w:rPr>
          <w:b/>
          <w:bCs/>
          <w:sz w:val="28"/>
          <w:szCs w:val="28"/>
        </w:rPr>
      </w:pPr>
      <w:r w:rsidRPr="00F22A3D">
        <w:rPr>
          <w:rFonts w:cs="Times New Roman"/>
          <w:sz w:val="28"/>
          <w:szCs w:val="28"/>
        </w:rPr>
        <w:t xml:space="preserve">Before using </w:t>
      </w:r>
      <w:r w:rsidRPr="00F22A3D">
        <w:rPr>
          <w:rFonts w:cs="Times New Roman"/>
          <w:color w:val="FF0000"/>
          <w:sz w:val="28"/>
          <w:szCs w:val="28"/>
        </w:rPr>
        <w:t xml:space="preserve">&lt;GENERIC NAME&gt; </w:t>
      </w:r>
      <w:r w:rsidRPr="00F22A3D">
        <w:rPr>
          <w:rFonts w:cs="Times New Roman"/>
          <w:sz w:val="28"/>
          <w:szCs w:val="28"/>
        </w:rPr>
        <w:t>vaginal tablet, medical advice must be sought if any of the following are applicable:</w:t>
      </w:r>
    </w:p>
    <w:p w14:paraId="0166E2E8" w14:textId="77777777" w:rsidR="00920F94" w:rsidRPr="00F22A3D" w:rsidRDefault="00000000" w:rsidP="00F22A3D">
      <w:pPr>
        <w:pStyle w:val="ListParagraph"/>
        <w:numPr>
          <w:ilvl w:val="0"/>
          <w:numId w:val="5"/>
        </w:numPr>
        <w:spacing w:after="55" w:line="360" w:lineRule="auto"/>
        <w:ind w:right="203"/>
        <w:jc w:val="thaiDistribute"/>
        <w:rPr>
          <w:sz w:val="28"/>
          <w:szCs w:val="28"/>
        </w:rPr>
      </w:pPr>
      <w:r w:rsidRPr="00F22A3D">
        <w:rPr>
          <w:sz w:val="28"/>
          <w:szCs w:val="28"/>
        </w:rPr>
        <w:t>more than two infections of candidal vaginitis in the last 6 months.</w:t>
      </w:r>
    </w:p>
    <w:p w14:paraId="631B84F1" w14:textId="77777777" w:rsidR="00920F94" w:rsidRPr="00F22A3D" w:rsidRDefault="00000000" w:rsidP="00F22A3D">
      <w:pPr>
        <w:pStyle w:val="ListParagraph"/>
        <w:numPr>
          <w:ilvl w:val="0"/>
          <w:numId w:val="5"/>
        </w:numPr>
        <w:spacing w:after="76" w:line="360" w:lineRule="auto"/>
        <w:ind w:right="203"/>
        <w:jc w:val="thaiDistribute"/>
        <w:rPr>
          <w:sz w:val="28"/>
          <w:szCs w:val="28"/>
        </w:rPr>
      </w:pPr>
      <w:r w:rsidRPr="00F22A3D">
        <w:rPr>
          <w:sz w:val="28"/>
          <w:szCs w:val="28"/>
        </w:rPr>
        <w:t>previous history of sexually transmitted disease or exposure to partner with sexually transmitted disease.</w:t>
      </w:r>
    </w:p>
    <w:p w14:paraId="31C80744" w14:textId="77777777" w:rsidR="00920F94" w:rsidRPr="00F22A3D" w:rsidRDefault="00000000" w:rsidP="00F22A3D">
      <w:pPr>
        <w:pStyle w:val="ListParagraph"/>
        <w:numPr>
          <w:ilvl w:val="0"/>
          <w:numId w:val="5"/>
        </w:numPr>
        <w:spacing w:after="54" w:line="360" w:lineRule="auto"/>
        <w:ind w:right="203"/>
        <w:jc w:val="thaiDistribute"/>
        <w:rPr>
          <w:sz w:val="28"/>
          <w:szCs w:val="28"/>
        </w:rPr>
      </w:pPr>
      <w:r w:rsidRPr="00F22A3D">
        <w:rPr>
          <w:sz w:val="28"/>
          <w:szCs w:val="28"/>
        </w:rPr>
        <w:t>pregnancy or suspected pregnancy.</w:t>
      </w:r>
    </w:p>
    <w:p w14:paraId="61CB885A" w14:textId="77777777" w:rsidR="00920F94" w:rsidRPr="00F22A3D" w:rsidRDefault="00000000" w:rsidP="00F22A3D">
      <w:pPr>
        <w:pStyle w:val="ListParagraph"/>
        <w:numPr>
          <w:ilvl w:val="0"/>
          <w:numId w:val="5"/>
        </w:numPr>
        <w:spacing w:after="55" w:line="360" w:lineRule="auto"/>
        <w:ind w:right="203"/>
        <w:jc w:val="thaiDistribute"/>
        <w:rPr>
          <w:sz w:val="28"/>
          <w:szCs w:val="28"/>
        </w:rPr>
      </w:pPr>
      <w:r w:rsidRPr="00F22A3D">
        <w:rPr>
          <w:sz w:val="28"/>
          <w:szCs w:val="28"/>
        </w:rPr>
        <w:t>aged under 16 or over 60 years.</w:t>
      </w:r>
    </w:p>
    <w:p w14:paraId="583ADDEE" w14:textId="77777777" w:rsidR="00920F94" w:rsidRPr="00F22A3D" w:rsidRDefault="00000000" w:rsidP="00F22A3D">
      <w:pPr>
        <w:pStyle w:val="ListParagraph"/>
        <w:numPr>
          <w:ilvl w:val="0"/>
          <w:numId w:val="5"/>
        </w:numPr>
        <w:spacing w:after="240" w:line="360" w:lineRule="auto"/>
        <w:ind w:left="1451" w:right="204" w:hanging="357"/>
        <w:contextualSpacing w:val="0"/>
        <w:jc w:val="thaiDistribute"/>
        <w:rPr>
          <w:sz w:val="28"/>
          <w:szCs w:val="28"/>
        </w:rPr>
      </w:pPr>
      <w:r w:rsidRPr="00F22A3D">
        <w:rPr>
          <w:sz w:val="28"/>
          <w:szCs w:val="28"/>
        </w:rPr>
        <w:t>known hypersensitivity to imidazoles or other vaginal antifungal products.</w:t>
      </w:r>
    </w:p>
    <w:p w14:paraId="6560C940" w14:textId="77777777" w:rsidR="00920F94" w:rsidRPr="00F22A3D" w:rsidRDefault="00000000" w:rsidP="00F22A3D">
      <w:pPr>
        <w:spacing w:after="240" w:line="360" w:lineRule="auto"/>
        <w:ind w:left="737" w:right="204" w:firstLine="0"/>
        <w:rPr>
          <w:sz w:val="28"/>
          <w:szCs w:val="28"/>
        </w:rPr>
      </w:pPr>
      <w:r w:rsidRPr="00F22A3D">
        <w:rPr>
          <w:color w:val="FF0000"/>
          <w:sz w:val="28"/>
          <w:szCs w:val="28"/>
        </w:rPr>
        <w:t xml:space="preserve">&lt;GENERIC NAME&gt; </w:t>
      </w:r>
      <w:r w:rsidRPr="00F22A3D">
        <w:rPr>
          <w:sz w:val="28"/>
          <w:szCs w:val="28"/>
        </w:rPr>
        <w:t>vaginal tablet should not be used if the patient has any of the following symptoms where upon medical advice should be sought:</w:t>
      </w:r>
    </w:p>
    <w:p w14:paraId="4D159BA1" w14:textId="77777777" w:rsidR="00920F94" w:rsidRPr="00F22A3D" w:rsidRDefault="00000000" w:rsidP="00F22A3D">
      <w:pPr>
        <w:pStyle w:val="ListParagraph"/>
        <w:numPr>
          <w:ilvl w:val="0"/>
          <w:numId w:val="6"/>
        </w:numPr>
        <w:spacing w:after="55" w:line="360" w:lineRule="auto"/>
        <w:ind w:right="203"/>
        <w:rPr>
          <w:sz w:val="28"/>
          <w:szCs w:val="28"/>
        </w:rPr>
      </w:pPr>
      <w:r w:rsidRPr="00F22A3D">
        <w:rPr>
          <w:sz w:val="28"/>
          <w:szCs w:val="28"/>
        </w:rPr>
        <w:lastRenderedPageBreak/>
        <w:t>irregular vaginal bleeding.</w:t>
      </w:r>
    </w:p>
    <w:p w14:paraId="5100413C" w14:textId="77777777" w:rsidR="00920F94" w:rsidRPr="00F22A3D" w:rsidRDefault="00000000" w:rsidP="00F22A3D">
      <w:pPr>
        <w:pStyle w:val="ListParagraph"/>
        <w:numPr>
          <w:ilvl w:val="0"/>
          <w:numId w:val="6"/>
        </w:numPr>
        <w:spacing w:after="55" w:line="360" w:lineRule="auto"/>
        <w:ind w:right="203"/>
        <w:rPr>
          <w:sz w:val="28"/>
          <w:szCs w:val="28"/>
        </w:rPr>
      </w:pPr>
      <w:r w:rsidRPr="00F22A3D">
        <w:rPr>
          <w:sz w:val="28"/>
          <w:szCs w:val="28"/>
        </w:rPr>
        <w:t>abnormal vaginal bleeding or a blood-stained discharge.</w:t>
      </w:r>
    </w:p>
    <w:p w14:paraId="11D37B28" w14:textId="77777777" w:rsidR="00920F94" w:rsidRPr="00F22A3D" w:rsidRDefault="00000000" w:rsidP="00F22A3D">
      <w:pPr>
        <w:pStyle w:val="ListParagraph"/>
        <w:numPr>
          <w:ilvl w:val="0"/>
          <w:numId w:val="6"/>
        </w:numPr>
        <w:spacing w:line="360" w:lineRule="auto"/>
        <w:ind w:right="203"/>
        <w:rPr>
          <w:sz w:val="28"/>
          <w:szCs w:val="28"/>
        </w:rPr>
      </w:pPr>
      <w:r w:rsidRPr="00F22A3D">
        <w:rPr>
          <w:sz w:val="28"/>
          <w:szCs w:val="28"/>
        </w:rPr>
        <w:t>vulval or vaginal ulcers, blisters or sores.</w:t>
      </w:r>
    </w:p>
    <w:p w14:paraId="792877A2" w14:textId="77777777" w:rsidR="00920F94" w:rsidRPr="00F22A3D" w:rsidRDefault="00000000" w:rsidP="00F22A3D">
      <w:pPr>
        <w:pStyle w:val="ListParagraph"/>
        <w:numPr>
          <w:ilvl w:val="0"/>
          <w:numId w:val="6"/>
        </w:numPr>
        <w:spacing w:after="55" w:line="360" w:lineRule="auto"/>
        <w:ind w:right="203"/>
        <w:rPr>
          <w:sz w:val="28"/>
          <w:szCs w:val="28"/>
        </w:rPr>
      </w:pPr>
      <w:r w:rsidRPr="00F22A3D">
        <w:rPr>
          <w:sz w:val="28"/>
          <w:szCs w:val="28"/>
        </w:rPr>
        <w:t>lower abdominal pain or dysuria.</w:t>
      </w:r>
    </w:p>
    <w:p w14:paraId="20827458" w14:textId="77777777" w:rsidR="00920F94" w:rsidRPr="00F22A3D" w:rsidRDefault="00000000" w:rsidP="00F22A3D">
      <w:pPr>
        <w:pStyle w:val="ListParagraph"/>
        <w:numPr>
          <w:ilvl w:val="0"/>
          <w:numId w:val="6"/>
        </w:numPr>
        <w:spacing w:after="69" w:line="360" w:lineRule="auto"/>
        <w:ind w:right="203"/>
        <w:rPr>
          <w:sz w:val="28"/>
          <w:szCs w:val="28"/>
        </w:rPr>
      </w:pPr>
      <w:r w:rsidRPr="00F22A3D">
        <w:rPr>
          <w:sz w:val="28"/>
          <w:szCs w:val="28"/>
        </w:rPr>
        <w:t>any adverse events such as redness, irritation or swelling associated with the treatment.</w:t>
      </w:r>
    </w:p>
    <w:p w14:paraId="47B61C6D" w14:textId="77777777" w:rsidR="00920F94" w:rsidRPr="00F22A3D" w:rsidRDefault="00000000" w:rsidP="00F22A3D">
      <w:pPr>
        <w:pStyle w:val="ListParagraph"/>
        <w:numPr>
          <w:ilvl w:val="0"/>
          <w:numId w:val="6"/>
        </w:numPr>
        <w:spacing w:after="52" w:line="360" w:lineRule="auto"/>
        <w:ind w:right="203"/>
        <w:rPr>
          <w:sz w:val="28"/>
          <w:szCs w:val="28"/>
        </w:rPr>
      </w:pPr>
      <w:r w:rsidRPr="00F22A3D">
        <w:rPr>
          <w:sz w:val="28"/>
          <w:szCs w:val="28"/>
        </w:rPr>
        <w:t>fever or chills.</w:t>
      </w:r>
    </w:p>
    <w:p w14:paraId="306D4DE0" w14:textId="77777777" w:rsidR="00920F94" w:rsidRPr="00F22A3D" w:rsidRDefault="00000000" w:rsidP="00F22A3D">
      <w:pPr>
        <w:pStyle w:val="ListParagraph"/>
        <w:numPr>
          <w:ilvl w:val="0"/>
          <w:numId w:val="6"/>
        </w:numPr>
        <w:spacing w:after="50" w:line="360" w:lineRule="auto"/>
        <w:ind w:right="203"/>
        <w:rPr>
          <w:sz w:val="28"/>
          <w:szCs w:val="28"/>
        </w:rPr>
      </w:pPr>
      <w:r w:rsidRPr="00F22A3D">
        <w:rPr>
          <w:sz w:val="28"/>
          <w:szCs w:val="28"/>
        </w:rPr>
        <w:t>nausea or vomiting.</w:t>
      </w:r>
    </w:p>
    <w:p w14:paraId="6C5160C4" w14:textId="77777777" w:rsidR="00920F94" w:rsidRPr="00F22A3D" w:rsidRDefault="00000000" w:rsidP="00F22A3D">
      <w:pPr>
        <w:pStyle w:val="ListParagraph"/>
        <w:numPr>
          <w:ilvl w:val="0"/>
          <w:numId w:val="6"/>
        </w:numPr>
        <w:spacing w:after="53" w:line="360" w:lineRule="auto"/>
        <w:ind w:right="203"/>
        <w:rPr>
          <w:sz w:val="28"/>
          <w:szCs w:val="28"/>
        </w:rPr>
      </w:pPr>
      <w:r w:rsidRPr="00F22A3D">
        <w:rPr>
          <w:sz w:val="28"/>
          <w:szCs w:val="28"/>
        </w:rPr>
        <w:t>diarrhoea.</w:t>
      </w:r>
    </w:p>
    <w:p w14:paraId="08FA299B" w14:textId="77777777" w:rsidR="00920F94" w:rsidRPr="00F22A3D" w:rsidRDefault="00000000" w:rsidP="00F22A3D">
      <w:pPr>
        <w:pStyle w:val="ListParagraph"/>
        <w:numPr>
          <w:ilvl w:val="0"/>
          <w:numId w:val="6"/>
        </w:numPr>
        <w:spacing w:after="240" w:line="360" w:lineRule="auto"/>
        <w:ind w:left="1451" w:right="204" w:hanging="357"/>
        <w:contextualSpacing w:val="0"/>
        <w:rPr>
          <w:sz w:val="28"/>
          <w:szCs w:val="28"/>
        </w:rPr>
      </w:pPr>
      <w:r w:rsidRPr="00F22A3D">
        <w:rPr>
          <w:sz w:val="28"/>
          <w:szCs w:val="28"/>
        </w:rPr>
        <w:t>foul smelling vaginal discharge.</w:t>
      </w:r>
    </w:p>
    <w:p w14:paraId="001AD017" w14:textId="77777777" w:rsidR="00920F94" w:rsidRPr="00F22A3D" w:rsidRDefault="00000000" w:rsidP="00F22A3D">
      <w:pPr>
        <w:spacing w:after="286" w:line="360" w:lineRule="auto"/>
        <w:ind w:left="720" w:right="127"/>
        <w:jc w:val="thaiDistribute"/>
        <w:rPr>
          <w:sz w:val="28"/>
          <w:szCs w:val="28"/>
        </w:rPr>
      </w:pPr>
      <w:r w:rsidRPr="00F22A3D">
        <w:rPr>
          <w:sz w:val="28"/>
          <w:szCs w:val="28"/>
        </w:rPr>
        <w:t xml:space="preserve">Patients should be advised to consult their physician if the symptoms have not been relieved within one week of using </w:t>
      </w:r>
      <w:r w:rsidRPr="00F22A3D">
        <w:rPr>
          <w:color w:val="FF0000"/>
          <w:sz w:val="28"/>
          <w:szCs w:val="28"/>
        </w:rPr>
        <w:t xml:space="preserve">&lt;GENERIC NAME&gt; </w:t>
      </w:r>
      <w:r w:rsidRPr="00F22A3D">
        <w:rPr>
          <w:sz w:val="28"/>
          <w:szCs w:val="28"/>
        </w:rPr>
        <w:t xml:space="preserve">vaginal tablet. </w:t>
      </w:r>
      <w:r w:rsidRPr="00F22A3D">
        <w:rPr>
          <w:color w:val="FF0000"/>
          <w:sz w:val="28"/>
          <w:szCs w:val="28"/>
        </w:rPr>
        <w:t xml:space="preserve">&lt;GENERIC NAME&gt; </w:t>
      </w:r>
      <w:r w:rsidRPr="00F22A3D">
        <w:rPr>
          <w:sz w:val="28"/>
          <w:szCs w:val="28"/>
        </w:rPr>
        <w:t>vaginal tablet can be used again if the candidal infection returns after 7 days. However, if the candidal infection recurs more than twice within six months, patients should be advised to consult their physician.</w:t>
      </w:r>
    </w:p>
    <w:p w14:paraId="1FADBF59" w14:textId="77777777" w:rsidR="00920F94" w:rsidRPr="00F22A3D" w:rsidRDefault="00000000" w:rsidP="00F22A3D">
      <w:pPr>
        <w:spacing w:after="240" w:line="360" w:lineRule="auto"/>
        <w:ind w:left="737" w:right="204" w:firstLine="0"/>
        <w:rPr>
          <w:sz w:val="28"/>
          <w:szCs w:val="28"/>
        </w:rPr>
      </w:pPr>
      <w:r w:rsidRPr="00F22A3D">
        <w:rPr>
          <w:sz w:val="28"/>
          <w:szCs w:val="28"/>
        </w:rPr>
        <w:t>When used in pregnancy, the pessary should be inserted without using an applicator (see “Pregnancy”).</w:t>
      </w:r>
    </w:p>
    <w:p w14:paraId="67928DA0" w14:textId="3BFBA53E" w:rsidR="00920F94" w:rsidRPr="00F22A3D" w:rsidRDefault="00000000" w:rsidP="00F22A3D">
      <w:pPr>
        <w:pStyle w:val="Heading2"/>
        <w:numPr>
          <w:ilvl w:val="1"/>
          <w:numId w:val="3"/>
        </w:numPr>
        <w:spacing w:after="240" w:line="360" w:lineRule="auto"/>
        <w:ind w:left="788" w:hanging="431"/>
        <w:jc w:val="thaiDistribute"/>
        <w:rPr>
          <w:szCs w:val="28"/>
        </w:rPr>
      </w:pPr>
      <w:r w:rsidRPr="00F22A3D">
        <w:rPr>
          <w:szCs w:val="28"/>
        </w:rPr>
        <w:t>Interaction with other medicinal products and other forms of interaction</w:t>
      </w:r>
    </w:p>
    <w:p w14:paraId="1A1E944C" w14:textId="77777777" w:rsidR="00F22A3D" w:rsidRDefault="00000000" w:rsidP="00F22A3D">
      <w:pPr>
        <w:spacing w:after="240" w:line="360" w:lineRule="auto"/>
        <w:ind w:left="720" w:right="204" w:firstLine="68"/>
        <w:rPr>
          <w:sz w:val="28"/>
          <w:szCs w:val="28"/>
        </w:rPr>
      </w:pPr>
      <w:r w:rsidRPr="00F22A3D">
        <w:rPr>
          <w:sz w:val="28"/>
          <w:szCs w:val="28"/>
        </w:rPr>
        <w:t xml:space="preserve">Laboratory tests have suggested that, when used together, this product may cause damage to latex contraceptives. Consequently the effectiveness of such contraceptives may be reduced. Patients should </w:t>
      </w:r>
      <w:r w:rsidRPr="00F22A3D">
        <w:rPr>
          <w:sz w:val="28"/>
          <w:szCs w:val="28"/>
        </w:rPr>
        <w:lastRenderedPageBreak/>
        <w:t>be advised to use alternative precautions for at least five days after using this product.</w:t>
      </w:r>
    </w:p>
    <w:p w14:paraId="2A32E1AF" w14:textId="7F19C16E" w:rsidR="00920F94" w:rsidRPr="00F22A3D" w:rsidRDefault="00000000" w:rsidP="00F22A3D">
      <w:pPr>
        <w:spacing w:after="240" w:line="360" w:lineRule="auto"/>
        <w:ind w:left="720" w:right="204" w:firstLine="68"/>
        <w:rPr>
          <w:sz w:val="28"/>
          <w:szCs w:val="28"/>
        </w:rPr>
      </w:pPr>
      <w:r w:rsidRPr="00F22A3D">
        <w:rPr>
          <w:sz w:val="28"/>
          <w:szCs w:val="28"/>
        </w:rPr>
        <w:t xml:space="preserve">Concomitant medication with </w:t>
      </w:r>
      <w:r w:rsidRPr="00F22A3D">
        <w:rPr>
          <w:color w:val="FF0000"/>
          <w:sz w:val="28"/>
          <w:szCs w:val="28"/>
        </w:rPr>
        <w:t xml:space="preserve">&lt;GENERIC NAME&gt; </w:t>
      </w:r>
      <w:r w:rsidRPr="00F22A3D">
        <w:rPr>
          <w:sz w:val="28"/>
          <w:szCs w:val="28"/>
        </w:rPr>
        <w:t>vaginal tablet and oral tacrolimus (FK506; immunosuppressant) might lead to increased tacrolimus plasma levels and similarly with sirolimus. Patients should thus be closely monitored for signs and symptoms of tacrolimus or sirolimus overdosage, if necessary by determination of the respective plasma levels.</w:t>
      </w:r>
    </w:p>
    <w:p w14:paraId="07E9EDFA" w14:textId="77777777" w:rsidR="00F22A3D" w:rsidRDefault="00000000" w:rsidP="00F22A3D">
      <w:pPr>
        <w:pStyle w:val="Heading2"/>
        <w:numPr>
          <w:ilvl w:val="1"/>
          <w:numId w:val="3"/>
        </w:numPr>
        <w:spacing w:after="240" w:line="264" w:lineRule="auto"/>
        <w:ind w:left="788" w:hanging="431"/>
        <w:rPr>
          <w:szCs w:val="28"/>
        </w:rPr>
      </w:pPr>
      <w:r w:rsidRPr="00F22A3D">
        <w:rPr>
          <w:szCs w:val="28"/>
        </w:rPr>
        <w:t>Pregnancy and lactation</w:t>
      </w:r>
    </w:p>
    <w:p w14:paraId="5275EF1D" w14:textId="0A4300FE" w:rsidR="00920F94" w:rsidRPr="00F22A3D" w:rsidRDefault="00000000" w:rsidP="00F22A3D">
      <w:pPr>
        <w:pStyle w:val="Heading2"/>
        <w:spacing w:after="240" w:line="264" w:lineRule="auto"/>
        <w:ind w:left="794" w:firstLine="0"/>
        <w:rPr>
          <w:b w:val="0"/>
          <w:bCs/>
          <w:szCs w:val="28"/>
          <w:u w:val="single"/>
        </w:rPr>
      </w:pPr>
      <w:r w:rsidRPr="00F22A3D">
        <w:rPr>
          <w:b w:val="0"/>
          <w:bCs/>
          <w:szCs w:val="28"/>
          <w:u w:val="single"/>
        </w:rPr>
        <w:t>Fertility</w:t>
      </w:r>
    </w:p>
    <w:p w14:paraId="3FB8F54D" w14:textId="77777777" w:rsidR="00F22A3D" w:rsidRDefault="00000000" w:rsidP="00F22A3D">
      <w:pPr>
        <w:spacing w:after="240" w:line="360" w:lineRule="auto"/>
        <w:ind w:left="737" w:right="204" w:firstLine="0"/>
        <w:rPr>
          <w:sz w:val="28"/>
          <w:szCs w:val="28"/>
        </w:rPr>
      </w:pPr>
      <w:r w:rsidRPr="00F22A3D">
        <w:rPr>
          <w:sz w:val="28"/>
          <w:szCs w:val="28"/>
        </w:rPr>
        <w:t>No human studies of the effects of clotrimazole on fertility have been performed; however, animal studies have not demonstrated any effects of the drug on fertility.</w:t>
      </w:r>
    </w:p>
    <w:p w14:paraId="22921A5B" w14:textId="13EA1B67" w:rsidR="00920F94" w:rsidRPr="00F22A3D" w:rsidRDefault="00000000" w:rsidP="00F22A3D">
      <w:pPr>
        <w:spacing w:after="240" w:line="360" w:lineRule="auto"/>
        <w:ind w:left="737" w:right="204" w:firstLine="0"/>
        <w:rPr>
          <w:bCs/>
          <w:sz w:val="28"/>
          <w:szCs w:val="28"/>
          <w:u w:val="single"/>
        </w:rPr>
      </w:pPr>
      <w:r w:rsidRPr="00F22A3D">
        <w:rPr>
          <w:bCs/>
          <w:sz w:val="28"/>
          <w:szCs w:val="28"/>
          <w:u w:val="single"/>
        </w:rPr>
        <w:t>Pregnancy</w:t>
      </w:r>
    </w:p>
    <w:p w14:paraId="5A09CCBB" w14:textId="77777777" w:rsidR="00920F94" w:rsidRPr="00F22A3D" w:rsidRDefault="00000000" w:rsidP="00F22A3D">
      <w:pPr>
        <w:spacing w:line="360" w:lineRule="auto"/>
        <w:ind w:left="735" w:right="203" w:firstLine="0"/>
        <w:rPr>
          <w:sz w:val="28"/>
          <w:szCs w:val="28"/>
        </w:rPr>
      </w:pPr>
      <w:r w:rsidRPr="00F22A3D">
        <w:rPr>
          <w:sz w:val="28"/>
          <w:szCs w:val="28"/>
        </w:rPr>
        <w:t xml:space="preserve">There are limited amount of data from the use of </w:t>
      </w:r>
      <w:r w:rsidRPr="00F22A3D">
        <w:rPr>
          <w:color w:val="FF0000"/>
          <w:sz w:val="28"/>
          <w:szCs w:val="28"/>
        </w:rPr>
        <w:t xml:space="preserve">&lt;GENERIC NAME&gt; </w:t>
      </w:r>
      <w:r w:rsidRPr="00F22A3D">
        <w:rPr>
          <w:sz w:val="28"/>
          <w:szCs w:val="28"/>
        </w:rPr>
        <w:t xml:space="preserve">in pregnant women. Animal studies with </w:t>
      </w:r>
      <w:r w:rsidRPr="00F22A3D">
        <w:rPr>
          <w:color w:val="FF0000"/>
          <w:sz w:val="28"/>
          <w:szCs w:val="28"/>
        </w:rPr>
        <w:t xml:space="preserve">&lt;GENERIC NAME&gt; </w:t>
      </w:r>
      <w:r w:rsidRPr="00F22A3D">
        <w:rPr>
          <w:sz w:val="28"/>
          <w:szCs w:val="28"/>
        </w:rPr>
        <w:t xml:space="preserve">have shown reproductive toxicity at high oral doses (see section 5.3). At the low systemic exposures of </w:t>
      </w:r>
      <w:r w:rsidRPr="00F22A3D">
        <w:rPr>
          <w:color w:val="FF0000"/>
          <w:sz w:val="28"/>
          <w:szCs w:val="28"/>
        </w:rPr>
        <w:t xml:space="preserve">&lt;GENERIC NAME&gt; </w:t>
      </w:r>
      <w:r w:rsidRPr="00F22A3D">
        <w:rPr>
          <w:sz w:val="28"/>
          <w:szCs w:val="28"/>
        </w:rPr>
        <w:t>following vaginal treatment, harmful effects with respect to reproductive toxicity are not predicted.</w:t>
      </w:r>
    </w:p>
    <w:p w14:paraId="44FFFA33" w14:textId="77777777" w:rsidR="00920F94" w:rsidRPr="00F22A3D" w:rsidRDefault="00000000" w:rsidP="00F22A3D">
      <w:pPr>
        <w:spacing w:line="360" w:lineRule="auto"/>
        <w:ind w:left="735" w:right="203" w:firstLine="0"/>
        <w:rPr>
          <w:sz w:val="28"/>
          <w:szCs w:val="28"/>
        </w:rPr>
      </w:pPr>
      <w:r w:rsidRPr="00F22A3D">
        <w:rPr>
          <w:color w:val="FF0000"/>
          <w:sz w:val="28"/>
          <w:szCs w:val="28"/>
        </w:rPr>
        <w:t xml:space="preserve">&lt;GENERIC NAME&gt; </w:t>
      </w:r>
      <w:r w:rsidRPr="00F22A3D">
        <w:rPr>
          <w:sz w:val="28"/>
          <w:szCs w:val="28"/>
        </w:rPr>
        <w:t>can be used during pregnancy, but only under the supervision of a physician or midwife.</w:t>
      </w:r>
    </w:p>
    <w:p w14:paraId="7FF46C35" w14:textId="77777777" w:rsidR="00F22A3D" w:rsidRDefault="00000000" w:rsidP="00F22A3D">
      <w:pPr>
        <w:spacing w:after="240" w:line="360" w:lineRule="auto"/>
        <w:ind w:left="720" w:right="204" w:firstLine="15"/>
        <w:rPr>
          <w:sz w:val="28"/>
          <w:szCs w:val="28"/>
        </w:rPr>
      </w:pPr>
      <w:r w:rsidRPr="00F22A3D">
        <w:rPr>
          <w:sz w:val="28"/>
          <w:szCs w:val="28"/>
        </w:rPr>
        <w:lastRenderedPageBreak/>
        <w:t>During pregnancy, the vaginal tablet should be inserted without using an applicator.</w:t>
      </w:r>
    </w:p>
    <w:p w14:paraId="2AA5B9A2" w14:textId="41655D40" w:rsidR="00920F94" w:rsidRPr="00F22A3D" w:rsidRDefault="00000000" w:rsidP="00F22A3D">
      <w:pPr>
        <w:spacing w:after="240" w:line="360" w:lineRule="auto"/>
        <w:ind w:left="720" w:right="204" w:firstLine="17"/>
        <w:rPr>
          <w:bCs/>
          <w:sz w:val="28"/>
          <w:szCs w:val="28"/>
          <w:u w:val="single"/>
        </w:rPr>
      </w:pPr>
      <w:r w:rsidRPr="00F22A3D">
        <w:rPr>
          <w:bCs/>
          <w:sz w:val="28"/>
          <w:szCs w:val="28"/>
          <w:u w:val="single"/>
        </w:rPr>
        <w:t>Breast-feeding</w:t>
      </w:r>
    </w:p>
    <w:p w14:paraId="32CF4236" w14:textId="77777777" w:rsidR="00920F94" w:rsidRPr="00F22A3D" w:rsidRDefault="00000000" w:rsidP="00F22A3D">
      <w:pPr>
        <w:spacing w:after="240" w:line="360" w:lineRule="auto"/>
        <w:ind w:left="737" w:firstLine="0"/>
        <w:rPr>
          <w:sz w:val="28"/>
          <w:szCs w:val="28"/>
        </w:rPr>
      </w:pPr>
      <w:r w:rsidRPr="00F22A3D">
        <w:rPr>
          <w:sz w:val="28"/>
          <w:szCs w:val="28"/>
        </w:rPr>
        <w:t xml:space="preserve">There are no data on the excretion of </w:t>
      </w:r>
      <w:r w:rsidRPr="00F22A3D">
        <w:rPr>
          <w:color w:val="FF0000"/>
          <w:sz w:val="28"/>
          <w:szCs w:val="28"/>
        </w:rPr>
        <w:t xml:space="preserve">&lt;GENERIC NAME&gt; </w:t>
      </w:r>
      <w:r w:rsidRPr="00F22A3D">
        <w:rPr>
          <w:sz w:val="28"/>
          <w:szCs w:val="28"/>
        </w:rPr>
        <w:t xml:space="preserve">into human milk. However, systemic absorption is minimal after administration and is unlikely to lead to systemic effects. </w:t>
      </w:r>
      <w:r w:rsidRPr="00F22A3D">
        <w:rPr>
          <w:color w:val="FF0000"/>
          <w:sz w:val="28"/>
          <w:szCs w:val="28"/>
        </w:rPr>
        <w:t xml:space="preserve">&lt;GENERIC NAME&gt; </w:t>
      </w:r>
      <w:r w:rsidRPr="00F22A3D">
        <w:rPr>
          <w:sz w:val="28"/>
          <w:szCs w:val="28"/>
        </w:rPr>
        <w:t>may be used during lactation.</w:t>
      </w:r>
    </w:p>
    <w:p w14:paraId="05DFFB12" w14:textId="77777777" w:rsidR="00F22A3D" w:rsidRDefault="00000000" w:rsidP="00F22A3D">
      <w:pPr>
        <w:pStyle w:val="Heading2"/>
        <w:numPr>
          <w:ilvl w:val="1"/>
          <w:numId w:val="3"/>
        </w:numPr>
        <w:spacing w:after="240" w:line="264" w:lineRule="auto"/>
        <w:ind w:left="788" w:hanging="431"/>
        <w:rPr>
          <w:szCs w:val="28"/>
        </w:rPr>
      </w:pPr>
      <w:r w:rsidRPr="00F22A3D">
        <w:rPr>
          <w:szCs w:val="28"/>
        </w:rPr>
        <w:t>Effects on ability to drive and use machines</w:t>
      </w:r>
    </w:p>
    <w:p w14:paraId="316DF646" w14:textId="6839A0F0" w:rsidR="00920F94" w:rsidRPr="00F22A3D" w:rsidRDefault="00000000" w:rsidP="00F22A3D">
      <w:pPr>
        <w:pStyle w:val="Heading2"/>
        <w:spacing w:after="240" w:line="360" w:lineRule="auto"/>
        <w:ind w:left="794" w:firstLine="0"/>
        <w:rPr>
          <w:b w:val="0"/>
          <w:bCs/>
          <w:szCs w:val="28"/>
        </w:rPr>
      </w:pPr>
      <w:r w:rsidRPr="00F22A3D">
        <w:rPr>
          <w:b w:val="0"/>
          <w:bCs/>
          <w:szCs w:val="28"/>
        </w:rPr>
        <w:t>This medication has no or negligible influence on the ability to drive or use machinery.</w:t>
      </w:r>
    </w:p>
    <w:p w14:paraId="4986809A" w14:textId="77777777" w:rsidR="00F22A3D" w:rsidRDefault="00000000" w:rsidP="00F22A3D">
      <w:pPr>
        <w:pStyle w:val="Heading2"/>
        <w:numPr>
          <w:ilvl w:val="1"/>
          <w:numId w:val="3"/>
        </w:numPr>
        <w:tabs>
          <w:tab w:val="center" w:pos="1710"/>
        </w:tabs>
        <w:spacing w:after="240" w:line="264" w:lineRule="auto"/>
        <w:ind w:left="788" w:hanging="431"/>
        <w:rPr>
          <w:szCs w:val="28"/>
        </w:rPr>
      </w:pPr>
      <w:r w:rsidRPr="00F22A3D">
        <w:rPr>
          <w:szCs w:val="28"/>
        </w:rPr>
        <w:t>Undesirable effects</w:t>
      </w:r>
    </w:p>
    <w:p w14:paraId="7258BF43" w14:textId="6CC12A73" w:rsidR="00920F94" w:rsidRPr="00F22A3D" w:rsidRDefault="00000000" w:rsidP="00F22A3D">
      <w:pPr>
        <w:pStyle w:val="Heading2"/>
        <w:tabs>
          <w:tab w:val="center" w:pos="1710"/>
        </w:tabs>
        <w:spacing w:after="240" w:line="360" w:lineRule="auto"/>
        <w:ind w:left="794" w:firstLine="0"/>
        <w:rPr>
          <w:b w:val="0"/>
          <w:bCs/>
          <w:szCs w:val="28"/>
        </w:rPr>
      </w:pPr>
      <w:r w:rsidRPr="00F22A3D">
        <w:rPr>
          <w:b w:val="0"/>
          <w:bCs/>
          <w:szCs w:val="28"/>
        </w:rPr>
        <w:t>Frequency not known. As the listed undesirable effects are based on spontaneous reports, assigning accurate frequency of occurrence for each is not possible.</w:t>
      </w:r>
    </w:p>
    <w:p w14:paraId="51AE5231" w14:textId="77777777" w:rsidR="00920F94" w:rsidRPr="00F22A3D" w:rsidRDefault="00000000" w:rsidP="00F22A3D">
      <w:pPr>
        <w:spacing w:after="240" w:line="264" w:lineRule="auto"/>
        <w:ind w:left="805" w:right="1355" w:hanging="11"/>
        <w:jc w:val="left"/>
        <w:rPr>
          <w:bCs/>
          <w:sz w:val="28"/>
          <w:szCs w:val="28"/>
          <w:u w:val="single"/>
        </w:rPr>
      </w:pPr>
      <w:r w:rsidRPr="00F22A3D">
        <w:rPr>
          <w:bCs/>
          <w:sz w:val="28"/>
          <w:szCs w:val="28"/>
          <w:u w:val="single"/>
        </w:rPr>
        <w:t>Immune system disorders:</w:t>
      </w:r>
    </w:p>
    <w:p w14:paraId="27940E60" w14:textId="77777777" w:rsidR="00920F94" w:rsidRPr="00F22A3D" w:rsidRDefault="00000000" w:rsidP="00F22A3D">
      <w:pPr>
        <w:spacing w:after="240"/>
        <w:ind w:left="811" w:right="204" w:firstLine="0"/>
        <w:rPr>
          <w:sz w:val="28"/>
          <w:szCs w:val="28"/>
        </w:rPr>
      </w:pPr>
      <w:r w:rsidRPr="00F22A3D">
        <w:rPr>
          <w:sz w:val="28"/>
          <w:szCs w:val="28"/>
        </w:rPr>
        <w:t>Anaphylactic reaction, angioedema, hypersensitivity.</w:t>
      </w:r>
    </w:p>
    <w:p w14:paraId="2478F8F3" w14:textId="77777777" w:rsidR="00F22A3D" w:rsidRDefault="00000000" w:rsidP="00F22A3D">
      <w:pPr>
        <w:spacing w:after="240" w:line="264" w:lineRule="auto"/>
        <w:ind w:left="805" w:right="1355" w:hanging="11"/>
        <w:jc w:val="left"/>
        <w:rPr>
          <w:bCs/>
          <w:sz w:val="28"/>
          <w:szCs w:val="28"/>
          <w:u w:val="single"/>
        </w:rPr>
      </w:pPr>
      <w:r w:rsidRPr="00F22A3D">
        <w:rPr>
          <w:bCs/>
          <w:sz w:val="28"/>
          <w:szCs w:val="28"/>
          <w:u w:val="single"/>
        </w:rPr>
        <w:t>Vascular disorder:</w:t>
      </w:r>
    </w:p>
    <w:p w14:paraId="4DEC9D4E" w14:textId="1A1B4D80" w:rsidR="00920F94" w:rsidRPr="00F22A3D" w:rsidRDefault="00000000" w:rsidP="00F22A3D">
      <w:pPr>
        <w:spacing w:after="240" w:line="264" w:lineRule="auto"/>
        <w:ind w:left="805" w:right="1355" w:hanging="11"/>
        <w:jc w:val="left"/>
        <w:rPr>
          <w:bCs/>
          <w:sz w:val="28"/>
          <w:szCs w:val="28"/>
          <w:u w:val="single"/>
        </w:rPr>
      </w:pPr>
      <w:r w:rsidRPr="00F22A3D">
        <w:rPr>
          <w:sz w:val="28"/>
          <w:szCs w:val="28"/>
        </w:rPr>
        <w:t>syncope, hypotension.</w:t>
      </w:r>
    </w:p>
    <w:p w14:paraId="0AC8516F" w14:textId="77777777" w:rsidR="00F22A3D" w:rsidRDefault="00000000" w:rsidP="00F22A3D">
      <w:pPr>
        <w:spacing w:after="313" w:line="265" w:lineRule="auto"/>
        <w:ind w:left="804" w:right="1357" w:hanging="10"/>
        <w:jc w:val="left"/>
        <w:rPr>
          <w:b/>
          <w:sz w:val="28"/>
          <w:szCs w:val="28"/>
        </w:rPr>
      </w:pPr>
      <w:r w:rsidRPr="00F22A3D">
        <w:rPr>
          <w:bCs/>
          <w:sz w:val="28"/>
          <w:szCs w:val="28"/>
          <w:u w:val="single"/>
        </w:rPr>
        <w:t>Respiratory, thoracic and mediastinal disorders:</w:t>
      </w:r>
      <w:r w:rsidRPr="00F22A3D">
        <w:rPr>
          <w:b/>
          <w:sz w:val="28"/>
          <w:szCs w:val="28"/>
        </w:rPr>
        <w:t xml:space="preserve"> </w:t>
      </w:r>
    </w:p>
    <w:p w14:paraId="559956D8" w14:textId="5ADEB177" w:rsidR="00F22A3D" w:rsidRDefault="00F22A3D" w:rsidP="00F22A3D">
      <w:pPr>
        <w:spacing w:after="313" w:line="265" w:lineRule="auto"/>
        <w:ind w:left="804" w:right="1357" w:hanging="10"/>
        <w:jc w:val="left"/>
        <w:rPr>
          <w:sz w:val="28"/>
          <w:szCs w:val="28"/>
        </w:rPr>
      </w:pPr>
      <w:r>
        <w:rPr>
          <w:sz w:val="28"/>
          <w:szCs w:val="28"/>
        </w:rPr>
        <w:t>D</w:t>
      </w:r>
      <w:r w:rsidR="00000000" w:rsidRPr="00F22A3D">
        <w:rPr>
          <w:sz w:val="28"/>
          <w:szCs w:val="28"/>
        </w:rPr>
        <w:t>yspnea.</w:t>
      </w:r>
    </w:p>
    <w:p w14:paraId="003F6F94" w14:textId="77777777" w:rsidR="00F22A3D" w:rsidRDefault="00F22A3D">
      <w:pPr>
        <w:spacing w:after="160" w:line="278" w:lineRule="auto"/>
        <w:ind w:left="0" w:firstLine="0"/>
        <w:jc w:val="left"/>
        <w:rPr>
          <w:bCs/>
          <w:sz w:val="28"/>
          <w:szCs w:val="28"/>
          <w:u w:val="single"/>
        </w:rPr>
      </w:pPr>
      <w:r>
        <w:rPr>
          <w:bCs/>
          <w:sz w:val="28"/>
          <w:szCs w:val="28"/>
          <w:u w:val="single"/>
        </w:rPr>
        <w:br w:type="page"/>
      </w:r>
    </w:p>
    <w:p w14:paraId="7033C1CE" w14:textId="77777777" w:rsidR="00F22A3D" w:rsidRDefault="00000000" w:rsidP="00F22A3D">
      <w:pPr>
        <w:spacing w:after="240" w:line="264" w:lineRule="auto"/>
        <w:ind w:left="805" w:right="1355" w:hanging="11"/>
        <w:jc w:val="left"/>
        <w:rPr>
          <w:bCs/>
          <w:sz w:val="28"/>
          <w:szCs w:val="28"/>
          <w:u w:val="single"/>
        </w:rPr>
      </w:pPr>
      <w:r w:rsidRPr="00F22A3D">
        <w:rPr>
          <w:bCs/>
          <w:sz w:val="28"/>
          <w:szCs w:val="28"/>
          <w:u w:val="single"/>
        </w:rPr>
        <w:lastRenderedPageBreak/>
        <w:t>Gastrointestinal disorders:</w:t>
      </w:r>
    </w:p>
    <w:p w14:paraId="1BC83367" w14:textId="5413EBF1" w:rsidR="00F22A3D" w:rsidRDefault="00F22A3D" w:rsidP="00F22A3D">
      <w:pPr>
        <w:spacing w:after="240" w:line="264" w:lineRule="auto"/>
        <w:ind w:left="805" w:right="1355" w:hanging="11"/>
        <w:jc w:val="left"/>
        <w:rPr>
          <w:bCs/>
          <w:sz w:val="28"/>
          <w:szCs w:val="28"/>
          <w:u w:val="single"/>
        </w:rPr>
      </w:pPr>
      <w:r>
        <w:rPr>
          <w:sz w:val="28"/>
          <w:szCs w:val="28"/>
        </w:rPr>
        <w:t>A</w:t>
      </w:r>
      <w:r w:rsidR="00000000" w:rsidRPr="00F22A3D">
        <w:rPr>
          <w:sz w:val="28"/>
          <w:szCs w:val="28"/>
        </w:rPr>
        <w:t>bdominal pain, nausea</w:t>
      </w:r>
    </w:p>
    <w:p w14:paraId="5DE1A903" w14:textId="77777777" w:rsidR="00F22A3D" w:rsidRPr="00F22A3D" w:rsidRDefault="00000000" w:rsidP="00F22A3D">
      <w:pPr>
        <w:spacing w:after="240" w:line="264" w:lineRule="auto"/>
        <w:ind w:left="805" w:right="1355" w:hanging="11"/>
        <w:jc w:val="left"/>
        <w:rPr>
          <w:bCs/>
          <w:sz w:val="28"/>
          <w:szCs w:val="28"/>
          <w:u w:val="single"/>
        </w:rPr>
      </w:pPr>
      <w:r w:rsidRPr="00F22A3D">
        <w:rPr>
          <w:bCs/>
          <w:sz w:val="28"/>
          <w:szCs w:val="28"/>
          <w:u w:val="single"/>
        </w:rPr>
        <w:t>Skin and Subcutaneous Tissue Disorders:</w:t>
      </w:r>
    </w:p>
    <w:p w14:paraId="571B774D" w14:textId="77777777" w:rsidR="00F22A3D" w:rsidRDefault="00000000" w:rsidP="00F22A3D">
      <w:pPr>
        <w:spacing w:after="240" w:line="264" w:lineRule="auto"/>
        <w:ind w:left="805" w:right="1355" w:hanging="11"/>
        <w:jc w:val="left"/>
        <w:rPr>
          <w:bCs/>
          <w:sz w:val="28"/>
          <w:szCs w:val="28"/>
          <w:u w:val="single"/>
        </w:rPr>
      </w:pPr>
      <w:r w:rsidRPr="00F22A3D">
        <w:rPr>
          <w:sz w:val="28"/>
          <w:szCs w:val="28"/>
        </w:rPr>
        <w:t>Rash, urticaria, pruritus.</w:t>
      </w:r>
    </w:p>
    <w:p w14:paraId="56F1B2AA" w14:textId="77777777" w:rsidR="00F22A3D" w:rsidRDefault="00000000" w:rsidP="00F22A3D">
      <w:pPr>
        <w:spacing w:after="240" w:line="264" w:lineRule="auto"/>
        <w:ind w:left="805" w:right="1355" w:hanging="11"/>
        <w:jc w:val="left"/>
        <w:rPr>
          <w:bCs/>
          <w:sz w:val="28"/>
          <w:szCs w:val="28"/>
          <w:u w:val="single"/>
        </w:rPr>
      </w:pPr>
      <w:r w:rsidRPr="00F22A3D">
        <w:rPr>
          <w:bCs/>
          <w:sz w:val="28"/>
          <w:szCs w:val="28"/>
          <w:u w:val="single"/>
        </w:rPr>
        <w:t>Reproductive system and breast disorders:</w:t>
      </w:r>
    </w:p>
    <w:p w14:paraId="6B5B6B3C" w14:textId="77777777" w:rsidR="00F22A3D" w:rsidRDefault="00000000" w:rsidP="00F22A3D">
      <w:pPr>
        <w:spacing w:after="240" w:line="360" w:lineRule="auto"/>
        <w:ind w:left="805" w:firstLine="0"/>
        <w:rPr>
          <w:bCs/>
          <w:sz w:val="28"/>
          <w:szCs w:val="28"/>
          <w:u w:val="single"/>
        </w:rPr>
      </w:pPr>
      <w:r w:rsidRPr="00F22A3D">
        <w:rPr>
          <w:sz w:val="28"/>
          <w:szCs w:val="28"/>
        </w:rPr>
        <w:t>Vaginal exfoliation, vaginal discharge, vaginal haemorrhage, vulvovaginal discomfort, vulvovaginal erythema, vulvovaginal burning sensation, vulvovaginal pruritus, vulvovaginal pain.</w:t>
      </w:r>
    </w:p>
    <w:p w14:paraId="313FC128" w14:textId="77777777" w:rsidR="00F22A3D" w:rsidRDefault="00000000" w:rsidP="00F22A3D">
      <w:pPr>
        <w:spacing w:after="240" w:line="360" w:lineRule="auto"/>
        <w:ind w:left="805" w:firstLine="0"/>
        <w:rPr>
          <w:bCs/>
          <w:sz w:val="36"/>
          <w:szCs w:val="36"/>
          <w:u w:val="single"/>
        </w:rPr>
      </w:pPr>
      <w:r w:rsidRPr="00F22A3D">
        <w:rPr>
          <w:sz w:val="28"/>
          <w:szCs w:val="36"/>
          <w:u w:val="single"/>
        </w:rPr>
        <w:t>General</w:t>
      </w:r>
      <w:r w:rsidR="00F22A3D" w:rsidRPr="00F22A3D">
        <w:rPr>
          <w:sz w:val="28"/>
          <w:szCs w:val="36"/>
          <w:u w:val="single"/>
        </w:rPr>
        <w:t xml:space="preserve"> </w:t>
      </w:r>
      <w:r w:rsidRPr="00F22A3D">
        <w:rPr>
          <w:sz w:val="28"/>
          <w:szCs w:val="36"/>
          <w:u w:val="single"/>
        </w:rPr>
        <w:t>disorders</w:t>
      </w:r>
      <w:r w:rsidR="00F22A3D" w:rsidRPr="00F22A3D">
        <w:rPr>
          <w:sz w:val="28"/>
          <w:szCs w:val="36"/>
          <w:u w:val="single"/>
        </w:rPr>
        <w:t xml:space="preserve"> </w:t>
      </w:r>
      <w:r w:rsidRPr="00F22A3D">
        <w:rPr>
          <w:sz w:val="28"/>
          <w:szCs w:val="36"/>
          <w:u w:val="single"/>
        </w:rPr>
        <w:t>and</w:t>
      </w:r>
      <w:r w:rsidR="00F22A3D" w:rsidRPr="00F22A3D">
        <w:rPr>
          <w:sz w:val="28"/>
          <w:szCs w:val="36"/>
          <w:u w:val="single"/>
        </w:rPr>
        <w:t xml:space="preserve"> </w:t>
      </w:r>
      <w:r w:rsidRPr="00F22A3D">
        <w:rPr>
          <w:sz w:val="28"/>
          <w:szCs w:val="36"/>
          <w:u w:val="single"/>
        </w:rPr>
        <w:t>administration</w:t>
      </w:r>
      <w:r w:rsidR="00F22A3D" w:rsidRPr="00F22A3D">
        <w:rPr>
          <w:sz w:val="28"/>
          <w:szCs w:val="36"/>
          <w:u w:val="single"/>
        </w:rPr>
        <w:t xml:space="preserve"> </w:t>
      </w:r>
      <w:r w:rsidRPr="00F22A3D">
        <w:rPr>
          <w:sz w:val="28"/>
          <w:szCs w:val="36"/>
          <w:u w:val="single"/>
        </w:rPr>
        <w:t>site</w:t>
      </w:r>
      <w:r w:rsidR="00F22A3D" w:rsidRPr="00F22A3D">
        <w:rPr>
          <w:sz w:val="28"/>
          <w:szCs w:val="36"/>
          <w:u w:val="single"/>
        </w:rPr>
        <w:t xml:space="preserve"> </w:t>
      </w:r>
      <w:r w:rsidRPr="00F22A3D">
        <w:rPr>
          <w:sz w:val="28"/>
          <w:szCs w:val="36"/>
          <w:u w:val="single"/>
        </w:rPr>
        <w:t>conditions</w:t>
      </w:r>
      <w:r w:rsidR="00F22A3D">
        <w:rPr>
          <w:sz w:val="28"/>
          <w:szCs w:val="36"/>
          <w:u w:val="single"/>
        </w:rPr>
        <w:t>:</w:t>
      </w:r>
    </w:p>
    <w:p w14:paraId="47D617B3" w14:textId="77777777" w:rsidR="00F22A3D" w:rsidRDefault="00F22A3D" w:rsidP="00F22A3D">
      <w:pPr>
        <w:spacing w:after="240" w:line="360" w:lineRule="auto"/>
        <w:ind w:left="805" w:firstLine="0"/>
        <w:rPr>
          <w:bCs/>
          <w:sz w:val="36"/>
          <w:szCs w:val="36"/>
          <w:u w:val="single"/>
        </w:rPr>
      </w:pPr>
      <w:r>
        <w:rPr>
          <w:sz w:val="28"/>
          <w:szCs w:val="28"/>
        </w:rPr>
        <w:t>A</w:t>
      </w:r>
      <w:r w:rsidR="00000000" w:rsidRPr="00F22A3D">
        <w:rPr>
          <w:sz w:val="28"/>
          <w:szCs w:val="28"/>
        </w:rPr>
        <w:t>pplication site irritation, oedema, pain.</w:t>
      </w:r>
    </w:p>
    <w:p w14:paraId="4C2F2475" w14:textId="77777777" w:rsidR="00F22A3D" w:rsidRDefault="00000000" w:rsidP="00F22A3D">
      <w:pPr>
        <w:spacing w:after="240" w:line="360" w:lineRule="auto"/>
        <w:ind w:left="805" w:firstLine="0"/>
        <w:rPr>
          <w:bCs/>
          <w:sz w:val="36"/>
          <w:szCs w:val="36"/>
          <w:u w:val="single"/>
        </w:rPr>
      </w:pPr>
      <w:r w:rsidRPr="00F22A3D">
        <w:rPr>
          <w:bCs/>
          <w:sz w:val="28"/>
          <w:szCs w:val="28"/>
          <w:u w:val="single" w:color="000000"/>
        </w:rPr>
        <w:t>Reporting of suspected adverse reactions</w:t>
      </w:r>
    </w:p>
    <w:p w14:paraId="6EB86BE0" w14:textId="669A655A" w:rsidR="00920F94" w:rsidRPr="00F22A3D" w:rsidRDefault="00000000" w:rsidP="00F22A3D">
      <w:pPr>
        <w:spacing w:after="240" w:line="360" w:lineRule="auto"/>
        <w:ind w:left="805" w:firstLine="0"/>
        <w:rPr>
          <w:bCs/>
          <w:sz w:val="36"/>
          <w:szCs w:val="36"/>
          <w:u w:val="single"/>
        </w:rPr>
      </w:pPr>
      <w:r w:rsidRPr="00F22A3D">
        <w:rPr>
          <w:sz w:val="28"/>
          <w:szCs w:val="28"/>
        </w:rPr>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p>
    <w:p w14:paraId="7CDD6878" w14:textId="77777777" w:rsidR="00F22A3D" w:rsidRPr="00F22A3D" w:rsidRDefault="00000000" w:rsidP="00F22A3D">
      <w:pPr>
        <w:pStyle w:val="ListParagraph"/>
        <w:numPr>
          <w:ilvl w:val="1"/>
          <w:numId w:val="3"/>
        </w:numPr>
        <w:tabs>
          <w:tab w:val="center" w:pos="1215"/>
        </w:tabs>
        <w:spacing w:after="240" w:line="264" w:lineRule="auto"/>
        <w:ind w:left="788" w:hanging="431"/>
        <w:contextualSpacing w:val="0"/>
        <w:jc w:val="left"/>
        <w:rPr>
          <w:sz w:val="28"/>
          <w:szCs w:val="28"/>
        </w:rPr>
      </w:pPr>
      <w:r w:rsidRPr="00F22A3D">
        <w:rPr>
          <w:b/>
          <w:sz w:val="28"/>
          <w:szCs w:val="28"/>
        </w:rPr>
        <w:t>Overdose</w:t>
      </w:r>
    </w:p>
    <w:p w14:paraId="25AEF516" w14:textId="77777777" w:rsidR="00F22A3D" w:rsidRDefault="00000000" w:rsidP="00F22A3D">
      <w:pPr>
        <w:pStyle w:val="ListParagraph"/>
        <w:tabs>
          <w:tab w:val="center" w:pos="1215"/>
        </w:tabs>
        <w:spacing w:after="240" w:line="360" w:lineRule="auto"/>
        <w:ind w:left="794" w:firstLine="0"/>
        <w:contextualSpacing w:val="0"/>
        <w:jc w:val="left"/>
        <w:rPr>
          <w:sz w:val="28"/>
          <w:szCs w:val="28"/>
        </w:rPr>
      </w:pPr>
      <w:r w:rsidRPr="00F22A3D">
        <w:rPr>
          <w:sz w:val="28"/>
          <w:szCs w:val="28"/>
        </w:rPr>
        <w:t>No risk of acute intoxication is seen as it is unlikely to occur following a single vaginal or dermal application of an overdose (application over a large area under conditions favourable to absorption) or inadvertent oral ingestion. There is no specific antidote.</w:t>
      </w:r>
    </w:p>
    <w:p w14:paraId="47AA6837" w14:textId="77777777" w:rsidR="00F22A3D" w:rsidRDefault="00000000" w:rsidP="00F22A3D">
      <w:pPr>
        <w:pStyle w:val="ListParagraph"/>
        <w:tabs>
          <w:tab w:val="center" w:pos="1215"/>
        </w:tabs>
        <w:spacing w:after="240" w:line="360" w:lineRule="auto"/>
        <w:ind w:left="794" w:firstLine="0"/>
        <w:contextualSpacing w:val="0"/>
        <w:jc w:val="thaiDistribute"/>
        <w:rPr>
          <w:rFonts w:cs="Times New Roman"/>
          <w:sz w:val="28"/>
          <w:szCs w:val="28"/>
        </w:rPr>
      </w:pPr>
      <w:r w:rsidRPr="00F22A3D">
        <w:rPr>
          <w:rFonts w:cs="Times New Roman"/>
          <w:sz w:val="28"/>
          <w:szCs w:val="28"/>
        </w:rPr>
        <w:lastRenderedPageBreak/>
        <w:t>In the event of accidental oral ingestion, gastric lavage is rarely required and should be considered only if clinical symptoms of overdose become apparent (e.g. dizziness, nausea or vomiting). Gastric lavage should be carried out only if the airway can be protected adequately.</w:t>
      </w:r>
    </w:p>
    <w:p w14:paraId="3057AEA3" w14:textId="77777777" w:rsidR="00F22A3D" w:rsidRPr="00F22A3D" w:rsidRDefault="00000000" w:rsidP="00F22A3D">
      <w:pPr>
        <w:pStyle w:val="ListParagraph"/>
        <w:numPr>
          <w:ilvl w:val="0"/>
          <w:numId w:val="3"/>
        </w:numPr>
        <w:tabs>
          <w:tab w:val="center" w:pos="1215"/>
        </w:tabs>
        <w:spacing w:after="240" w:line="360" w:lineRule="auto"/>
        <w:ind w:left="357" w:hanging="357"/>
        <w:contextualSpacing w:val="0"/>
        <w:jc w:val="thaiDistribute"/>
        <w:rPr>
          <w:b/>
          <w:bCs/>
          <w:sz w:val="28"/>
          <w:szCs w:val="28"/>
        </w:rPr>
      </w:pPr>
      <w:r w:rsidRPr="00F22A3D">
        <w:rPr>
          <w:rFonts w:cs="Times New Roman"/>
          <w:b/>
          <w:bCs/>
          <w:sz w:val="28"/>
          <w:szCs w:val="28"/>
        </w:rPr>
        <w:t>PHARMACOLOGICAL PROPERTIES</w:t>
      </w:r>
      <w:r w:rsidRPr="00F22A3D">
        <w:rPr>
          <w:b/>
          <w:sz w:val="28"/>
          <w:szCs w:val="28"/>
        </w:rPr>
        <w:tab/>
      </w:r>
    </w:p>
    <w:p w14:paraId="039C26E4" w14:textId="77777777" w:rsidR="00F22A3D" w:rsidRPr="00F22A3D" w:rsidRDefault="00000000" w:rsidP="00F22A3D">
      <w:pPr>
        <w:pStyle w:val="ListParagraph"/>
        <w:numPr>
          <w:ilvl w:val="1"/>
          <w:numId w:val="3"/>
        </w:numPr>
        <w:tabs>
          <w:tab w:val="center" w:pos="1215"/>
        </w:tabs>
        <w:spacing w:after="240" w:line="360" w:lineRule="auto"/>
        <w:ind w:left="788" w:hanging="431"/>
        <w:contextualSpacing w:val="0"/>
        <w:jc w:val="thaiDistribute"/>
        <w:rPr>
          <w:b/>
          <w:bCs/>
          <w:sz w:val="28"/>
          <w:szCs w:val="28"/>
        </w:rPr>
      </w:pPr>
      <w:r w:rsidRPr="00F22A3D">
        <w:rPr>
          <w:b/>
          <w:sz w:val="28"/>
          <w:szCs w:val="28"/>
        </w:rPr>
        <w:t>Pharmacodynamic properties</w:t>
      </w:r>
    </w:p>
    <w:p w14:paraId="266FCDB6" w14:textId="77777777" w:rsidR="00F22A3D" w:rsidRDefault="00000000" w:rsidP="00F22A3D">
      <w:pPr>
        <w:pStyle w:val="ListParagraph"/>
        <w:tabs>
          <w:tab w:val="center" w:pos="1215"/>
        </w:tabs>
        <w:spacing w:after="240" w:line="360" w:lineRule="auto"/>
        <w:ind w:left="788" w:firstLine="0"/>
        <w:contextualSpacing w:val="0"/>
        <w:jc w:val="thaiDistribute"/>
        <w:rPr>
          <w:sz w:val="28"/>
          <w:szCs w:val="28"/>
        </w:rPr>
      </w:pPr>
      <w:r w:rsidRPr="00F22A3D">
        <w:rPr>
          <w:sz w:val="28"/>
          <w:szCs w:val="28"/>
        </w:rPr>
        <w:t>Pharmacotherapeutic group: Gynaecological anti-infectives and antiseptics imidazole derivatives</w:t>
      </w:r>
    </w:p>
    <w:p w14:paraId="4686F761" w14:textId="58C20612" w:rsidR="00920F94" w:rsidRPr="00F22A3D" w:rsidRDefault="00000000" w:rsidP="00F22A3D">
      <w:pPr>
        <w:pStyle w:val="ListParagraph"/>
        <w:tabs>
          <w:tab w:val="center" w:pos="1215"/>
        </w:tabs>
        <w:spacing w:after="240" w:line="360" w:lineRule="auto"/>
        <w:ind w:left="788" w:firstLine="0"/>
        <w:contextualSpacing w:val="0"/>
        <w:jc w:val="thaiDistribute"/>
        <w:rPr>
          <w:b/>
          <w:bCs/>
          <w:sz w:val="28"/>
          <w:szCs w:val="28"/>
        </w:rPr>
      </w:pPr>
      <w:r w:rsidRPr="00F22A3D">
        <w:rPr>
          <w:rFonts w:cs="Times New Roman"/>
          <w:sz w:val="28"/>
          <w:szCs w:val="28"/>
        </w:rPr>
        <w:t>ATC Code: G01A F02</w:t>
      </w:r>
    </w:p>
    <w:p w14:paraId="42CD20C6" w14:textId="77777777" w:rsidR="00920F94" w:rsidRPr="00F22A3D" w:rsidRDefault="00000000" w:rsidP="00F22A3D">
      <w:pPr>
        <w:spacing w:after="240" w:line="259" w:lineRule="auto"/>
        <w:ind w:left="737" w:firstLine="0"/>
        <w:jc w:val="left"/>
        <w:rPr>
          <w:sz w:val="28"/>
          <w:szCs w:val="28"/>
        </w:rPr>
      </w:pPr>
      <w:r w:rsidRPr="00F22A3D">
        <w:rPr>
          <w:sz w:val="28"/>
          <w:szCs w:val="28"/>
          <w:u w:val="single" w:color="000000"/>
        </w:rPr>
        <w:t>Mechanism of action</w:t>
      </w:r>
    </w:p>
    <w:p w14:paraId="526F3248" w14:textId="77777777" w:rsidR="00920F94" w:rsidRPr="00F22A3D" w:rsidRDefault="00000000" w:rsidP="00F22A3D">
      <w:pPr>
        <w:spacing w:after="240" w:line="360" w:lineRule="auto"/>
        <w:ind w:left="720" w:right="125" w:firstLine="0"/>
        <w:jc w:val="thaiDistribute"/>
        <w:rPr>
          <w:sz w:val="28"/>
          <w:szCs w:val="28"/>
        </w:rPr>
      </w:pPr>
      <w:r w:rsidRPr="00F22A3D">
        <w:rPr>
          <w:color w:val="FF0000"/>
          <w:sz w:val="28"/>
          <w:szCs w:val="28"/>
        </w:rPr>
        <w:t xml:space="preserve">&lt;GENERIC NAME&gt; </w:t>
      </w:r>
      <w:r w:rsidRPr="00F22A3D">
        <w:rPr>
          <w:sz w:val="28"/>
          <w:szCs w:val="28"/>
        </w:rPr>
        <w:t>acts against fungi by inhibiting ergosterol synthesis. Inhibition of ergosterol synthesis leads to structural and functional impairment of the fungal cytoplasmic membrane.</w:t>
      </w:r>
    </w:p>
    <w:p w14:paraId="0EE8D2A5" w14:textId="77777777" w:rsidR="00920F94" w:rsidRPr="00F22A3D" w:rsidRDefault="00000000" w:rsidP="00F22A3D">
      <w:pPr>
        <w:spacing w:after="240" w:line="360" w:lineRule="auto"/>
        <w:ind w:left="737" w:right="204" w:firstLine="0"/>
        <w:jc w:val="thaiDistribute"/>
        <w:rPr>
          <w:sz w:val="28"/>
          <w:szCs w:val="28"/>
        </w:rPr>
      </w:pPr>
      <w:r w:rsidRPr="00F22A3D">
        <w:rPr>
          <w:color w:val="FF0000"/>
          <w:sz w:val="28"/>
          <w:szCs w:val="28"/>
        </w:rPr>
        <w:t xml:space="preserve">&lt;GENERIC NAME&gt; </w:t>
      </w:r>
      <w:r w:rsidRPr="00F22A3D">
        <w:rPr>
          <w:sz w:val="28"/>
          <w:szCs w:val="28"/>
        </w:rPr>
        <w:t xml:space="preserve">has a broad antimycotic spectrum of action </w:t>
      </w:r>
      <w:r w:rsidRPr="00F22A3D">
        <w:rPr>
          <w:i/>
          <w:sz w:val="28"/>
          <w:szCs w:val="28"/>
        </w:rPr>
        <w:t xml:space="preserve">in vitro </w:t>
      </w:r>
      <w:r w:rsidRPr="00F22A3D">
        <w:rPr>
          <w:sz w:val="28"/>
          <w:szCs w:val="28"/>
        </w:rPr>
        <w:t xml:space="preserve">and </w:t>
      </w:r>
      <w:r w:rsidRPr="00F22A3D">
        <w:rPr>
          <w:i/>
          <w:sz w:val="28"/>
          <w:szCs w:val="28"/>
        </w:rPr>
        <w:t>in vivo</w:t>
      </w:r>
      <w:r w:rsidRPr="00F22A3D">
        <w:rPr>
          <w:sz w:val="28"/>
          <w:szCs w:val="28"/>
        </w:rPr>
        <w:t>, which includes dermatophytes, yeasts, moulds etc.</w:t>
      </w:r>
    </w:p>
    <w:p w14:paraId="460F3467" w14:textId="77777777" w:rsidR="00F22A3D" w:rsidRDefault="00000000" w:rsidP="00F22A3D">
      <w:pPr>
        <w:spacing w:after="240" w:line="360" w:lineRule="auto"/>
        <w:ind w:left="720" w:right="125" w:firstLine="0"/>
        <w:jc w:val="thaiDistribute"/>
        <w:rPr>
          <w:sz w:val="28"/>
          <w:szCs w:val="28"/>
        </w:rPr>
      </w:pPr>
      <w:r w:rsidRPr="00F22A3D">
        <w:rPr>
          <w:sz w:val="28"/>
          <w:szCs w:val="28"/>
        </w:rPr>
        <w:t xml:space="preserve">Under appropriate test conditions, the MIC values for these types of fungi are in the region of less than 0.062-8.0 </w:t>
      </w:r>
      <w:r w:rsidRPr="00F22A3D">
        <w:rPr>
          <w:rFonts w:eastAsia="Calibri"/>
          <w:sz w:val="28"/>
          <w:szCs w:val="28"/>
          <w:vertAlign w:val="subscript"/>
        </w:rPr>
        <w:t>μ</w:t>
      </w:r>
      <w:r w:rsidRPr="00F22A3D">
        <w:rPr>
          <w:sz w:val="28"/>
          <w:szCs w:val="28"/>
        </w:rPr>
        <w:t xml:space="preserve">g/ml substrate. The mode of action of </w:t>
      </w:r>
      <w:r w:rsidRPr="00F22A3D">
        <w:rPr>
          <w:color w:val="FF0000"/>
          <w:sz w:val="28"/>
          <w:szCs w:val="28"/>
        </w:rPr>
        <w:t xml:space="preserve">&lt;GENERIC NAME&gt; </w:t>
      </w:r>
      <w:r w:rsidRPr="00F22A3D">
        <w:rPr>
          <w:sz w:val="28"/>
          <w:szCs w:val="28"/>
        </w:rPr>
        <w:t xml:space="preserve">is fungistatic or fungicidal depending on the concentration of </w:t>
      </w:r>
      <w:r w:rsidRPr="00F22A3D">
        <w:rPr>
          <w:color w:val="FF0000"/>
          <w:sz w:val="28"/>
          <w:szCs w:val="28"/>
        </w:rPr>
        <w:t xml:space="preserve">&lt;GENERIC NAME&gt; </w:t>
      </w:r>
      <w:r w:rsidRPr="00F22A3D">
        <w:rPr>
          <w:sz w:val="28"/>
          <w:szCs w:val="28"/>
        </w:rPr>
        <w:t xml:space="preserve">at the site of infection. </w:t>
      </w:r>
      <w:r w:rsidRPr="00F22A3D">
        <w:rPr>
          <w:i/>
          <w:sz w:val="28"/>
          <w:szCs w:val="28"/>
        </w:rPr>
        <w:t xml:space="preserve">In-vitro </w:t>
      </w:r>
      <w:r w:rsidRPr="00F22A3D">
        <w:rPr>
          <w:sz w:val="28"/>
          <w:szCs w:val="28"/>
        </w:rPr>
        <w:t>activity is limited to proliferating fungal elements; fungal spores are only slightly sensitive.</w:t>
      </w:r>
    </w:p>
    <w:p w14:paraId="4C02324F" w14:textId="7B59FB6B" w:rsidR="00920F94" w:rsidRPr="00F22A3D" w:rsidRDefault="00000000" w:rsidP="00F22A3D">
      <w:pPr>
        <w:spacing w:after="240" w:line="360" w:lineRule="auto"/>
        <w:ind w:left="720" w:right="125" w:firstLine="0"/>
        <w:jc w:val="thaiDistribute"/>
        <w:rPr>
          <w:sz w:val="28"/>
          <w:szCs w:val="28"/>
        </w:rPr>
      </w:pPr>
      <w:r w:rsidRPr="00F22A3D">
        <w:rPr>
          <w:sz w:val="28"/>
          <w:szCs w:val="28"/>
        </w:rPr>
        <w:lastRenderedPageBreak/>
        <w:t>Primarily resistant variants of sensitive fungal species are very rare; the development of secondary resistance by sensitive fungi has so far only been observed in very isolated cases under therapeutic conditions.</w:t>
      </w:r>
    </w:p>
    <w:p w14:paraId="2A617E30" w14:textId="77777777" w:rsidR="00F22A3D" w:rsidRPr="00F22A3D" w:rsidRDefault="00000000" w:rsidP="00F22A3D">
      <w:pPr>
        <w:pStyle w:val="ListParagraph"/>
        <w:numPr>
          <w:ilvl w:val="1"/>
          <w:numId w:val="3"/>
        </w:numPr>
        <w:tabs>
          <w:tab w:val="center" w:pos="2160"/>
        </w:tabs>
        <w:spacing w:after="240" w:line="264" w:lineRule="auto"/>
        <w:ind w:left="788" w:hanging="431"/>
        <w:contextualSpacing w:val="0"/>
        <w:jc w:val="left"/>
        <w:rPr>
          <w:sz w:val="28"/>
          <w:szCs w:val="28"/>
        </w:rPr>
      </w:pPr>
      <w:r w:rsidRPr="00F22A3D">
        <w:rPr>
          <w:b/>
          <w:sz w:val="28"/>
          <w:szCs w:val="28"/>
        </w:rPr>
        <w:t>Pharmacokinetic properties</w:t>
      </w:r>
    </w:p>
    <w:p w14:paraId="686EF96D" w14:textId="77777777" w:rsidR="00F22A3D" w:rsidRDefault="00000000" w:rsidP="00F22A3D">
      <w:pPr>
        <w:pStyle w:val="ListParagraph"/>
        <w:tabs>
          <w:tab w:val="center" w:pos="2160"/>
        </w:tabs>
        <w:spacing w:after="240" w:line="360" w:lineRule="auto"/>
        <w:ind w:left="794" w:firstLine="0"/>
        <w:contextualSpacing w:val="0"/>
        <w:jc w:val="thaiDistribute"/>
        <w:rPr>
          <w:sz w:val="28"/>
          <w:szCs w:val="28"/>
        </w:rPr>
      </w:pPr>
      <w:r w:rsidRPr="00F22A3D">
        <w:rPr>
          <w:sz w:val="28"/>
          <w:szCs w:val="28"/>
        </w:rPr>
        <w:t>Pharmacokinetic investigations after vaginal application have shown that only a small amount of clotrimazole (3-10% of the dose) is absorbed. Due to the rapid hepatic metabolism of absorbed clotrimazole into pharmacologically inactive metabolites the resulting peak plasma levels of clotrimazole up to 72 hours after vaginal application of a 500mg dose were less than 10 ng/ml, demonstrating that clotrimazole applied intravaginally is rapidly metabolised and does not lead to measurable systemic effects or side effects.</w:t>
      </w:r>
    </w:p>
    <w:p w14:paraId="7358AEAA" w14:textId="77777777" w:rsidR="00F22A3D" w:rsidRDefault="00000000" w:rsidP="00F22A3D">
      <w:pPr>
        <w:pStyle w:val="ListParagraph"/>
        <w:tabs>
          <w:tab w:val="center" w:pos="2160"/>
        </w:tabs>
        <w:spacing w:after="240" w:line="360" w:lineRule="auto"/>
        <w:ind w:left="794" w:firstLine="0"/>
        <w:contextualSpacing w:val="0"/>
        <w:jc w:val="thaiDistribute"/>
        <w:rPr>
          <w:rFonts w:cs="Times New Roman"/>
          <w:sz w:val="28"/>
          <w:szCs w:val="28"/>
        </w:rPr>
      </w:pPr>
      <w:r w:rsidRPr="00F22A3D">
        <w:rPr>
          <w:rFonts w:cs="Times New Roman"/>
          <w:sz w:val="28"/>
          <w:szCs w:val="28"/>
        </w:rPr>
        <w:t>Binding of clotrimazole to blood serum proteins is about 98% in the undiluted serum, due to its highly hydrophobic properties.</w:t>
      </w:r>
    </w:p>
    <w:p w14:paraId="302614CE" w14:textId="77777777" w:rsidR="00F22A3D" w:rsidRDefault="00000000" w:rsidP="00F22A3D">
      <w:pPr>
        <w:pStyle w:val="ListParagraph"/>
        <w:tabs>
          <w:tab w:val="center" w:pos="2160"/>
        </w:tabs>
        <w:spacing w:after="240" w:line="360" w:lineRule="auto"/>
        <w:ind w:left="794" w:firstLine="0"/>
        <w:contextualSpacing w:val="0"/>
        <w:jc w:val="thaiDistribute"/>
        <w:rPr>
          <w:rFonts w:cs="Times New Roman"/>
          <w:sz w:val="28"/>
          <w:szCs w:val="28"/>
        </w:rPr>
      </w:pPr>
      <w:r w:rsidRPr="00F22A3D">
        <w:rPr>
          <w:rFonts w:cs="Times New Roman"/>
          <w:sz w:val="28"/>
          <w:szCs w:val="28"/>
        </w:rPr>
        <w:t>Clotrimazole is metabolised in the liver via oxidation and degradation of the imidazole cycle (desamination, O-desalkylation). Thus inactive hydroxy derivatives occur. These agents are mainly excreted via the gallbladder with the faeces.</w:t>
      </w:r>
    </w:p>
    <w:p w14:paraId="6EE6A5A1" w14:textId="0F830366" w:rsidR="00920F94" w:rsidRPr="00F22A3D" w:rsidRDefault="00000000" w:rsidP="00F22A3D">
      <w:pPr>
        <w:pStyle w:val="ListParagraph"/>
        <w:tabs>
          <w:tab w:val="center" w:pos="2160"/>
        </w:tabs>
        <w:spacing w:after="240" w:line="360" w:lineRule="auto"/>
        <w:ind w:left="794" w:firstLine="0"/>
        <w:contextualSpacing w:val="0"/>
        <w:jc w:val="thaiDistribute"/>
        <w:rPr>
          <w:sz w:val="28"/>
          <w:szCs w:val="28"/>
        </w:rPr>
      </w:pPr>
      <w:r w:rsidRPr="00F22A3D">
        <w:rPr>
          <w:rFonts w:cs="Times New Roman"/>
          <w:sz w:val="28"/>
          <w:szCs w:val="28"/>
        </w:rPr>
        <w:t>The elimination half-life of clotrimazole is 3.5-5 hours.</w:t>
      </w:r>
    </w:p>
    <w:p w14:paraId="17E64045" w14:textId="77777777" w:rsidR="00F22A3D" w:rsidRPr="00F22A3D" w:rsidRDefault="00000000" w:rsidP="00F22A3D">
      <w:pPr>
        <w:pStyle w:val="ListParagraph"/>
        <w:numPr>
          <w:ilvl w:val="1"/>
          <w:numId w:val="3"/>
        </w:numPr>
        <w:tabs>
          <w:tab w:val="center" w:pos="1875"/>
        </w:tabs>
        <w:spacing w:after="240" w:line="264" w:lineRule="auto"/>
        <w:ind w:left="788" w:hanging="431"/>
        <w:contextualSpacing w:val="0"/>
        <w:jc w:val="left"/>
        <w:rPr>
          <w:sz w:val="28"/>
          <w:szCs w:val="28"/>
        </w:rPr>
      </w:pPr>
      <w:r w:rsidRPr="00F22A3D">
        <w:rPr>
          <w:b/>
          <w:sz w:val="28"/>
          <w:szCs w:val="28"/>
        </w:rPr>
        <w:t>Preclinical safety data</w:t>
      </w:r>
    </w:p>
    <w:p w14:paraId="344CF9E3" w14:textId="77777777" w:rsidR="00F22A3D" w:rsidRDefault="00000000" w:rsidP="00F22A3D">
      <w:pPr>
        <w:pStyle w:val="ListParagraph"/>
        <w:tabs>
          <w:tab w:val="center" w:pos="1875"/>
        </w:tabs>
        <w:spacing w:after="240" w:line="360" w:lineRule="auto"/>
        <w:ind w:left="794" w:firstLine="0"/>
        <w:contextualSpacing w:val="0"/>
        <w:jc w:val="left"/>
        <w:rPr>
          <w:sz w:val="28"/>
          <w:szCs w:val="28"/>
        </w:rPr>
      </w:pPr>
      <w:r w:rsidRPr="00F22A3D">
        <w:rPr>
          <w:sz w:val="28"/>
          <w:szCs w:val="28"/>
        </w:rPr>
        <w:t>Non-clinical data reveal no special hazard for humans based on studies of repeated dose toxicity, genotoxicity and carcinogenicity.</w:t>
      </w:r>
    </w:p>
    <w:p w14:paraId="3D5A9015" w14:textId="77777777" w:rsidR="00F22A3D" w:rsidRDefault="00000000" w:rsidP="00F22A3D">
      <w:pPr>
        <w:pStyle w:val="ListParagraph"/>
        <w:tabs>
          <w:tab w:val="center" w:pos="1875"/>
        </w:tabs>
        <w:spacing w:after="240" w:line="360" w:lineRule="auto"/>
        <w:ind w:left="794" w:firstLine="0"/>
        <w:contextualSpacing w:val="0"/>
        <w:jc w:val="thaiDistribute"/>
        <w:rPr>
          <w:rFonts w:cs="Times New Roman"/>
          <w:sz w:val="28"/>
          <w:szCs w:val="28"/>
        </w:rPr>
      </w:pPr>
      <w:r w:rsidRPr="00F22A3D">
        <w:rPr>
          <w:rFonts w:cs="Times New Roman"/>
          <w:sz w:val="28"/>
          <w:szCs w:val="28"/>
        </w:rPr>
        <w:lastRenderedPageBreak/>
        <w:t>Clotrimazole was not teratogenic in reproductive toxicity studies in mice, rats and rabbits. In rats high oral doses were associated with maternal toxicity, embryotoxicity, reduced foetal weights and decreased pup survival.</w:t>
      </w:r>
    </w:p>
    <w:p w14:paraId="3B229F3F" w14:textId="4077573D" w:rsidR="00920F94" w:rsidRPr="00F22A3D" w:rsidRDefault="00000000" w:rsidP="00F22A3D">
      <w:pPr>
        <w:pStyle w:val="ListParagraph"/>
        <w:tabs>
          <w:tab w:val="center" w:pos="1875"/>
        </w:tabs>
        <w:spacing w:after="374" w:line="360" w:lineRule="auto"/>
        <w:ind w:left="792" w:firstLine="0"/>
        <w:jc w:val="thaiDistribute"/>
        <w:rPr>
          <w:sz w:val="28"/>
          <w:szCs w:val="28"/>
        </w:rPr>
      </w:pPr>
      <w:r w:rsidRPr="00F22A3D">
        <w:rPr>
          <w:rFonts w:cs="Times New Roman"/>
          <w:sz w:val="28"/>
          <w:szCs w:val="28"/>
        </w:rPr>
        <w:t>In rats clotrimazole and/or its metabolites were secreted into milk at levels higher than in plasma by a factor of 10 to 20 at 4 hours after administration, followed by a decline to a factor of 0.4 by 24 hrs.</w:t>
      </w:r>
    </w:p>
    <w:p w14:paraId="0F9EB795" w14:textId="77777777" w:rsidR="00F22A3D" w:rsidRDefault="00000000" w:rsidP="00F22A3D">
      <w:pPr>
        <w:pStyle w:val="Heading1"/>
        <w:numPr>
          <w:ilvl w:val="0"/>
          <w:numId w:val="3"/>
        </w:numPr>
        <w:tabs>
          <w:tab w:val="center" w:pos="3120"/>
        </w:tabs>
        <w:spacing w:after="240" w:line="264" w:lineRule="auto"/>
        <w:ind w:left="357" w:hanging="357"/>
        <w:rPr>
          <w:szCs w:val="28"/>
        </w:rPr>
      </w:pPr>
      <w:r w:rsidRPr="00F22A3D">
        <w:rPr>
          <w:szCs w:val="28"/>
        </w:rPr>
        <w:t>PHARMACEUTICAL PARTICULARS</w:t>
      </w:r>
    </w:p>
    <w:p w14:paraId="126946E0" w14:textId="77777777" w:rsidR="00605CFA" w:rsidRDefault="00000000" w:rsidP="00605CFA">
      <w:pPr>
        <w:pStyle w:val="Heading1"/>
        <w:numPr>
          <w:ilvl w:val="1"/>
          <w:numId w:val="3"/>
        </w:numPr>
        <w:tabs>
          <w:tab w:val="center" w:pos="3120"/>
        </w:tabs>
        <w:spacing w:after="240" w:line="264" w:lineRule="auto"/>
        <w:ind w:left="788" w:hanging="431"/>
        <w:rPr>
          <w:szCs w:val="28"/>
        </w:rPr>
      </w:pPr>
      <w:r w:rsidRPr="00F22A3D">
        <w:rPr>
          <w:szCs w:val="28"/>
        </w:rPr>
        <w:t>List of excipients</w:t>
      </w:r>
    </w:p>
    <w:p w14:paraId="09E4B066" w14:textId="540D0442" w:rsidR="00920F94" w:rsidRPr="00605CFA" w:rsidRDefault="00000000" w:rsidP="00605CFA">
      <w:pPr>
        <w:pStyle w:val="Heading1"/>
        <w:tabs>
          <w:tab w:val="center" w:pos="3120"/>
        </w:tabs>
        <w:spacing w:after="240" w:line="264" w:lineRule="auto"/>
        <w:ind w:left="794" w:firstLine="0"/>
        <w:rPr>
          <w:b w:val="0"/>
          <w:bCs/>
          <w:szCs w:val="28"/>
        </w:rPr>
      </w:pPr>
      <w:r w:rsidRPr="00605CFA">
        <w:rPr>
          <w:b w:val="0"/>
          <w:bCs/>
          <w:color w:val="FF0000"/>
          <w:szCs w:val="28"/>
        </w:rPr>
        <w:t>&lt;REGARDING THE APPROVAL&gt;</w:t>
      </w:r>
    </w:p>
    <w:p w14:paraId="0B617EBE" w14:textId="77777777" w:rsidR="00605CFA" w:rsidRPr="00605CFA" w:rsidRDefault="00000000" w:rsidP="00605CFA">
      <w:pPr>
        <w:pStyle w:val="ListParagraph"/>
        <w:numPr>
          <w:ilvl w:val="1"/>
          <w:numId w:val="3"/>
        </w:numPr>
        <w:tabs>
          <w:tab w:val="center" w:pos="1731"/>
        </w:tabs>
        <w:spacing w:after="240" w:line="264" w:lineRule="auto"/>
        <w:ind w:left="788" w:hanging="431"/>
        <w:contextualSpacing w:val="0"/>
        <w:jc w:val="left"/>
        <w:rPr>
          <w:sz w:val="28"/>
          <w:szCs w:val="28"/>
        </w:rPr>
      </w:pPr>
      <w:r w:rsidRPr="00605CFA">
        <w:rPr>
          <w:b/>
          <w:sz w:val="28"/>
          <w:szCs w:val="28"/>
        </w:rPr>
        <w:t>Incompatibilities</w:t>
      </w:r>
    </w:p>
    <w:p w14:paraId="07E6DB6D" w14:textId="7D178BF7" w:rsidR="00920F94" w:rsidRPr="00605CFA" w:rsidRDefault="00000000" w:rsidP="00605CFA">
      <w:pPr>
        <w:pStyle w:val="ListParagraph"/>
        <w:tabs>
          <w:tab w:val="center" w:pos="1731"/>
        </w:tabs>
        <w:spacing w:after="240" w:line="264" w:lineRule="auto"/>
        <w:ind w:left="794" w:firstLine="0"/>
        <w:contextualSpacing w:val="0"/>
        <w:jc w:val="left"/>
        <w:rPr>
          <w:sz w:val="28"/>
          <w:szCs w:val="28"/>
        </w:rPr>
      </w:pPr>
      <w:r w:rsidRPr="00605CFA">
        <w:rPr>
          <w:color w:val="FF0000"/>
          <w:sz w:val="28"/>
          <w:szCs w:val="28"/>
        </w:rPr>
        <w:t>&lt;REGARDING THE APPROVAL&gt;</w:t>
      </w:r>
    </w:p>
    <w:p w14:paraId="0EEE89C4" w14:textId="77777777" w:rsidR="00605CFA" w:rsidRPr="00605CFA" w:rsidRDefault="00000000" w:rsidP="00605CFA">
      <w:pPr>
        <w:pStyle w:val="ListParagraph"/>
        <w:numPr>
          <w:ilvl w:val="1"/>
          <w:numId w:val="3"/>
        </w:numPr>
        <w:tabs>
          <w:tab w:val="center" w:pos="1185"/>
        </w:tabs>
        <w:spacing w:after="240" w:line="264" w:lineRule="auto"/>
        <w:ind w:left="788" w:hanging="431"/>
        <w:contextualSpacing w:val="0"/>
        <w:jc w:val="left"/>
        <w:rPr>
          <w:sz w:val="28"/>
          <w:szCs w:val="28"/>
        </w:rPr>
      </w:pPr>
      <w:r w:rsidRPr="00605CFA">
        <w:rPr>
          <w:b/>
          <w:sz w:val="28"/>
          <w:szCs w:val="28"/>
        </w:rPr>
        <w:t>Shelf life</w:t>
      </w:r>
    </w:p>
    <w:p w14:paraId="4AEEB914" w14:textId="2FE8BEDA" w:rsidR="00920F94" w:rsidRPr="00605CFA" w:rsidRDefault="00000000" w:rsidP="00605CFA">
      <w:pPr>
        <w:pStyle w:val="ListParagraph"/>
        <w:tabs>
          <w:tab w:val="center" w:pos="1185"/>
        </w:tabs>
        <w:spacing w:after="240" w:line="264" w:lineRule="auto"/>
        <w:ind w:left="794" w:firstLine="0"/>
        <w:contextualSpacing w:val="0"/>
        <w:jc w:val="left"/>
        <w:rPr>
          <w:sz w:val="28"/>
          <w:szCs w:val="28"/>
        </w:rPr>
      </w:pPr>
      <w:r w:rsidRPr="00605CFA">
        <w:rPr>
          <w:color w:val="FF0000"/>
          <w:sz w:val="28"/>
          <w:szCs w:val="28"/>
        </w:rPr>
        <w:t>&lt;REGARDING THE APPROVAL&gt;</w:t>
      </w:r>
    </w:p>
    <w:p w14:paraId="17EC3F4F" w14:textId="2B78F95F" w:rsidR="00605CFA" w:rsidRPr="00605CFA" w:rsidRDefault="00000000" w:rsidP="00605CFA">
      <w:pPr>
        <w:pStyle w:val="ListParagraph"/>
        <w:numPr>
          <w:ilvl w:val="1"/>
          <w:numId w:val="3"/>
        </w:numPr>
        <w:spacing w:after="240" w:line="264" w:lineRule="auto"/>
        <w:jc w:val="left"/>
        <w:rPr>
          <w:sz w:val="28"/>
          <w:szCs w:val="28"/>
        </w:rPr>
      </w:pPr>
      <w:r w:rsidRPr="00605CFA">
        <w:rPr>
          <w:b/>
          <w:sz w:val="28"/>
          <w:szCs w:val="28"/>
        </w:rPr>
        <w:t>Special precautions for storage</w:t>
      </w:r>
    </w:p>
    <w:p w14:paraId="633588B0" w14:textId="4A6075B1" w:rsidR="00920F94" w:rsidRPr="00F22A3D" w:rsidRDefault="00000000" w:rsidP="00605CFA">
      <w:pPr>
        <w:spacing w:after="240" w:line="264" w:lineRule="auto"/>
        <w:ind w:left="11" w:firstLine="709"/>
        <w:jc w:val="left"/>
        <w:rPr>
          <w:sz w:val="28"/>
          <w:szCs w:val="28"/>
        </w:rPr>
      </w:pPr>
      <w:r w:rsidRPr="00F22A3D">
        <w:rPr>
          <w:color w:val="FF0000"/>
          <w:sz w:val="28"/>
          <w:szCs w:val="28"/>
        </w:rPr>
        <w:t>&lt;REGARDING THE APPROVAL&gt;</w:t>
      </w:r>
    </w:p>
    <w:p w14:paraId="610AA7B0" w14:textId="296E5A08" w:rsidR="00605CFA" w:rsidRPr="00605CFA" w:rsidRDefault="00000000" w:rsidP="00605CFA">
      <w:pPr>
        <w:pStyle w:val="ListParagraph"/>
        <w:numPr>
          <w:ilvl w:val="1"/>
          <w:numId w:val="3"/>
        </w:numPr>
        <w:spacing w:after="336" w:line="263" w:lineRule="auto"/>
        <w:jc w:val="left"/>
        <w:rPr>
          <w:sz w:val="28"/>
          <w:szCs w:val="28"/>
        </w:rPr>
      </w:pPr>
      <w:r w:rsidRPr="00605CFA">
        <w:rPr>
          <w:b/>
          <w:sz w:val="28"/>
          <w:szCs w:val="28"/>
        </w:rPr>
        <w:t>Nature and contents of container</w:t>
      </w:r>
    </w:p>
    <w:p w14:paraId="30CB38E0" w14:textId="25FFCA8F" w:rsidR="00920F94" w:rsidRPr="00F22A3D" w:rsidRDefault="00000000" w:rsidP="00605CFA">
      <w:pPr>
        <w:spacing w:after="336" w:line="263" w:lineRule="auto"/>
        <w:ind w:left="10"/>
        <w:jc w:val="left"/>
        <w:rPr>
          <w:sz w:val="28"/>
          <w:szCs w:val="28"/>
        </w:rPr>
      </w:pPr>
      <w:r w:rsidRPr="00F22A3D">
        <w:rPr>
          <w:color w:val="FF0000"/>
          <w:sz w:val="28"/>
          <w:szCs w:val="28"/>
        </w:rPr>
        <w:t>&lt;REGARDING THE APPROVAL&gt;</w:t>
      </w:r>
    </w:p>
    <w:p w14:paraId="241877A4" w14:textId="12DBF986" w:rsidR="00605CFA" w:rsidRPr="00605CFA" w:rsidRDefault="00000000" w:rsidP="00605CFA">
      <w:pPr>
        <w:pStyle w:val="ListParagraph"/>
        <w:numPr>
          <w:ilvl w:val="1"/>
          <w:numId w:val="3"/>
        </w:numPr>
        <w:spacing w:after="336" w:line="263" w:lineRule="auto"/>
        <w:jc w:val="left"/>
        <w:rPr>
          <w:sz w:val="28"/>
          <w:szCs w:val="28"/>
        </w:rPr>
      </w:pPr>
      <w:r w:rsidRPr="00605CFA">
        <w:rPr>
          <w:b/>
          <w:sz w:val="28"/>
          <w:szCs w:val="28"/>
        </w:rPr>
        <w:t>Special precautions for disposal</w:t>
      </w:r>
    </w:p>
    <w:p w14:paraId="7CEEFB57" w14:textId="0489582D" w:rsidR="00605CFA" w:rsidRDefault="00000000" w:rsidP="00605CFA">
      <w:pPr>
        <w:spacing w:after="336" w:line="263" w:lineRule="auto"/>
        <w:ind w:left="10"/>
        <w:jc w:val="left"/>
        <w:rPr>
          <w:color w:val="FF0000"/>
          <w:sz w:val="28"/>
          <w:szCs w:val="28"/>
        </w:rPr>
      </w:pPr>
      <w:r w:rsidRPr="00F22A3D">
        <w:rPr>
          <w:color w:val="FF0000"/>
          <w:sz w:val="28"/>
          <w:szCs w:val="28"/>
        </w:rPr>
        <w:t>&lt;REGARDING THE APPROVAL&gt;</w:t>
      </w:r>
    </w:p>
    <w:p w14:paraId="4A3F96CF" w14:textId="3366E74E" w:rsidR="00920F94" w:rsidRPr="00605CFA" w:rsidRDefault="00605CFA" w:rsidP="00605CFA">
      <w:pPr>
        <w:spacing w:after="160" w:line="278" w:lineRule="auto"/>
        <w:ind w:left="0" w:firstLine="0"/>
        <w:jc w:val="left"/>
        <w:rPr>
          <w:color w:val="FF0000"/>
          <w:sz w:val="28"/>
          <w:szCs w:val="28"/>
        </w:rPr>
      </w:pPr>
      <w:r>
        <w:rPr>
          <w:color w:val="FF0000"/>
          <w:sz w:val="28"/>
          <w:szCs w:val="28"/>
        </w:rPr>
        <w:br w:type="page"/>
      </w:r>
    </w:p>
    <w:p w14:paraId="7BD109B8" w14:textId="77777777" w:rsidR="00605CFA" w:rsidRPr="00605CFA" w:rsidRDefault="00000000" w:rsidP="00605CFA">
      <w:pPr>
        <w:pStyle w:val="ListParagraph"/>
        <w:numPr>
          <w:ilvl w:val="0"/>
          <w:numId w:val="3"/>
        </w:numPr>
        <w:spacing w:after="240" w:line="264" w:lineRule="auto"/>
        <w:ind w:left="357" w:hanging="357"/>
        <w:contextualSpacing w:val="0"/>
        <w:jc w:val="left"/>
        <w:rPr>
          <w:sz w:val="28"/>
          <w:szCs w:val="28"/>
        </w:rPr>
      </w:pPr>
      <w:r w:rsidRPr="00605CFA">
        <w:rPr>
          <w:b/>
          <w:sz w:val="28"/>
          <w:szCs w:val="28"/>
        </w:rPr>
        <w:lastRenderedPageBreak/>
        <w:t>MARKETING AUTHORISATION HOLDER</w:t>
      </w:r>
    </w:p>
    <w:p w14:paraId="1C95D8E0" w14:textId="77777777" w:rsidR="00605CFA" w:rsidRDefault="00000000" w:rsidP="00605CFA">
      <w:pPr>
        <w:pStyle w:val="ListParagraph"/>
        <w:spacing w:after="240" w:line="264" w:lineRule="auto"/>
        <w:ind w:left="357" w:firstLine="0"/>
        <w:contextualSpacing w:val="0"/>
        <w:jc w:val="left"/>
        <w:rPr>
          <w:color w:val="FF0000"/>
          <w:sz w:val="28"/>
          <w:szCs w:val="28"/>
        </w:rPr>
      </w:pPr>
      <w:r w:rsidRPr="00605CFA">
        <w:rPr>
          <w:color w:val="FF0000"/>
          <w:sz w:val="28"/>
          <w:szCs w:val="28"/>
        </w:rPr>
        <w:t>&lt;REGARDING THE APPROVAL&gt;</w:t>
      </w:r>
    </w:p>
    <w:p w14:paraId="110D0C5B" w14:textId="77777777" w:rsidR="00605CFA" w:rsidRPr="00605CFA" w:rsidRDefault="00000000" w:rsidP="00605CFA">
      <w:pPr>
        <w:pStyle w:val="ListParagraph"/>
        <w:numPr>
          <w:ilvl w:val="0"/>
          <w:numId w:val="3"/>
        </w:numPr>
        <w:spacing w:after="240" w:line="264" w:lineRule="auto"/>
        <w:ind w:left="357" w:hanging="357"/>
        <w:contextualSpacing w:val="0"/>
        <w:jc w:val="left"/>
        <w:rPr>
          <w:sz w:val="28"/>
          <w:szCs w:val="28"/>
        </w:rPr>
      </w:pPr>
      <w:r w:rsidRPr="00F22A3D">
        <w:rPr>
          <w:rFonts w:cs="Times New Roman"/>
          <w:b/>
          <w:sz w:val="28"/>
          <w:szCs w:val="28"/>
        </w:rPr>
        <w:t>MARKETING AUTHORISATION NUMBER(S)</w:t>
      </w:r>
    </w:p>
    <w:p w14:paraId="743400F7" w14:textId="77777777" w:rsidR="00605CFA" w:rsidRDefault="00000000" w:rsidP="00605CFA">
      <w:pPr>
        <w:pStyle w:val="ListParagraph"/>
        <w:spacing w:after="240" w:line="264" w:lineRule="auto"/>
        <w:ind w:left="357" w:firstLine="0"/>
        <w:contextualSpacing w:val="0"/>
        <w:jc w:val="left"/>
        <w:rPr>
          <w:color w:val="FF0000"/>
          <w:sz w:val="28"/>
          <w:szCs w:val="28"/>
        </w:rPr>
      </w:pPr>
      <w:r w:rsidRPr="00605CFA">
        <w:rPr>
          <w:color w:val="FF0000"/>
          <w:sz w:val="28"/>
          <w:szCs w:val="28"/>
        </w:rPr>
        <w:t>&lt;REGARDING THE APPROVAL&gt;</w:t>
      </w:r>
    </w:p>
    <w:p w14:paraId="27933D47" w14:textId="77777777" w:rsidR="00605CFA" w:rsidRPr="00605CFA" w:rsidRDefault="00000000" w:rsidP="00605CFA">
      <w:pPr>
        <w:pStyle w:val="ListParagraph"/>
        <w:numPr>
          <w:ilvl w:val="0"/>
          <w:numId w:val="3"/>
        </w:numPr>
        <w:spacing w:after="240" w:line="360" w:lineRule="auto"/>
        <w:ind w:left="357" w:hanging="357"/>
        <w:contextualSpacing w:val="0"/>
        <w:jc w:val="left"/>
        <w:rPr>
          <w:sz w:val="28"/>
          <w:szCs w:val="28"/>
        </w:rPr>
      </w:pPr>
      <w:r w:rsidRPr="00F22A3D">
        <w:rPr>
          <w:rFonts w:cs="Times New Roman"/>
          <w:b/>
          <w:sz w:val="28"/>
          <w:szCs w:val="28"/>
        </w:rPr>
        <w:t>DATE OF FIRST AUTHORISATION/RENEWAL OF THE AUTHORISATION</w:t>
      </w:r>
    </w:p>
    <w:p w14:paraId="19FB4295" w14:textId="77777777" w:rsidR="00605CFA" w:rsidRDefault="00000000" w:rsidP="00605CFA">
      <w:pPr>
        <w:pStyle w:val="ListParagraph"/>
        <w:spacing w:after="240" w:line="360" w:lineRule="auto"/>
        <w:ind w:left="357" w:firstLine="0"/>
        <w:contextualSpacing w:val="0"/>
        <w:jc w:val="left"/>
        <w:rPr>
          <w:color w:val="FF0000"/>
          <w:sz w:val="28"/>
          <w:szCs w:val="28"/>
        </w:rPr>
      </w:pPr>
      <w:r w:rsidRPr="00605CFA">
        <w:rPr>
          <w:color w:val="FF0000"/>
          <w:sz w:val="28"/>
          <w:szCs w:val="28"/>
        </w:rPr>
        <w:t>&lt;REGARDING THE APPROVAL&gt;</w:t>
      </w:r>
    </w:p>
    <w:p w14:paraId="77CF25CB" w14:textId="77777777" w:rsidR="00605CFA" w:rsidRPr="00605CFA" w:rsidRDefault="00000000" w:rsidP="00605CFA">
      <w:pPr>
        <w:pStyle w:val="ListParagraph"/>
        <w:numPr>
          <w:ilvl w:val="0"/>
          <w:numId w:val="3"/>
        </w:numPr>
        <w:spacing w:after="240" w:line="360" w:lineRule="auto"/>
        <w:ind w:left="357" w:hanging="357"/>
        <w:contextualSpacing w:val="0"/>
        <w:jc w:val="left"/>
        <w:rPr>
          <w:b/>
          <w:bCs/>
          <w:color w:val="000000" w:themeColor="text1"/>
          <w:sz w:val="28"/>
          <w:szCs w:val="28"/>
        </w:rPr>
      </w:pPr>
      <w:r w:rsidRPr="00605CFA">
        <w:rPr>
          <w:rFonts w:cs="Times New Roman"/>
          <w:b/>
          <w:bCs/>
          <w:color w:val="000000" w:themeColor="text1"/>
          <w:sz w:val="28"/>
          <w:szCs w:val="28"/>
        </w:rPr>
        <w:t xml:space="preserve">DATE OF REVISION OF THE TEXT </w:t>
      </w:r>
      <w:r w:rsidRPr="00605CFA">
        <w:rPr>
          <w:rFonts w:cs="Times New Roman"/>
          <w:b/>
          <w:bCs/>
          <w:color w:val="000000" w:themeColor="text1"/>
          <w:sz w:val="28"/>
          <w:szCs w:val="28"/>
          <w:vertAlign w:val="superscript"/>
        </w:rPr>
        <w:footnoteReference w:id="1"/>
      </w:r>
    </w:p>
    <w:p w14:paraId="4AAB8587" w14:textId="5E838D43" w:rsidR="00920F94" w:rsidRPr="00605CFA" w:rsidRDefault="00000000" w:rsidP="00605CFA">
      <w:pPr>
        <w:pStyle w:val="ListParagraph"/>
        <w:spacing w:after="302" w:line="360" w:lineRule="auto"/>
        <w:ind w:left="360" w:firstLine="0"/>
        <w:jc w:val="left"/>
        <w:rPr>
          <w:b/>
          <w:bCs/>
          <w:color w:val="000000" w:themeColor="text1"/>
          <w:sz w:val="28"/>
          <w:szCs w:val="28"/>
        </w:rPr>
      </w:pPr>
      <w:r w:rsidRPr="00605CFA">
        <w:rPr>
          <w:color w:val="FF0000"/>
          <w:sz w:val="28"/>
          <w:szCs w:val="28"/>
        </w:rPr>
        <w:t>&lt;REGARDING THE APPROVAL&gt;</w:t>
      </w:r>
    </w:p>
    <w:sectPr w:rsidR="00920F94" w:rsidRPr="00605CFA" w:rsidSect="00F22A3D">
      <w:footnotePr>
        <w:numRestart w:val="eachPage"/>
      </w:footnotePr>
      <w:pgSz w:w="11920" w:h="16840"/>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824A6" w14:textId="77777777" w:rsidR="00A13299" w:rsidRDefault="00A13299">
      <w:pPr>
        <w:spacing w:after="0" w:line="240" w:lineRule="auto"/>
      </w:pPr>
      <w:r>
        <w:separator/>
      </w:r>
    </w:p>
  </w:endnote>
  <w:endnote w:type="continuationSeparator" w:id="0">
    <w:p w14:paraId="154C7697" w14:textId="77777777" w:rsidR="00A13299" w:rsidRDefault="00A1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9190" w14:textId="77777777" w:rsidR="00A13299" w:rsidRDefault="00A13299">
      <w:pPr>
        <w:spacing w:after="0" w:line="259" w:lineRule="auto"/>
        <w:ind w:left="735" w:firstLine="0"/>
        <w:jc w:val="left"/>
      </w:pPr>
      <w:r>
        <w:separator/>
      </w:r>
    </w:p>
  </w:footnote>
  <w:footnote w:type="continuationSeparator" w:id="0">
    <w:p w14:paraId="4B5E8753" w14:textId="77777777" w:rsidR="00A13299" w:rsidRDefault="00A13299">
      <w:pPr>
        <w:spacing w:after="0" w:line="259" w:lineRule="auto"/>
        <w:ind w:left="735" w:firstLine="0"/>
        <w:jc w:val="left"/>
      </w:pPr>
      <w:r>
        <w:continuationSeparator/>
      </w:r>
    </w:p>
  </w:footnote>
  <w:footnote w:id="1">
    <w:p w14:paraId="7C66086E" w14:textId="77777777" w:rsidR="00920F94" w:rsidRDefault="00000000">
      <w:pPr>
        <w:pStyle w:val="footnotedescription"/>
      </w:pPr>
      <w:r>
        <w:rPr>
          <w:rStyle w:val="footnotemark"/>
        </w:rPr>
        <w:footnoteRef/>
      </w:r>
      <w:r>
        <w:t xml:space="preserve"> Ref:Clotrimazole, MHRA, 23/01/2023"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D5F"/>
    <w:multiLevelType w:val="hybridMultilevel"/>
    <w:tmpl w:val="76A0374E"/>
    <w:lvl w:ilvl="0" w:tplc="3CF8541E">
      <w:start w:val="1"/>
      <w:numFmt w:val="bullet"/>
      <w:lvlText w:val=""/>
      <w:lvlJc w:val="left"/>
      <w:pPr>
        <w:ind w:left="1455" w:hanging="360"/>
      </w:pPr>
      <w:rPr>
        <w:rFonts w:ascii="Symbol" w:hAnsi="Symbol" w:hint="default"/>
        <w:sz w:val="24"/>
        <w:szCs w:val="24"/>
      </w:rPr>
    </w:lvl>
    <w:lvl w:ilvl="1" w:tplc="04090003" w:tentative="1">
      <w:start w:val="1"/>
      <w:numFmt w:val="bullet"/>
      <w:lvlText w:val="o"/>
      <w:lvlJc w:val="left"/>
      <w:pPr>
        <w:ind w:left="2175" w:hanging="360"/>
      </w:pPr>
      <w:rPr>
        <w:rFonts w:ascii="Courier New" w:hAnsi="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13D33A3"/>
    <w:multiLevelType w:val="hybridMultilevel"/>
    <w:tmpl w:val="720CD15A"/>
    <w:lvl w:ilvl="0" w:tplc="3CF8541E">
      <w:start w:val="1"/>
      <w:numFmt w:val="bullet"/>
      <w:lvlText w:val=""/>
      <w:lvlJc w:val="left"/>
      <w:pPr>
        <w:ind w:left="1457" w:hanging="360"/>
      </w:pPr>
      <w:rPr>
        <w:rFonts w:ascii="Symbol" w:hAnsi="Symbol" w:hint="default"/>
        <w:sz w:val="24"/>
        <w:szCs w:val="24"/>
      </w:rPr>
    </w:lvl>
    <w:lvl w:ilvl="1" w:tplc="04090003">
      <w:start w:val="1"/>
      <w:numFmt w:val="bullet"/>
      <w:lvlText w:val="o"/>
      <w:lvlJc w:val="left"/>
      <w:pPr>
        <w:ind w:left="1442" w:hanging="360"/>
      </w:pPr>
      <w:rPr>
        <w:rFonts w:ascii="Courier New" w:hAnsi="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2DFC4A8D"/>
    <w:multiLevelType w:val="multilevel"/>
    <w:tmpl w:val="2EFCE706"/>
    <w:lvl w:ilvl="0">
      <w:start w:val="1"/>
      <w:numFmt w:val="decimal"/>
      <w:lvlText w:val="%1."/>
      <w:lvlJc w:val="left"/>
      <w:pPr>
        <w:ind w:left="1080" w:hanging="360"/>
      </w:pPr>
    </w:lvl>
    <w:lvl w:ilvl="1">
      <w:start w:val="1"/>
      <w:numFmt w:val="decimal"/>
      <w:lvlText w:val="%1.%2."/>
      <w:lvlJc w:val="left"/>
      <w:pPr>
        <w:ind w:left="1512" w:hanging="432"/>
      </w:pPr>
      <w:rPr>
        <w:b/>
        <w:bCs/>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395175C"/>
    <w:multiLevelType w:val="hybridMultilevel"/>
    <w:tmpl w:val="944CD2F2"/>
    <w:lvl w:ilvl="0" w:tplc="33AA623E">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A0572">
      <w:start w:val="1"/>
      <w:numFmt w:val="bullet"/>
      <w:lvlText w:val="o"/>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0A4B66">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B6B480">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9A29B6">
      <w:start w:val="1"/>
      <w:numFmt w:val="bullet"/>
      <w:lvlText w:val="o"/>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C53EE">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568940">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C3524">
      <w:start w:val="1"/>
      <w:numFmt w:val="bullet"/>
      <w:lvlText w:val="o"/>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C8AE8">
      <w:start w:val="1"/>
      <w:numFmt w:val="bullet"/>
      <w:lvlText w:val="▪"/>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F374E7"/>
    <w:multiLevelType w:val="hybridMultilevel"/>
    <w:tmpl w:val="30B26AE6"/>
    <w:lvl w:ilvl="0" w:tplc="535C702E">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3A4848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48234E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E8AC9C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39EE76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A2ECC8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3A587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44244A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CC680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AD43B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7C9D62CB"/>
    <w:multiLevelType w:val="multilevel"/>
    <w:tmpl w:val="13D29D6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5399628">
    <w:abstractNumId w:val="3"/>
  </w:num>
  <w:num w:numId="2" w16cid:durableId="79564556">
    <w:abstractNumId w:val="4"/>
  </w:num>
  <w:num w:numId="3" w16cid:durableId="401559229">
    <w:abstractNumId w:val="6"/>
  </w:num>
  <w:num w:numId="4" w16cid:durableId="679041959">
    <w:abstractNumId w:val="5"/>
  </w:num>
  <w:num w:numId="5" w16cid:durableId="927736690">
    <w:abstractNumId w:val="0"/>
  </w:num>
  <w:num w:numId="6" w16cid:durableId="741490341">
    <w:abstractNumId w:val="1"/>
  </w:num>
  <w:num w:numId="7" w16cid:durableId="1889032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94"/>
    <w:rsid w:val="00605CFA"/>
    <w:rsid w:val="00800F90"/>
    <w:rsid w:val="00920F94"/>
    <w:rsid w:val="00A13299"/>
    <w:rsid w:val="00F22A3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43AF28C3"/>
  <w15:docId w15:val="{8097A68C-62FA-D74C-BA1D-C878602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271" w:lineRule="auto"/>
      <w:ind w:left="1470" w:firstLine="7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36" w:line="263" w:lineRule="auto"/>
      <w:ind w:left="74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36" w:line="263" w:lineRule="auto"/>
      <w:ind w:left="745"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73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ListParagraph">
    <w:name w:val="List Paragraph"/>
    <w:basedOn w:val="Normal"/>
    <w:uiPriority w:val="34"/>
    <w:qFormat/>
    <w:rsid w:val="00F22A3D"/>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4</TotalTime>
  <Pages>11</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6497_1_clotrimazole_vaginal tablet_smpc_MHRA.docx</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6497_1_clotrimazole_vaginal tablet_smpc_MHRA.docx</dc:title>
  <dc:subject/>
  <dc:creator>PIYATIDA PANITSUPAKAMOL</dc:creator>
  <cp:keywords/>
  <cp:lastModifiedBy>PIYATIDA PANITSUPAKAMOL</cp:lastModifiedBy>
  <cp:revision>2</cp:revision>
  <dcterms:created xsi:type="dcterms:W3CDTF">2024-09-06T03:57:00Z</dcterms:created>
  <dcterms:modified xsi:type="dcterms:W3CDTF">2024-09-06T03:57:00Z</dcterms:modified>
</cp:coreProperties>
</file>