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AD8AA" w14:textId="77777777" w:rsidR="009B42F9" w:rsidRPr="000A1286" w:rsidRDefault="009B42F9" w:rsidP="009B42F9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1136B113" w14:textId="77777777" w:rsidR="009B42F9" w:rsidRDefault="009B42F9" w:rsidP="009B42F9">
      <w:pPr>
        <w:pStyle w:val="HEADING1SMPC"/>
      </w:pPr>
      <w:r w:rsidRPr="008F5678">
        <w:t>NAME OF THE MEDICINAL PRODUCT</w:t>
      </w:r>
    </w:p>
    <w:p w14:paraId="7A33EC08" w14:textId="1BC2FDE3" w:rsidR="009B42F9" w:rsidRPr="00A4294B" w:rsidRDefault="009B42F9" w:rsidP="009B42F9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191660">
        <w:rPr>
          <w:rFonts w:ascii="Times New Roman" w:hAnsi="Times New Roman" w:cs="Times New Roman"/>
          <w:color w:val="FF0000"/>
          <w:sz w:val="28"/>
        </w:rPr>
        <w:t xml:space="preserve">&lt;Trade Name&gt; &lt;Strength&gt; </w:t>
      </w:r>
      <w:r>
        <w:rPr>
          <w:rFonts w:ascii="Times New Roman" w:hAnsi="Times New Roman" w:cs="Times New Roman"/>
          <w:sz w:val="28"/>
        </w:rPr>
        <w:t>t</w:t>
      </w:r>
      <w:r w:rsidRPr="00191660">
        <w:rPr>
          <w:rFonts w:ascii="Times New Roman" w:hAnsi="Times New Roman" w:cs="Times New Roman"/>
          <w:sz w:val="28"/>
        </w:rPr>
        <w:t>ablets</w:t>
      </w:r>
    </w:p>
    <w:p w14:paraId="34F2EFB6" w14:textId="77777777" w:rsidR="009B42F9" w:rsidRDefault="009B42F9" w:rsidP="009B42F9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66E2D5E2" w14:textId="03A31B9B" w:rsidR="009B42F9" w:rsidRDefault="009B42F9" w:rsidP="009B42F9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9B42F9">
        <w:rPr>
          <w:rFonts w:ascii="Times New Roman" w:hAnsi="Times New Roman" w:cs="Times New Roman"/>
          <w:sz w:val="28"/>
        </w:rPr>
        <w:t>Glipizide</w:t>
      </w:r>
      <w:r>
        <w:rPr>
          <w:rFonts w:ascii="Times New Roman" w:hAnsi="Times New Roman" w:cs="Times New Roman"/>
          <w:sz w:val="28"/>
        </w:rPr>
        <w:t xml:space="preserve"> 5 mg</w:t>
      </w:r>
    </w:p>
    <w:p w14:paraId="273424DB" w14:textId="77777777" w:rsidR="009B42F9" w:rsidRPr="00191660" w:rsidRDefault="009B42F9" w:rsidP="009B42F9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191660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1676B2AA" w14:textId="77777777" w:rsidR="009B42F9" w:rsidRPr="0085460F" w:rsidRDefault="009B42F9" w:rsidP="009B42F9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2B0D3B6" w14:textId="77777777" w:rsidR="009B42F9" w:rsidRPr="000A1286" w:rsidRDefault="009B42F9" w:rsidP="009B42F9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34B6D08C" w14:textId="77777777" w:rsidR="009B42F9" w:rsidRDefault="009B42F9" w:rsidP="009B42F9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646B661F" w14:textId="77777777" w:rsidR="009B42F9" w:rsidRDefault="009B42F9" w:rsidP="009B42F9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0739963F" w14:textId="77777777" w:rsidR="009B42F9" w:rsidRPr="0085460F" w:rsidRDefault="009B42F9" w:rsidP="009B42F9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745A057" w14:textId="77777777" w:rsidR="009B42F9" w:rsidRPr="008F5678" w:rsidRDefault="009B42F9" w:rsidP="009B42F9">
      <w:pPr>
        <w:pStyle w:val="HEADING1SMPC"/>
        <w:rPr>
          <w:szCs w:val="28"/>
        </w:rPr>
      </w:pPr>
      <w:r w:rsidRPr="008F5678">
        <w:t>CLINICAL PARTICULARS</w:t>
      </w:r>
    </w:p>
    <w:p w14:paraId="5524FEF3" w14:textId="77777777" w:rsidR="009B42F9" w:rsidRDefault="009B42F9" w:rsidP="009B42F9">
      <w:pPr>
        <w:pStyle w:val="SubHeafingSMPC"/>
        <w:spacing w:before="0"/>
        <w:ind w:left="0" w:firstLine="0"/>
      </w:pPr>
      <w:r w:rsidRPr="007F158B">
        <w:t>Therapeutic indications</w:t>
      </w:r>
    </w:p>
    <w:p w14:paraId="075585D9" w14:textId="252522DC" w:rsidR="009B42F9" w:rsidRPr="00A27C5D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9B42F9">
        <w:rPr>
          <w:rFonts w:cstheme="minorBidi"/>
          <w:b w:val="0"/>
          <w:bCs w:val="0"/>
        </w:rPr>
        <w:t>Glipizide is indicated as an adjunct to diet and exercise to improve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proofErr w:type="spellStart"/>
      <w:r w:rsidRPr="009B42F9">
        <w:rPr>
          <w:rFonts w:cstheme="minorBidi"/>
          <w:b w:val="0"/>
          <w:bCs w:val="0"/>
        </w:rPr>
        <w:t>glycaemic</w:t>
      </w:r>
      <w:proofErr w:type="spellEnd"/>
      <w:r w:rsidRPr="009B42F9">
        <w:rPr>
          <w:rFonts w:cstheme="minorBidi"/>
          <w:b w:val="0"/>
          <w:bCs w:val="0"/>
        </w:rPr>
        <w:t xml:space="preserve"> control in adults with type 2 diabetes mellitus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76FC99F0" w14:textId="77777777" w:rsidR="009B42F9" w:rsidRPr="00E26561" w:rsidRDefault="009B42F9" w:rsidP="009B42F9">
      <w:pPr>
        <w:pStyle w:val="SubHeafingSMPC"/>
        <w:spacing w:before="0"/>
        <w:ind w:left="57"/>
      </w:pPr>
      <w:r w:rsidRPr="008F5678">
        <w:t>Posology and method of administration</w:t>
      </w:r>
    </w:p>
    <w:p w14:paraId="5CB8E383" w14:textId="77777777" w:rsidR="009B42F9" w:rsidRDefault="009B42F9" w:rsidP="009B42F9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50E47C58" w14:textId="77777777" w:rsidR="009B42F9" w:rsidRPr="009B42F9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 w:rsidRPr="009B42F9">
        <w:rPr>
          <w:rFonts w:cstheme="minorBidi"/>
          <w:b w:val="0"/>
          <w:bCs w:val="0"/>
        </w:rPr>
        <w:tab/>
      </w:r>
      <w:r w:rsidRPr="009B42F9">
        <w:rPr>
          <w:b w:val="0"/>
          <w:bCs w:val="0"/>
        </w:rPr>
        <w:t xml:space="preserve">As for any </w:t>
      </w:r>
      <w:proofErr w:type="spellStart"/>
      <w:r w:rsidRPr="009B42F9">
        <w:rPr>
          <w:b w:val="0"/>
          <w:bCs w:val="0"/>
        </w:rPr>
        <w:t>hypoglycaemic</w:t>
      </w:r>
      <w:proofErr w:type="spellEnd"/>
      <w:r w:rsidRPr="009B42F9">
        <w:rPr>
          <w:b w:val="0"/>
          <w:bCs w:val="0"/>
        </w:rPr>
        <w:t xml:space="preserve"> agent, dosage must be adapted for each</w:t>
      </w:r>
      <w:r w:rsidRPr="009B42F9">
        <w:rPr>
          <w:b w:val="0"/>
          <w:bCs w:val="0"/>
        </w:rPr>
        <w:t xml:space="preserve"> </w:t>
      </w:r>
      <w:r w:rsidRPr="009B42F9">
        <w:rPr>
          <w:b w:val="0"/>
          <w:bCs w:val="0"/>
        </w:rPr>
        <w:tab/>
      </w:r>
      <w:r w:rsidRPr="009B42F9">
        <w:rPr>
          <w:b w:val="0"/>
          <w:bCs w:val="0"/>
        </w:rPr>
        <w:t>individual case.</w:t>
      </w:r>
    </w:p>
    <w:p w14:paraId="73A7F376" w14:textId="77777777" w:rsidR="009B42F9" w:rsidRPr="009B42F9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A3D0E21" w14:textId="77777777" w:rsidR="009B42F9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 w:rsidRPr="009B42F9">
        <w:rPr>
          <w:rFonts w:cstheme="minorBidi"/>
          <w:b w:val="0"/>
          <w:bCs w:val="0"/>
        </w:rPr>
        <w:tab/>
      </w:r>
      <w:r w:rsidRPr="009B42F9">
        <w:rPr>
          <w:b w:val="0"/>
          <w:bCs w:val="0"/>
        </w:rPr>
        <w:t>Short term administration of glipizide may be sufficient during periods</w:t>
      </w:r>
      <w:r w:rsidRPr="009B42F9">
        <w:rPr>
          <w:b w:val="0"/>
          <w:bCs w:val="0"/>
        </w:rPr>
        <w:t xml:space="preserve"> </w:t>
      </w:r>
      <w:r w:rsidRPr="009B42F9">
        <w:rPr>
          <w:b w:val="0"/>
          <w:bCs w:val="0"/>
        </w:rPr>
        <w:tab/>
      </w:r>
      <w:r w:rsidRPr="009B42F9">
        <w:rPr>
          <w:b w:val="0"/>
          <w:bCs w:val="0"/>
        </w:rPr>
        <w:t>of transient loss</w:t>
      </w:r>
      <w:r>
        <w:rPr>
          <w:rFonts w:cstheme="minorBidi"/>
          <w:b w:val="0"/>
          <w:bCs w:val="0"/>
        </w:rPr>
        <w:t xml:space="preserve"> </w:t>
      </w:r>
      <w:r w:rsidRPr="009B42F9">
        <w:rPr>
          <w:b w:val="0"/>
          <w:bCs w:val="0"/>
        </w:rPr>
        <w:t>of control in patients usually controlled well on diet.</w:t>
      </w:r>
    </w:p>
    <w:p w14:paraId="6FAF7C69" w14:textId="77777777" w:rsidR="009B42F9" w:rsidRPr="009B42F9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  <w:r>
        <w:rPr>
          <w:rFonts w:cstheme="minorBidi"/>
          <w:b w:val="0"/>
          <w:bCs w:val="0"/>
        </w:rPr>
        <w:tab/>
      </w:r>
    </w:p>
    <w:p w14:paraId="3EC289DD" w14:textId="77777777" w:rsidR="009B42F9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B42F9">
        <w:rPr>
          <w:b w:val="0"/>
          <w:bCs w:val="0"/>
        </w:rPr>
        <w:t>In general, glipizide should be given shortly before a meal to achieve the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9B42F9">
        <w:rPr>
          <w:b w:val="0"/>
          <w:bCs w:val="0"/>
        </w:rPr>
        <w:t>greatest</w:t>
      </w:r>
      <w:r>
        <w:rPr>
          <w:rFonts w:cstheme="minorBidi"/>
          <w:b w:val="0"/>
          <w:bCs w:val="0"/>
        </w:rPr>
        <w:t xml:space="preserve"> </w:t>
      </w:r>
      <w:r w:rsidRPr="009B42F9">
        <w:rPr>
          <w:b w:val="0"/>
          <w:bCs w:val="0"/>
        </w:rPr>
        <w:t xml:space="preserve">reduction in post-prandial </w:t>
      </w:r>
      <w:proofErr w:type="spellStart"/>
      <w:r w:rsidRPr="009B42F9">
        <w:rPr>
          <w:b w:val="0"/>
          <w:bCs w:val="0"/>
        </w:rPr>
        <w:t>hyperglycaemia</w:t>
      </w:r>
      <w:proofErr w:type="spellEnd"/>
      <w:r w:rsidRPr="009B42F9">
        <w:rPr>
          <w:b w:val="0"/>
          <w:bCs w:val="0"/>
        </w:rPr>
        <w:t>.</w:t>
      </w:r>
    </w:p>
    <w:p w14:paraId="62F83499" w14:textId="02CC73E8" w:rsidR="009B42F9" w:rsidRPr="009B42F9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9B42F9">
        <w:rPr>
          <w:b w:val="0"/>
          <w:bCs w:val="0"/>
          <w:u w:val="single"/>
        </w:rPr>
        <w:t xml:space="preserve">Initial </w:t>
      </w:r>
      <w:r w:rsidR="00A804F6">
        <w:rPr>
          <w:b w:val="0"/>
          <w:bCs w:val="0"/>
          <w:u w:val="single"/>
        </w:rPr>
        <w:t>d</w:t>
      </w:r>
      <w:r w:rsidRPr="009B42F9">
        <w:rPr>
          <w:b w:val="0"/>
          <w:bCs w:val="0"/>
          <w:u w:val="single"/>
        </w:rPr>
        <w:t>ose</w:t>
      </w:r>
    </w:p>
    <w:p w14:paraId="5309901F" w14:textId="77777777" w:rsidR="009B42F9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42F9">
        <w:rPr>
          <w:b w:val="0"/>
          <w:bCs w:val="0"/>
        </w:rPr>
        <w:t xml:space="preserve">The recommended starting dose is 5 mg, given before breakfast or the </w:t>
      </w:r>
      <w:r>
        <w:rPr>
          <w:b w:val="0"/>
          <w:bCs w:val="0"/>
        </w:rPr>
        <w:tab/>
      </w:r>
      <w:r w:rsidRPr="009B42F9">
        <w:rPr>
          <w:b w:val="0"/>
          <w:bCs w:val="0"/>
        </w:rPr>
        <w:t xml:space="preserve">midday meal. Mild diabetics, geriatric patients or those with liver disease </w:t>
      </w:r>
      <w:r>
        <w:rPr>
          <w:b w:val="0"/>
          <w:bCs w:val="0"/>
        </w:rPr>
        <w:tab/>
      </w:r>
      <w:r w:rsidRPr="009B42F9">
        <w:rPr>
          <w:b w:val="0"/>
          <w:bCs w:val="0"/>
        </w:rPr>
        <w:t>may be started on 2.5 mg.</w:t>
      </w:r>
    </w:p>
    <w:p w14:paraId="3BFDDFC6" w14:textId="77777777" w:rsidR="009B42F9" w:rsidRPr="009B42F9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3033274B" w14:textId="157E718B" w:rsidR="009B42F9" w:rsidRPr="009B42F9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9B42F9">
        <w:rPr>
          <w:b w:val="0"/>
          <w:bCs w:val="0"/>
          <w:u w:val="single"/>
        </w:rPr>
        <w:t>Titration</w:t>
      </w:r>
    </w:p>
    <w:p w14:paraId="7AED4E81" w14:textId="77777777" w:rsidR="009B42F9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42F9">
        <w:rPr>
          <w:b w:val="0"/>
          <w:bCs w:val="0"/>
        </w:rPr>
        <w:t xml:space="preserve">Dosage adjustments should ordinarily be in increments of 2.5 mg or 5 </w:t>
      </w:r>
      <w:r>
        <w:rPr>
          <w:b w:val="0"/>
          <w:bCs w:val="0"/>
        </w:rPr>
        <w:tab/>
      </w:r>
      <w:r w:rsidRPr="009B42F9">
        <w:rPr>
          <w:b w:val="0"/>
          <w:bCs w:val="0"/>
        </w:rPr>
        <w:t xml:space="preserve">mg, as determined by blood glucose response. At least several days </w:t>
      </w:r>
      <w:r>
        <w:rPr>
          <w:b w:val="0"/>
          <w:bCs w:val="0"/>
        </w:rPr>
        <w:tab/>
      </w:r>
      <w:r w:rsidRPr="009B42F9">
        <w:rPr>
          <w:b w:val="0"/>
          <w:bCs w:val="0"/>
        </w:rPr>
        <w:t xml:space="preserve">should elapse between titration steps. The maximum recommended </w:t>
      </w:r>
      <w:r>
        <w:rPr>
          <w:b w:val="0"/>
          <w:bCs w:val="0"/>
        </w:rPr>
        <w:tab/>
      </w:r>
      <w:r w:rsidRPr="009B42F9">
        <w:rPr>
          <w:b w:val="0"/>
          <w:bCs w:val="0"/>
        </w:rPr>
        <w:t xml:space="preserve">single dose is 15 mg. If this is not sufficient, splitting the daily dosage </w:t>
      </w:r>
      <w:r>
        <w:rPr>
          <w:b w:val="0"/>
          <w:bCs w:val="0"/>
        </w:rPr>
        <w:tab/>
      </w:r>
      <w:r w:rsidRPr="009B42F9">
        <w:rPr>
          <w:b w:val="0"/>
          <w:bCs w:val="0"/>
        </w:rPr>
        <w:t>may prove effective. Doses above 15 mg should ordinarily be divided.</w:t>
      </w:r>
    </w:p>
    <w:p w14:paraId="45F743D3" w14:textId="77777777" w:rsidR="009B42F9" w:rsidRPr="00A804F6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0C443D1A" w14:textId="77777777" w:rsidR="009B42F9" w:rsidRPr="00A804F6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9B42F9">
        <w:rPr>
          <w:b w:val="0"/>
          <w:bCs w:val="0"/>
          <w:u w:val="single"/>
        </w:rPr>
        <w:t>Maintenance</w:t>
      </w:r>
    </w:p>
    <w:p w14:paraId="4F07E301" w14:textId="77777777" w:rsidR="00A804F6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B42F9">
        <w:rPr>
          <w:b w:val="0"/>
          <w:bCs w:val="0"/>
        </w:rPr>
        <w:t>Some patients may be effectively controlled on a once-a-day regimen.</w:t>
      </w:r>
      <w:r w:rsidR="00A804F6">
        <w:rPr>
          <w:b w:val="0"/>
          <w:bCs w:val="0"/>
        </w:rPr>
        <w:t xml:space="preserve"> </w:t>
      </w:r>
      <w:r w:rsidR="00A804F6">
        <w:rPr>
          <w:b w:val="0"/>
          <w:bCs w:val="0"/>
        </w:rPr>
        <w:tab/>
      </w:r>
      <w:r w:rsidRPr="009B42F9">
        <w:rPr>
          <w:b w:val="0"/>
          <w:bCs w:val="0"/>
        </w:rPr>
        <w:t>Total daily dosage above 15 mg should ordinarily be divided.</w:t>
      </w:r>
    </w:p>
    <w:p w14:paraId="19BE15C1" w14:textId="77777777" w:rsidR="00A804F6" w:rsidRPr="00A804F6" w:rsidRDefault="00A804F6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57A2FDAE" w14:textId="77777777" w:rsidR="00A804F6" w:rsidRDefault="00A804F6" w:rsidP="00A804F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9B42F9" w:rsidRPr="009B42F9">
        <w:rPr>
          <w:b w:val="0"/>
          <w:bCs w:val="0"/>
        </w:rPr>
        <w:t>The maximum recommended daily dosage is 20 mg</w:t>
      </w:r>
      <w:r w:rsidR="009B42F9" w:rsidRPr="009B42F9">
        <w:rPr>
          <w:b w:val="0"/>
          <w:bCs w:val="0"/>
          <w:i/>
          <w:iCs/>
        </w:rPr>
        <w:t>.</w:t>
      </w:r>
    </w:p>
    <w:p w14:paraId="2A894FB3" w14:textId="77777777" w:rsidR="00A804F6" w:rsidRPr="00A804F6" w:rsidRDefault="00A804F6" w:rsidP="00A804F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3AC28954" w14:textId="33C0AB63" w:rsidR="00A804F6" w:rsidRPr="00A804F6" w:rsidRDefault="00A804F6" w:rsidP="00A804F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proofErr w:type="spellStart"/>
      <w:r w:rsidRPr="00A804F6">
        <w:rPr>
          <w:rFonts w:cstheme="minorBidi"/>
          <w:b w:val="0"/>
          <w:bCs w:val="0"/>
          <w:u w:val="single"/>
        </w:rPr>
        <w:t>Paediatric</w:t>
      </w:r>
      <w:proofErr w:type="spellEnd"/>
      <w:r w:rsidRPr="00A804F6">
        <w:rPr>
          <w:rFonts w:cstheme="minorBidi"/>
          <w:b w:val="0"/>
          <w:bCs w:val="0"/>
          <w:u w:val="single"/>
        </w:rPr>
        <w:t xml:space="preserve"> population</w:t>
      </w:r>
    </w:p>
    <w:p w14:paraId="3025C883" w14:textId="77777777" w:rsidR="00A804F6" w:rsidRDefault="00A804F6" w:rsidP="00A804F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Safety and effectiveness in children have not been established.</w:t>
      </w:r>
    </w:p>
    <w:p w14:paraId="32515FA3" w14:textId="77777777" w:rsidR="00A804F6" w:rsidRPr="00A804F6" w:rsidRDefault="00A804F6" w:rsidP="00A804F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20F5A686" w14:textId="6AAEF45B" w:rsidR="00A804F6" w:rsidRPr="00A804F6" w:rsidRDefault="00A804F6" w:rsidP="00A804F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804F6">
        <w:rPr>
          <w:rFonts w:cstheme="minorBidi"/>
          <w:b w:val="0"/>
          <w:bCs w:val="0"/>
          <w:u w:val="single"/>
        </w:rPr>
        <w:t xml:space="preserve">Use in </w:t>
      </w:r>
      <w:r>
        <w:rPr>
          <w:rFonts w:cstheme="minorBidi"/>
          <w:b w:val="0"/>
          <w:bCs w:val="0"/>
          <w:u w:val="single"/>
        </w:rPr>
        <w:t>e</w:t>
      </w:r>
      <w:r w:rsidRPr="00A804F6">
        <w:rPr>
          <w:rFonts w:cstheme="minorBidi"/>
          <w:b w:val="0"/>
          <w:bCs w:val="0"/>
          <w:u w:val="single"/>
        </w:rPr>
        <w:t xml:space="preserve">lderly and </w:t>
      </w:r>
      <w:r>
        <w:rPr>
          <w:rFonts w:cstheme="minorBidi"/>
          <w:b w:val="0"/>
          <w:bCs w:val="0"/>
          <w:u w:val="single"/>
        </w:rPr>
        <w:t>h</w:t>
      </w:r>
      <w:r w:rsidRPr="00A804F6">
        <w:rPr>
          <w:rFonts w:cstheme="minorBidi"/>
          <w:b w:val="0"/>
          <w:bCs w:val="0"/>
          <w:u w:val="single"/>
        </w:rPr>
        <w:t>igh-</w:t>
      </w:r>
      <w:r>
        <w:rPr>
          <w:rFonts w:cstheme="minorBidi"/>
          <w:b w:val="0"/>
          <w:bCs w:val="0"/>
          <w:u w:val="single"/>
        </w:rPr>
        <w:t>r</w:t>
      </w:r>
      <w:r w:rsidRPr="00A804F6">
        <w:rPr>
          <w:rFonts w:cstheme="minorBidi"/>
          <w:b w:val="0"/>
          <w:bCs w:val="0"/>
          <w:u w:val="single"/>
        </w:rPr>
        <w:t xml:space="preserve">isk </w:t>
      </w:r>
      <w:r>
        <w:rPr>
          <w:rFonts w:cstheme="minorBidi"/>
          <w:b w:val="0"/>
          <w:bCs w:val="0"/>
          <w:u w:val="single"/>
        </w:rPr>
        <w:t>p</w:t>
      </w:r>
      <w:r w:rsidRPr="00A804F6">
        <w:rPr>
          <w:rFonts w:cstheme="minorBidi"/>
          <w:b w:val="0"/>
          <w:bCs w:val="0"/>
          <w:u w:val="single"/>
        </w:rPr>
        <w:t>atients</w:t>
      </w:r>
    </w:p>
    <w:p w14:paraId="4EDC5BD8" w14:textId="77777777" w:rsidR="00A804F6" w:rsidRDefault="00A804F6" w:rsidP="00A804F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In elderly, debilitated and malnourished patients or patients with an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impaired renal or hepatic function, the initial and maintenance dosing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should be conservative to avoid </w:t>
      </w:r>
      <w:proofErr w:type="spellStart"/>
      <w:r w:rsidRPr="00A804F6">
        <w:rPr>
          <w:rFonts w:cstheme="minorBidi"/>
          <w:b w:val="0"/>
          <w:bCs w:val="0"/>
        </w:rPr>
        <w:t>hypoglycaemic</w:t>
      </w:r>
      <w:proofErr w:type="spellEnd"/>
      <w:r w:rsidRPr="00A804F6">
        <w:rPr>
          <w:rFonts w:cstheme="minorBidi"/>
          <w:b w:val="0"/>
          <w:bCs w:val="0"/>
        </w:rPr>
        <w:t xml:space="preserve"> reactions (see Initial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Dose and section 4.4).</w:t>
      </w:r>
    </w:p>
    <w:p w14:paraId="2F227DB8" w14:textId="77777777" w:rsidR="00A804F6" w:rsidRPr="00A804F6" w:rsidRDefault="00A804F6" w:rsidP="00A804F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7B5DB507" w14:textId="4730D7AA" w:rsidR="00A804F6" w:rsidRDefault="00A804F6" w:rsidP="00A804F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804F6">
        <w:rPr>
          <w:rFonts w:cstheme="minorBidi"/>
          <w:b w:val="0"/>
          <w:bCs w:val="0"/>
          <w:u w:val="single"/>
        </w:rPr>
        <w:t xml:space="preserve">Patients </w:t>
      </w:r>
      <w:r>
        <w:rPr>
          <w:rFonts w:cstheme="minorBidi"/>
          <w:b w:val="0"/>
          <w:bCs w:val="0"/>
          <w:u w:val="single"/>
        </w:rPr>
        <w:t>r</w:t>
      </w:r>
      <w:r w:rsidRPr="00A804F6">
        <w:rPr>
          <w:rFonts w:cstheme="minorBidi"/>
          <w:b w:val="0"/>
          <w:bCs w:val="0"/>
          <w:u w:val="single"/>
        </w:rPr>
        <w:t xml:space="preserve">eceiving </w:t>
      </w:r>
      <w:r>
        <w:rPr>
          <w:rFonts w:cstheme="minorBidi"/>
          <w:b w:val="0"/>
          <w:bCs w:val="0"/>
          <w:u w:val="single"/>
        </w:rPr>
        <w:t>o</w:t>
      </w:r>
      <w:r w:rsidRPr="00A804F6">
        <w:rPr>
          <w:rFonts w:cstheme="minorBidi"/>
          <w:b w:val="0"/>
          <w:bCs w:val="0"/>
          <w:u w:val="single"/>
        </w:rPr>
        <w:t xml:space="preserve">ther </w:t>
      </w:r>
      <w:r>
        <w:rPr>
          <w:rFonts w:cstheme="minorBidi"/>
          <w:b w:val="0"/>
          <w:bCs w:val="0"/>
          <w:u w:val="single"/>
        </w:rPr>
        <w:t>o</w:t>
      </w:r>
      <w:r w:rsidRPr="00A804F6">
        <w:rPr>
          <w:rFonts w:cstheme="minorBidi"/>
          <w:b w:val="0"/>
          <w:bCs w:val="0"/>
          <w:u w:val="single"/>
        </w:rPr>
        <w:t xml:space="preserve">ral </w:t>
      </w:r>
      <w:proofErr w:type="spellStart"/>
      <w:r>
        <w:rPr>
          <w:rFonts w:cstheme="minorBidi"/>
          <w:b w:val="0"/>
          <w:bCs w:val="0"/>
          <w:u w:val="single"/>
        </w:rPr>
        <w:t>h</w:t>
      </w:r>
      <w:r w:rsidRPr="00A804F6">
        <w:rPr>
          <w:rFonts w:cstheme="minorBidi"/>
          <w:b w:val="0"/>
          <w:bCs w:val="0"/>
          <w:u w:val="single"/>
        </w:rPr>
        <w:t>ypoglycaemic</w:t>
      </w:r>
      <w:proofErr w:type="spellEnd"/>
      <w:r w:rsidRPr="00A804F6">
        <w:rPr>
          <w:rFonts w:cstheme="minorBidi"/>
          <w:b w:val="0"/>
          <w:bCs w:val="0"/>
          <w:u w:val="single"/>
        </w:rPr>
        <w:t xml:space="preserve"> </w:t>
      </w:r>
      <w:r>
        <w:rPr>
          <w:rFonts w:cstheme="minorBidi"/>
          <w:b w:val="0"/>
          <w:bCs w:val="0"/>
          <w:u w:val="single"/>
        </w:rPr>
        <w:t>a</w:t>
      </w:r>
      <w:r w:rsidRPr="00A804F6">
        <w:rPr>
          <w:rFonts w:cstheme="minorBidi"/>
          <w:b w:val="0"/>
          <w:bCs w:val="0"/>
          <w:u w:val="single"/>
        </w:rPr>
        <w:t>gents</w:t>
      </w:r>
    </w:p>
    <w:p w14:paraId="632E2D4C" w14:textId="359015B5" w:rsidR="00A804F6" w:rsidRDefault="00A804F6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 w:rsidRPr="00A804F6">
        <w:rPr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As with other sulfonylurea class </w:t>
      </w:r>
      <w:proofErr w:type="spellStart"/>
      <w:r w:rsidRPr="00A804F6">
        <w:rPr>
          <w:rFonts w:cstheme="minorBidi"/>
          <w:b w:val="0"/>
          <w:bCs w:val="0"/>
        </w:rPr>
        <w:t>hypoglycaemics</w:t>
      </w:r>
      <w:proofErr w:type="spellEnd"/>
      <w:r w:rsidRPr="00A804F6">
        <w:rPr>
          <w:rFonts w:cstheme="minorBidi"/>
          <w:b w:val="0"/>
          <w:bCs w:val="0"/>
        </w:rPr>
        <w:t xml:space="preserve">, no transition period is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necessary when transferring patients to glipizide. Patients should be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observed carefully (1-2 weeks) for </w:t>
      </w:r>
      <w:proofErr w:type="spellStart"/>
      <w:r w:rsidRPr="00A804F6">
        <w:rPr>
          <w:rFonts w:cstheme="minorBidi"/>
          <w:b w:val="0"/>
          <w:bCs w:val="0"/>
        </w:rPr>
        <w:t>hypoglycaemia</w:t>
      </w:r>
      <w:proofErr w:type="spellEnd"/>
      <w:r w:rsidRPr="00A804F6">
        <w:rPr>
          <w:rFonts w:cstheme="minorBidi"/>
          <w:b w:val="0"/>
          <w:bCs w:val="0"/>
        </w:rPr>
        <w:t xml:space="preserve"> when being </w:t>
      </w:r>
      <w:r>
        <w:rPr>
          <w:rFonts w:cstheme="minorBidi"/>
          <w:b w:val="0"/>
          <w:bCs w:val="0"/>
        </w:rPr>
        <w:lastRenderedPageBreak/>
        <w:tab/>
      </w:r>
      <w:r w:rsidRPr="00A804F6">
        <w:rPr>
          <w:rFonts w:cstheme="minorBidi"/>
          <w:b w:val="0"/>
          <w:bCs w:val="0"/>
        </w:rPr>
        <w:t xml:space="preserve">transferred from longer half-life sulfonylureas (e.g. chlorpropamide) to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glipizide due to potential overlapping of drug effect.</w:t>
      </w:r>
    </w:p>
    <w:p w14:paraId="00322B8B" w14:textId="77777777" w:rsidR="00A804F6" w:rsidRPr="00A804F6" w:rsidRDefault="00A804F6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  <w:u w:val="single"/>
        </w:rPr>
      </w:pPr>
    </w:p>
    <w:p w14:paraId="255D1C60" w14:textId="77777777" w:rsidR="009B42F9" w:rsidRDefault="009B42F9" w:rsidP="009B42F9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44BE0E3A" w14:textId="1FBD14D7" w:rsidR="009B42F9" w:rsidRPr="004E6B0A" w:rsidRDefault="009B42F9" w:rsidP="009B42F9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</w:t>
      </w:r>
    </w:p>
    <w:p w14:paraId="4A34A781" w14:textId="77777777" w:rsidR="009B42F9" w:rsidRDefault="009B42F9" w:rsidP="009B42F9">
      <w:pPr>
        <w:pStyle w:val="SubHeafingSMPC"/>
        <w:ind w:left="57"/>
      </w:pPr>
      <w:r w:rsidRPr="008F5678">
        <w:t>Contraindications</w:t>
      </w:r>
    </w:p>
    <w:p w14:paraId="05D45E29" w14:textId="77777777" w:rsidR="00A804F6" w:rsidRDefault="00A804F6" w:rsidP="00A804F6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A804F6">
        <w:rPr>
          <w:b w:val="0"/>
          <w:bCs w:val="0"/>
          <w:lang w:eastAsia="zh-CN"/>
        </w:rPr>
        <w:t>Hypersensitivity to glipizide, other sulfonylureas or sulfonamides, or to any of</w:t>
      </w:r>
      <w:r>
        <w:rPr>
          <w:b w:val="0"/>
          <w:bCs w:val="0"/>
          <w:lang w:eastAsia="zh-CN"/>
        </w:rPr>
        <w:t xml:space="preserve"> </w:t>
      </w:r>
      <w:r w:rsidRPr="00A804F6">
        <w:rPr>
          <w:b w:val="0"/>
          <w:bCs w:val="0"/>
          <w:lang w:eastAsia="zh-CN"/>
        </w:rPr>
        <w:t>the excipients listed in section 6.1.</w:t>
      </w:r>
    </w:p>
    <w:p w14:paraId="7C546ACB" w14:textId="77777777" w:rsidR="00A804F6" w:rsidRDefault="00A804F6" w:rsidP="00A804F6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A804F6">
        <w:rPr>
          <w:b w:val="0"/>
          <w:bCs w:val="0"/>
          <w:lang w:eastAsia="zh-CN"/>
        </w:rPr>
        <w:t>Insulin-dependent diabetes mellitus, diabetic ketoacidosis,</w:t>
      </w:r>
      <w:r>
        <w:rPr>
          <w:b w:val="0"/>
          <w:bCs w:val="0"/>
          <w:lang w:eastAsia="zh-CN"/>
        </w:rPr>
        <w:t xml:space="preserve"> </w:t>
      </w:r>
      <w:r w:rsidRPr="00A804F6">
        <w:rPr>
          <w:b w:val="0"/>
          <w:bCs w:val="0"/>
          <w:lang w:eastAsia="zh-CN"/>
        </w:rPr>
        <w:t>diabetic coma.</w:t>
      </w:r>
    </w:p>
    <w:p w14:paraId="1F08C1D2" w14:textId="77777777" w:rsidR="00A804F6" w:rsidRDefault="00A804F6" w:rsidP="00A804F6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A804F6">
        <w:rPr>
          <w:b w:val="0"/>
          <w:bCs w:val="0"/>
          <w:lang w:eastAsia="zh-CN"/>
        </w:rPr>
        <w:t>Severe renal or hepatic insufficiency.</w:t>
      </w:r>
    </w:p>
    <w:p w14:paraId="6683D300" w14:textId="77777777" w:rsidR="00A804F6" w:rsidRDefault="00A804F6" w:rsidP="00A804F6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A804F6">
        <w:rPr>
          <w:b w:val="0"/>
          <w:bCs w:val="0"/>
          <w:lang w:eastAsia="zh-CN"/>
        </w:rPr>
        <w:t>Patients treated with miconazole (see section 4.5).</w:t>
      </w:r>
    </w:p>
    <w:p w14:paraId="76FE4F31" w14:textId="5F915C03" w:rsidR="009B42F9" w:rsidRPr="00A804F6" w:rsidRDefault="00A804F6" w:rsidP="00A804F6">
      <w:pPr>
        <w:pStyle w:val="SubHeafingSMPC"/>
        <w:numPr>
          <w:ilvl w:val="0"/>
          <w:numId w:val="2"/>
        </w:numPr>
        <w:rPr>
          <w:b w:val="0"/>
          <w:bCs w:val="0"/>
          <w:lang w:eastAsia="zh-CN"/>
        </w:rPr>
      </w:pPr>
      <w:r w:rsidRPr="00A804F6">
        <w:rPr>
          <w:b w:val="0"/>
          <w:bCs w:val="0"/>
          <w:lang w:eastAsia="zh-CN"/>
        </w:rPr>
        <w:t>Pregnancy and lactation</w:t>
      </w:r>
      <w:r w:rsidR="009B42F9" w:rsidRPr="00A804F6">
        <w:rPr>
          <w:b w:val="0"/>
          <w:bCs w:val="0"/>
          <w:lang w:eastAsia="zh-CN"/>
        </w:rPr>
        <w:t>.</w:t>
      </w:r>
    </w:p>
    <w:p w14:paraId="1530F9FF" w14:textId="77777777" w:rsidR="009B42F9" w:rsidRDefault="009B42F9" w:rsidP="009B42F9">
      <w:pPr>
        <w:pStyle w:val="SubHeafingSMPC"/>
        <w:ind w:left="57"/>
      </w:pPr>
      <w:r w:rsidRPr="008F5678">
        <w:t>Special warnings and precautions for use</w:t>
      </w:r>
    </w:p>
    <w:p w14:paraId="21C36C4A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mediumKashida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  <w:u w:val="single"/>
        </w:rPr>
        <w:t>Glucose-6-phosphate dehydrogenase deficiency</w:t>
      </w:r>
    </w:p>
    <w:p w14:paraId="29BA4C61" w14:textId="77777777" w:rsidR="00A804F6" w:rsidRDefault="00A804F6" w:rsidP="00A804F6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Since glipizide belongs to the class of sulfonylurea agents, caution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should be used in patients with G6PD deficiency. Treatment of patients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with G6PD deficiency with sulfonylurea agents can lead to </w:t>
      </w:r>
      <w:proofErr w:type="spellStart"/>
      <w:r w:rsidRPr="00A804F6">
        <w:rPr>
          <w:rFonts w:cstheme="minorBidi"/>
          <w:b w:val="0"/>
          <w:bCs w:val="0"/>
        </w:rPr>
        <w:t>haemolytic</w:t>
      </w:r>
      <w:proofErr w:type="spellEnd"/>
      <w:r w:rsidRPr="00A804F6"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proofErr w:type="spellStart"/>
      <w:r w:rsidRPr="00A804F6">
        <w:rPr>
          <w:rFonts w:cstheme="minorBidi"/>
          <w:b w:val="0"/>
          <w:bCs w:val="0"/>
        </w:rPr>
        <w:t>anaemia</w:t>
      </w:r>
      <w:proofErr w:type="spellEnd"/>
      <w:r w:rsidRPr="00A804F6">
        <w:rPr>
          <w:rFonts w:cstheme="minorBidi"/>
          <w:b w:val="0"/>
          <w:bCs w:val="0"/>
        </w:rPr>
        <w:t xml:space="preserve"> and a non-sulfonylurea alternative should be considered</w:t>
      </w:r>
      <w:r w:rsidR="009B42F9" w:rsidRPr="00A804F6">
        <w:rPr>
          <w:rFonts w:cstheme="minorBidi"/>
          <w:b w:val="0"/>
          <w:bCs w:val="0"/>
        </w:rPr>
        <w:t>.</w:t>
      </w:r>
    </w:p>
    <w:p w14:paraId="0597F9A2" w14:textId="77777777" w:rsidR="00A804F6" w:rsidRPr="00A804F6" w:rsidRDefault="00A804F6" w:rsidP="00A804F6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sz w:val="10"/>
          <w:szCs w:val="10"/>
        </w:rPr>
      </w:pPr>
    </w:p>
    <w:p w14:paraId="0007EB0C" w14:textId="77777777" w:rsidR="00A804F6" w:rsidRPr="00A804F6" w:rsidRDefault="00A804F6" w:rsidP="00A804F6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  <w:u w:val="single"/>
        </w:rPr>
        <w:t>Hypoglycaemia</w:t>
      </w:r>
    </w:p>
    <w:p w14:paraId="4504557E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All sulfonylurea agents </w:t>
      </w:r>
      <w:proofErr w:type="gramStart"/>
      <w:r w:rsidRPr="00A804F6">
        <w:rPr>
          <w:rFonts w:cstheme="minorBidi"/>
          <w:b w:val="0"/>
          <w:bCs w:val="0"/>
        </w:rPr>
        <w:t>are capable of producing</w:t>
      </w:r>
      <w:proofErr w:type="gramEnd"/>
      <w:r w:rsidRPr="00A804F6">
        <w:rPr>
          <w:rFonts w:cstheme="minorBidi"/>
          <w:b w:val="0"/>
          <w:bCs w:val="0"/>
        </w:rPr>
        <w:t xml:space="preserve"> severe </w:t>
      </w:r>
      <w:proofErr w:type="spellStart"/>
      <w:r w:rsidRPr="00A804F6">
        <w:rPr>
          <w:rFonts w:cstheme="minorBidi"/>
          <w:b w:val="0"/>
          <w:bCs w:val="0"/>
        </w:rPr>
        <w:t>hypoglycaemia</w:t>
      </w:r>
      <w:proofErr w:type="spellEnd"/>
      <w:r w:rsidRPr="00A804F6">
        <w:rPr>
          <w:rFonts w:cstheme="minorBidi"/>
          <w:b w:val="0"/>
          <w:bCs w:val="0"/>
        </w:rPr>
        <w:t>.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Renal or hepatic insufficiency may cause elevated blood levels of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glipizide and the latter may also diminish gluconeogenic capacity, both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of which increase the risk of serious </w:t>
      </w:r>
      <w:proofErr w:type="spellStart"/>
      <w:r w:rsidRPr="00A804F6">
        <w:rPr>
          <w:rFonts w:cstheme="minorBidi"/>
          <w:b w:val="0"/>
          <w:bCs w:val="0"/>
        </w:rPr>
        <w:t>hypoglycaemic</w:t>
      </w:r>
      <w:proofErr w:type="spellEnd"/>
      <w:r w:rsidRPr="00A804F6">
        <w:rPr>
          <w:rFonts w:cstheme="minorBidi"/>
          <w:b w:val="0"/>
          <w:bCs w:val="0"/>
        </w:rPr>
        <w:t xml:space="preserve"> reactions. </w:t>
      </w:r>
      <w:proofErr w:type="gramStart"/>
      <w:r w:rsidRPr="00A804F6">
        <w:rPr>
          <w:rFonts w:cstheme="minorBidi"/>
          <w:b w:val="0"/>
          <w:bCs w:val="0"/>
        </w:rPr>
        <w:t>Elderly,</w:t>
      </w:r>
      <w:proofErr w:type="gramEnd"/>
      <w:r w:rsidRPr="00A804F6"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debilitated or malnourished patients and those with adrenal or pituitary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insufficiency are particularly susceptible to the </w:t>
      </w:r>
      <w:proofErr w:type="spellStart"/>
      <w:r w:rsidRPr="00A804F6">
        <w:rPr>
          <w:rFonts w:cstheme="minorBidi"/>
          <w:b w:val="0"/>
          <w:bCs w:val="0"/>
        </w:rPr>
        <w:t>hypoglycaemic</w:t>
      </w:r>
      <w:proofErr w:type="spellEnd"/>
      <w:r w:rsidRPr="00A804F6">
        <w:rPr>
          <w:rFonts w:cstheme="minorBidi"/>
          <w:b w:val="0"/>
          <w:bCs w:val="0"/>
        </w:rPr>
        <w:t xml:space="preserve"> action of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glucose-lowering drugs.</w:t>
      </w:r>
    </w:p>
    <w:p w14:paraId="315D4946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A804F6">
        <w:rPr>
          <w:rFonts w:cstheme="minorBidi"/>
          <w:b w:val="0"/>
          <w:bCs w:val="0"/>
        </w:rPr>
        <w:t xml:space="preserve">Hypoglycaemia may be difficult to </w:t>
      </w:r>
      <w:proofErr w:type="spellStart"/>
      <w:r w:rsidRPr="00A804F6">
        <w:rPr>
          <w:rFonts w:cstheme="minorBidi"/>
          <w:b w:val="0"/>
          <w:bCs w:val="0"/>
        </w:rPr>
        <w:t>recognise</w:t>
      </w:r>
      <w:proofErr w:type="spellEnd"/>
      <w:r w:rsidRPr="00A804F6">
        <w:rPr>
          <w:rFonts w:cstheme="minorBidi"/>
          <w:b w:val="0"/>
          <w:bCs w:val="0"/>
        </w:rPr>
        <w:t xml:space="preserve"> in the elderly, and in people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who are taking beta-adrenergic blocking drugs (see section 4.5).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Hypoglycaemia is more likely to occur when caloric- intake is deficient,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after severe or prolonged exercise, when alcohol is ingested, or when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more than one glucose-lowering drug is used.</w:t>
      </w:r>
    </w:p>
    <w:p w14:paraId="01AA943A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B6BB4CC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Loss of control of blood glucose</w:t>
      </w:r>
    </w:p>
    <w:p w14:paraId="04414B1F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When a patient </w:t>
      </w:r>
      <w:proofErr w:type="spellStart"/>
      <w:r w:rsidRPr="00A804F6">
        <w:rPr>
          <w:rFonts w:cstheme="minorBidi"/>
          <w:b w:val="0"/>
          <w:bCs w:val="0"/>
        </w:rPr>
        <w:t>stabilised</w:t>
      </w:r>
      <w:proofErr w:type="spellEnd"/>
      <w:r w:rsidRPr="00A804F6">
        <w:rPr>
          <w:rFonts w:cstheme="minorBidi"/>
          <w:b w:val="0"/>
          <w:bCs w:val="0"/>
        </w:rPr>
        <w:t xml:space="preserve"> on a diabetic regimen is exposed to stress such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as fever, trauma, infection, or surgery, a loss of control may occur. At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such times, it may be necessary to discontinue glipizide and administer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insulin.</w:t>
      </w:r>
    </w:p>
    <w:p w14:paraId="35DE3A71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DAA1886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The effectiveness of any oral </w:t>
      </w:r>
      <w:proofErr w:type="spellStart"/>
      <w:r w:rsidRPr="00A804F6">
        <w:rPr>
          <w:rFonts w:cstheme="minorBidi"/>
          <w:b w:val="0"/>
          <w:bCs w:val="0"/>
        </w:rPr>
        <w:t>hypoglycaemic</w:t>
      </w:r>
      <w:proofErr w:type="spellEnd"/>
      <w:r w:rsidRPr="00A804F6">
        <w:rPr>
          <w:rFonts w:cstheme="minorBidi"/>
          <w:b w:val="0"/>
          <w:bCs w:val="0"/>
        </w:rPr>
        <w:t xml:space="preserve"> drug, including glipizide,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in lowering blood glucose to a desired level decreases in many patients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over </w:t>
      </w:r>
      <w:proofErr w:type="gramStart"/>
      <w:r w:rsidRPr="00A804F6">
        <w:rPr>
          <w:rFonts w:cstheme="minorBidi"/>
          <w:b w:val="0"/>
          <w:bCs w:val="0"/>
        </w:rPr>
        <w:t>a period of time</w:t>
      </w:r>
      <w:proofErr w:type="gramEnd"/>
      <w:r w:rsidRPr="00A804F6">
        <w:rPr>
          <w:rFonts w:cstheme="minorBidi"/>
          <w:b w:val="0"/>
          <w:bCs w:val="0"/>
        </w:rPr>
        <w:t xml:space="preserve">, which may be due to progression of the severity of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diabetes or due to diminished responsiveness to the drug. This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phenomenon is known as secondary failure, to distinguish it from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primary failure in which the drug is ineffective in an individual patient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when first given. Adequate adjustment of dose and adherence to diet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should be assessed before classifying a patient as a secondary failure.</w:t>
      </w:r>
    </w:p>
    <w:p w14:paraId="1B887DD7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AB816BF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  <w:u w:val="single"/>
        </w:rPr>
        <w:t>Renal and Hepatic Disease</w:t>
      </w:r>
    </w:p>
    <w:p w14:paraId="127A229C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The pharmacokinetics and/or pharmacodynamics of glipizide may be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affected in patients with impaired renal or hepatic function. If </w:t>
      </w:r>
      <w:r>
        <w:rPr>
          <w:rFonts w:cstheme="minorBidi"/>
          <w:b w:val="0"/>
          <w:bCs w:val="0"/>
        </w:rPr>
        <w:tab/>
      </w:r>
      <w:proofErr w:type="spellStart"/>
      <w:r w:rsidRPr="00A804F6">
        <w:rPr>
          <w:rFonts w:cstheme="minorBidi"/>
          <w:b w:val="0"/>
          <w:bCs w:val="0"/>
        </w:rPr>
        <w:t>hypoglycaemia</w:t>
      </w:r>
      <w:proofErr w:type="spellEnd"/>
      <w:r w:rsidRPr="00A804F6">
        <w:rPr>
          <w:rFonts w:cstheme="minorBidi"/>
          <w:b w:val="0"/>
          <w:bCs w:val="0"/>
        </w:rPr>
        <w:t xml:space="preserve"> should occur in such patients, it may be prolonged and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appropriate management should be instituted.</w:t>
      </w:r>
    </w:p>
    <w:p w14:paraId="60AB10DE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55DE6E1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  <w:u w:val="single"/>
        </w:rPr>
        <w:t>Information for Patients</w:t>
      </w:r>
    </w:p>
    <w:p w14:paraId="4D2A84B1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Patients should be informed of the potential risks and advantages of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glipizide and of alternative modes of therapy. They should also be </w:t>
      </w:r>
      <w:r>
        <w:rPr>
          <w:rFonts w:cstheme="minorBidi"/>
          <w:b w:val="0"/>
          <w:bCs w:val="0"/>
        </w:rPr>
        <w:lastRenderedPageBreak/>
        <w:tab/>
      </w:r>
      <w:r w:rsidRPr="00A804F6">
        <w:rPr>
          <w:rFonts w:cstheme="minorBidi"/>
          <w:b w:val="0"/>
          <w:bCs w:val="0"/>
        </w:rPr>
        <w:t xml:space="preserve">informed about the importance of adherence to dietary instructions, of a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regular exercise program, and of regular testing of urine and/or blood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glucose.</w:t>
      </w:r>
    </w:p>
    <w:p w14:paraId="46DD3618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E9BE7DB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The risks of </w:t>
      </w:r>
      <w:proofErr w:type="spellStart"/>
      <w:r w:rsidRPr="00A804F6">
        <w:rPr>
          <w:rFonts w:cstheme="minorBidi"/>
          <w:b w:val="0"/>
          <w:bCs w:val="0"/>
        </w:rPr>
        <w:t>hypoglycaemia</w:t>
      </w:r>
      <w:proofErr w:type="spellEnd"/>
      <w:r w:rsidRPr="00A804F6">
        <w:rPr>
          <w:rFonts w:cstheme="minorBidi"/>
          <w:b w:val="0"/>
          <w:bCs w:val="0"/>
        </w:rPr>
        <w:t xml:space="preserve">, its symptoms and treatment, and conditions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that predispose to its development should be explained to patients and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responsible family members. Primary and secondary failure should also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be explained.</w:t>
      </w:r>
    </w:p>
    <w:p w14:paraId="518C12CE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  <w:r>
        <w:rPr>
          <w:rFonts w:cstheme="minorBidi"/>
          <w:b w:val="0"/>
          <w:bCs w:val="0"/>
        </w:rPr>
        <w:tab/>
      </w:r>
    </w:p>
    <w:p w14:paraId="161B9A46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>Laboratory Tests</w:t>
      </w:r>
    </w:p>
    <w:p w14:paraId="07F8D28D" w14:textId="059B75A6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Blood and urine glucose should be monitored periodically. Measurement </w:t>
      </w:r>
      <w:r>
        <w:rPr>
          <w:rFonts w:cstheme="minorBidi"/>
          <w:b w:val="0"/>
          <w:bCs w:val="0"/>
        </w:rPr>
        <w:tab/>
      </w:r>
      <w:r w:rsidRPr="00A804F6">
        <w:rPr>
          <w:rFonts w:cstheme="minorBidi"/>
          <w:b w:val="0"/>
          <w:bCs w:val="0"/>
        </w:rPr>
        <w:t xml:space="preserve">of glycosylated </w:t>
      </w:r>
      <w:proofErr w:type="spellStart"/>
      <w:r w:rsidRPr="00A804F6">
        <w:rPr>
          <w:rFonts w:cstheme="minorBidi"/>
          <w:b w:val="0"/>
          <w:bCs w:val="0"/>
        </w:rPr>
        <w:t>haemoglobin</w:t>
      </w:r>
      <w:proofErr w:type="spellEnd"/>
      <w:r w:rsidRPr="00A804F6">
        <w:rPr>
          <w:rFonts w:cstheme="minorBidi"/>
          <w:b w:val="0"/>
          <w:bCs w:val="0"/>
        </w:rPr>
        <w:t xml:space="preserve"> may be useful.</w:t>
      </w:r>
    </w:p>
    <w:p w14:paraId="016F6137" w14:textId="53D6B6A5" w:rsidR="00A804F6" w:rsidRPr="00A804F6" w:rsidRDefault="00A804F6" w:rsidP="00A804F6">
      <w:pPr>
        <w:pStyle w:val="SubHeafingSMPC"/>
        <w:numPr>
          <w:ilvl w:val="0"/>
          <w:numId w:val="0"/>
        </w:numPr>
        <w:jc w:val="center"/>
        <w:rPr>
          <w:rFonts w:cstheme="minorBidi"/>
          <w:b w:val="0"/>
          <w:bCs w:val="0"/>
          <w:color w:val="FF0000"/>
        </w:rPr>
      </w:pPr>
      <w:r w:rsidRPr="00A804F6">
        <w:rPr>
          <w:rFonts w:cstheme="minorBidi"/>
          <w:b w:val="0"/>
          <w:bCs w:val="0"/>
          <w:color w:val="FF0000"/>
        </w:rPr>
        <w:t>&lt;Regarding the approval&gt;</w:t>
      </w:r>
    </w:p>
    <w:p w14:paraId="76AC8847" w14:textId="77777777" w:rsidR="009B42F9" w:rsidRPr="002C2ECF" w:rsidRDefault="009B42F9" w:rsidP="009B42F9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7650D2DB" w14:textId="77777777" w:rsidR="00A804F6" w:rsidRDefault="009B42F9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804F6" w:rsidRPr="00A804F6">
        <w:rPr>
          <w:b w:val="0"/>
          <w:bCs w:val="0"/>
        </w:rPr>
        <w:t xml:space="preserve">The following products are likely to increase the </w:t>
      </w:r>
      <w:proofErr w:type="spellStart"/>
      <w:r w:rsidR="00A804F6" w:rsidRPr="00A804F6">
        <w:rPr>
          <w:b w:val="0"/>
          <w:bCs w:val="0"/>
        </w:rPr>
        <w:t>hypoglycaemic</w:t>
      </w:r>
      <w:proofErr w:type="spellEnd"/>
      <w:r w:rsidR="00A804F6" w:rsidRPr="00A804F6">
        <w:rPr>
          <w:b w:val="0"/>
          <w:bCs w:val="0"/>
        </w:rPr>
        <w:t xml:space="preserve"> effect:</w:t>
      </w:r>
    </w:p>
    <w:p w14:paraId="40D20C21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A79AEF7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804F6">
        <w:rPr>
          <w:b w:val="0"/>
          <w:bCs w:val="0"/>
          <w:u w:val="single"/>
        </w:rPr>
        <w:t>Contraindicated combinations</w:t>
      </w:r>
    </w:p>
    <w:p w14:paraId="1C69606A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804F6">
        <w:rPr>
          <w:b w:val="0"/>
          <w:bCs w:val="0"/>
          <w:i/>
          <w:iCs/>
        </w:rPr>
        <w:t>Miconazole</w:t>
      </w:r>
      <w:r w:rsidRPr="00E731A3">
        <w:rPr>
          <w:b w:val="0"/>
          <w:bCs w:val="0"/>
          <w:i/>
          <w:iCs/>
        </w:rPr>
        <w:t>:</w:t>
      </w:r>
    </w:p>
    <w:p w14:paraId="6E38AECE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804F6">
        <w:rPr>
          <w:b w:val="0"/>
          <w:bCs w:val="0"/>
        </w:rPr>
        <w:t xml:space="preserve">Increase in </w:t>
      </w:r>
      <w:proofErr w:type="spellStart"/>
      <w:r w:rsidRPr="00A804F6">
        <w:rPr>
          <w:b w:val="0"/>
          <w:bCs w:val="0"/>
        </w:rPr>
        <w:t>hypoglycaemic</w:t>
      </w:r>
      <w:proofErr w:type="spellEnd"/>
      <w:r w:rsidRPr="00A804F6">
        <w:rPr>
          <w:b w:val="0"/>
          <w:bCs w:val="0"/>
        </w:rPr>
        <w:t xml:space="preserve"> effect, possibly leading to symptoms 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proofErr w:type="spellStart"/>
      <w:r w:rsidRPr="00A804F6">
        <w:rPr>
          <w:b w:val="0"/>
          <w:bCs w:val="0"/>
        </w:rPr>
        <w:t>hypoglycaemia</w:t>
      </w:r>
      <w:proofErr w:type="spellEnd"/>
      <w:r w:rsidRPr="00A804F6">
        <w:rPr>
          <w:b w:val="0"/>
          <w:bCs w:val="0"/>
        </w:rPr>
        <w:t xml:space="preserve"> or even coma.</w:t>
      </w:r>
    </w:p>
    <w:p w14:paraId="2E09E0AE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E190E20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804F6">
        <w:rPr>
          <w:b w:val="0"/>
          <w:bCs w:val="0"/>
          <w:u w:val="single"/>
        </w:rPr>
        <w:t>Inadvisable combinations</w:t>
      </w:r>
    </w:p>
    <w:p w14:paraId="5E98E55D" w14:textId="5CDD59DB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804F6">
        <w:rPr>
          <w:b w:val="0"/>
          <w:bCs w:val="0"/>
          <w:i/>
          <w:iCs/>
        </w:rPr>
        <w:t>Nonsteroidal Anti-inflammatory Drugs (e.g. phenylbutazone)</w:t>
      </w:r>
      <w:r w:rsidR="00E731A3" w:rsidRPr="00E731A3">
        <w:rPr>
          <w:b w:val="0"/>
          <w:bCs w:val="0"/>
          <w:i/>
          <w:iCs/>
        </w:rPr>
        <w:t>:</w:t>
      </w:r>
    </w:p>
    <w:p w14:paraId="472E79DE" w14:textId="77777777" w:rsid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804F6">
        <w:rPr>
          <w:b w:val="0"/>
          <w:bCs w:val="0"/>
        </w:rPr>
        <w:t xml:space="preserve">Increase in </w:t>
      </w:r>
      <w:proofErr w:type="spellStart"/>
      <w:r w:rsidRPr="00A804F6">
        <w:rPr>
          <w:b w:val="0"/>
          <w:bCs w:val="0"/>
        </w:rPr>
        <w:t>hypoglycaemic</w:t>
      </w:r>
      <w:proofErr w:type="spellEnd"/>
      <w:r w:rsidRPr="00A804F6">
        <w:rPr>
          <w:b w:val="0"/>
          <w:bCs w:val="0"/>
        </w:rPr>
        <w:t xml:space="preserve"> effect of sulfonylureas (displacement of </w:t>
      </w:r>
      <w:r>
        <w:rPr>
          <w:b w:val="0"/>
          <w:bCs w:val="0"/>
        </w:rPr>
        <w:tab/>
      </w:r>
      <w:r w:rsidRPr="00A804F6">
        <w:rPr>
          <w:b w:val="0"/>
          <w:bCs w:val="0"/>
        </w:rPr>
        <w:t xml:space="preserve">sulfonylurea binding to plasma proteins and/or decrease in sulfonylurea </w:t>
      </w:r>
      <w:r>
        <w:rPr>
          <w:b w:val="0"/>
          <w:bCs w:val="0"/>
        </w:rPr>
        <w:tab/>
      </w:r>
      <w:r w:rsidRPr="00A804F6">
        <w:rPr>
          <w:b w:val="0"/>
          <w:bCs w:val="0"/>
        </w:rPr>
        <w:t>elimination).</w:t>
      </w:r>
    </w:p>
    <w:p w14:paraId="622C906D" w14:textId="77777777" w:rsidR="00A804F6" w:rsidRPr="00A804F6" w:rsidRDefault="00A804F6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FB07B4B" w14:textId="32CD039F" w:rsidR="00A804F6" w:rsidRPr="00E731A3" w:rsidRDefault="00A804F6" w:rsidP="00A804F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A804F6">
        <w:rPr>
          <w:b w:val="0"/>
          <w:bCs w:val="0"/>
          <w:i/>
          <w:iCs/>
        </w:rPr>
        <w:t>Alcohol</w:t>
      </w:r>
      <w:r w:rsidR="00E731A3" w:rsidRPr="00E731A3">
        <w:rPr>
          <w:b w:val="0"/>
          <w:bCs w:val="0"/>
          <w:i/>
          <w:iCs/>
        </w:rPr>
        <w:t>:</w:t>
      </w:r>
    </w:p>
    <w:p w14:paraId="7E5FFB4F" w14:textId="77777777" w:rsidR="00E731A3" w:rsidRDefault="00A804F6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804F6">
        <w:rPr>
          <w:b w:val="0"/>
          <w:bCs w:val="0"/>
        </w:rPr>
        <w:t xml:space="preserve">Increase in </w:t>
      </w:r>
      <w:proofErr w:type="spellStart"/>
      <w:r w:rsidRPr="00A804F6">
        <w:rPr>
          <w:b w:val="0"/>
          <w:bCs w:val="0"/>
        </w:rPr>
        <w:t>hypoglycaemic</w:t>
      </w:r>
      <w:proofErr w:type="spellEnd"/>
      <w:r w:rsidRPr="00A804F6">
        <w:rPr>
          <w:b w:val="0"/>
          <w:bCs w:val="0"/>
        </w:rPr>
        <w:t xml:space="preserve"> reaction, which can lead to </w:t>
      </w:r>
      <w:proofErr w:type="spellStart"/>
      <w:r w:rsidRPr="00A804F6">
        <w:rPr>
          <w:b w:val="0"/>
          <w:bCs w:val="0"/>
        </w:rPr>
        <w:t>hypoglycaemic</w:t>
      </w:r>
      <w:proofErr w:type="spellEnd"/>
      <w:r w:rsidRPr="00A804F6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A804F6">
        <w:rPr>
          <w:b w:val="0"/>
          <w:bCs w:val="0"/>
        </w:rPr>
        <w:t>coma.</w:t>
      </w:r>
    </w:p>
    <w:p w14:paraId="5EAE44CF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E731A3">
        <w:rPr>
          <w:b w:val="0"/>
          <w:bCs w:val="0"/>
          <w:u w:val="single"/>
        </w:rPr>
        <w:t>Combinations requiring precaution</w:t>
      </w:r>
    </w:p>
    <w:p w14:paraId="019ED8D8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  <w:i/>
          <w:iCs/>
        </w:rPr>
        <w:t>Fluconazole</w:t>
      </w:r>
      <w:r w:rsidRPr="00E731A3">
        <w:rPr>
          <w:b w:val="0"/>
          <w:bCs w:val="0"/>
          <w:i/>
          <w:iCs/>
        </w:rPr>
        <w:t>:</w:t>
      </w:r>
    </w:p>
    <w:p w14:paraId="2956B845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Increase in the half-life of the sulfonylurea, possibly giving rise to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symptoms of </w:t>
      </w:r>
      <w:proofErr w:type="spellStart"/>
      <w:r w:rsidRPr="00E731A3">
        <w:rPr>
          <w:b w:val="0"/>
          <w:bCs w:val="0"/>
        </w:rPr>
        <w:t>hypoglycaemia.</w:t>
      </w:r>
      <w:proofErr w:type="spellEnd"/>
    </w:p>
    <w:p w14:paraId="26AA7DF4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D04F3EF" w14:textId="7658EE31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  <w:i/>
          <w:iCs/>
        </w:rPr>
        <w:t>Voriconazole</w:t>
      </w:r>
      <w:r w:rsidRPr="00E731A3">
        <w:rPr>
          <w:b w:val="0"/>
          <w:bCs w:val="0"/>
          <w:i/>
          <w:iCs/>
        </w:rPr>
        <w:t>:</w:t>
      </w:r>
    </w:p>
    <w:p w14:paraId="2EBFB279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Although not studied, voriconazole may increase the plasma levels of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sulfonylureas, (e.g. tolbutamide, glipizide and glyburide) and therefore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cause </w:t>
      </w:r>
      <w:proofErr w:type="spellStart"/>
      <w:r w:rsidRPr="00E731A3">
        <w:rPr>
          <w:b w:val="0"/>
          <w:bCs w:val="0"/>
        </w:rPr>
        <w:t>hypoglycaemia</w:t>
      </w:r>
      <w:proofErr w:type="spellEnd"/>
      <w:r w:rsidRPr="00E731A3">
        <w:rPr>
          <w:b w:val="0"/>
          <w:bCs w:val="0"/>
        </w:rPr>
        <w:t xml:space="preserve">. Careful monitoring of blood glucose is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recommended during co-administration.</w:t>
      </w:r>
    </w:p>
    <w:p w14:paraId="168D20F1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068B1A8" w14:textId="29759B9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  <w:i/>
          <w:iCs/>
        </w:rPr>
        <w:t>Salicylates (acetylsalicylic acid)</w:t>
      </w:r>
      <w:r w:rsidRPr="00E731A3">
        <w:rPr>
          <w:b w:val="0"/>
          <w:bCs w:val="0"/>
          <w:i/>
          <w:iCs/>
        </w:rPr>
        <w:t>:</w:t>
      </w:r>
    </w:p>
    <w:p w14:paraId="108BF864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Increase in </w:t>
      </w:r>
      <w:proofErr w:type="spellStart"/>
      <w:r w:rsidRPr="00E731A3">
        <w:rPr>
          <w:b w:val="0"/>
          <w:bCs w:val="0"/>
        </w:rPr>
        <w:t>hypoglycaemic</w:t>
      </w:r>
      <w:proofErr w:type="spellEnd"/>
      <w:r w:rsidRPr="00E731A3">
        <w:rPr>
          <w:b w:val="0"/>
          <w:bCs w:val="0"/>
        </w:rPr>
        <w:t xml:space="preserve"> effect by high doses of acetylsalicylic acid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(</w:t>
      </w:r>
      <w:proofErr w:type="spellStart"/>
      <w:r w:rsidRPr="00E731A3">
        <w:rPr>
          <w:b w:val="0"/>
          <w:bCs w:val="0"/>
        </w:rPr>
        <w:t>hypoglycaemic</w:t>
      </w:r>
      <w:proofErr w:type="spellEnd"/>
      <w:r w:rsidRPr="00E731A3">
        <w:rPr>
          <w:b w:val="0"/>
          <w:bCs w:val="0"/>
        </w:rPr>
        <w:t xml:space="preserve"> action of the acetylsalicylic acid).</w:t>
      </w:r>
    </w:p>
    <w:p w14:paraId="6D3A6F9B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9518BDF" w14:textId="1FDEC56D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  <w:i/>
          <w:iCs/>
        </w:rPr>
        <w:t>Beta-blockers</w:t>
      </w:r>
      <w:r w:rsidRPr="00E731A3">
        <w:rPr>
          <w:b w:val="0"/>
          <w:bCs w:val="0"/>
          <w:i/>
          <w:iCs/>
        </w:rPr>
        <w:t>:</w:t>
      </w:r>
    </w:p>
    <w:p w14:paraId="55B28F0D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All beta-blockers mask some of the symptoms of </w:t>
      </w:r>
      <w:proofErr w:type="spellStart"/>
      <w:r w:rsidRPr="00E731A3">
        <w:rPr>
          <w:b w:val="0"/>
          <w:bCs w:val="0"/>
        </w:rPr>
        <w:t>hypoglycaemia</w:t>
      </w:r>
      <w:proofErr w:type="spellEnd"/>
      <w:r w:rsidRPr="00E731A3">
        <w:rPr>
          <w:b w:val="0"/>
          <w:bCs w:val="0"/>
        </w:rPr>
        <w:t xml:space="preserve"> (i.e.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palpitations and tachycardia). Most non cardio selective beta-blockers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increase the incidence and severity of </w:t>
      </w:r>
      <w:proofErr w:type="spellStart"/>
      <w:r w:rsidRPr="00E731A3">
        <w:rPr>
          <w:b w:val="0"/>
          <w:bCs w:val="0"/>
        </w:rPr>
        <w:t>hypoglycaemia.</w:t>
      </w:r>
      <w:proofErr w:type="spellEnd"/>
    </w:p>
    <w:p w14:paraId="7338DED2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DCDA2FD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E731A3">
        <w:rPr>
          <w:b w:val="0"/>
          <w:bCs w:val="0"/>
          <w:i/>
          <w:iCs/>
        </w:rPr>
        <w:t>Angiotensin-converting Enzyme Inhibitors</w:t>
      </w:r>
      <w:r w:rsidRPr="00E731A3">
        <w:rPr>
          <w:b w:val="0"/>
          <w:bCs w:val="0"/>
          <w:i/>
          <w:iCs/>
        </w:rPr>
        <w:t>:</w:t>
      </w:r>
    </w:p>
    <w:p w14:paraId="1710205A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</w:rPr>
        <w:t xml:space="preserve">The use of angiotensin-converting enzyme inhibitors may lead to an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increased </w:t>
      </w:r>
      <w:proofErr w:type="spellStart"/>
      <w:r w:rsidRPr="00E731A3">
        <w:rPr>
          <w:b w:val="0"/>
          <w:bCs w:val="0"/>
        </w:rPr>
        <w:t>hypoglycaemic</w:t>
      </w:r>
      <w:proofErr w:type="spellEnd"/>
      <w:r w:rsidRPr="00E731A3">
        <w:rPr>
          <w:b w:val="0"/>
          <w:bCs w:val="0"/>
        </w:rPr>
        <w:t xml:space="preserve"> effect in diabetic patients treated with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sulfonylureas.</w:t>
      </w:r>
    </w:p>
    <w:p w14:paraId="38F7858E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521F0E55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  <w:i/>
          <w:iCs/>
        </w:rPr>
        <w:t>Cimetidine</w:t>
      </w:r>
      <w:r>
        <w:rPr>
          <w:b w:val="0"/>
          <w:bCs w:val="0"/>
          <w:i/>
          <w:iCs/>
        </w:rPr>
        <w:t>:</w:t>
      </w:r>
    </w:p>
    <w:p w14:paraId="022A3487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</w:rPr>
        <w:t xml:space="preserve">The use of cimetidine may be associated with a reduction in post prandial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blood glucose in patients treated with glipizide.</w:t>
      </w:r>
    </w:p>
    <w:p w14:paraId="35A59D0B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7919A463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</w:rPr>
        <w:t xml:space="preserve">The </w:t>
      </w:r>
      <w:proofErr w:type="spellStart"/>
      <w:r w:rsidRPr="00E731A3">
        <w:rPr>
          <w:b w:val="0"/>
          <w:bCs w:val="0"/>
        </w:rPr>
        <w:t>hypoglycaemic</w:t>
      </w:r>
      <w:proofErr w:type="spellEnd"/>
      <w:r w:rsidRPr="00E731A3">
        <w:rPr>
          <w:b w:val="0"/>
          <w:bCs w:val="0"/>
        </w:rPr>
        <w:t xml:space="preserve"> action of sulfonylureas, in general may also be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potentiated by monoamine oxidase inhibitors, quinolones and drugs that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lastRenderedPageBreak/>
        <w:tab/>
      </w:r>
      <w:r w:rsidRPr="00E731A3">
        <w:rPr>
          <w:b w:val="0"/>
          <w:bCs w:val="0"/>
        </w:rPr>
        <w:t xml:space="preserve">are highly protein bound, such as sulfonamides, chloramphenicol,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probenecid, coumarins and fibrates.</w:t>
      </w:r>
    </w:p>
    <w:p w14:paraId="7682B5D9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314B9174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</w:rPr>
        <w:t xml:space="preserve">When such drugs are administered to (or withdrawn from) a patient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receiving glipizide, the patient should be observed closely for </w:t>
      </w:r>
      <w:r>
        <w:rPr>
          <w:b w:val="0"/>
          <w:bCs w:val="0"/>
        </w:rPr>
        <w:tab/>
      </w:r>
      <w:proofErr w:type="spellStart"/>
      <w:r w:rsidRPr="00E731A3">
        <w:rPr>
          <w:b w:val="0"/>
          <w:bCs w:val="0"/>
        </w:rPr>
        <w:t>hypoglycaemia</w:t>
      </w:r>
      <w:proofErr w:type="spellEnd"/>
      <w:r w:rsidRPr="00E731A3">
        <w:rPr>
          <w:b w:val="0"/>
          <w:bCs w:val="0"/>
        </w:rPr>
        <w:t xml:space="preserve"> (or loss of control).</w:t>
      </w:r>
    </w:p>
    <w:p w14:paraId="1F06FA38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24B42EFF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</w:rPr>
        <w:t xml:space="preserve">The following products could lead to </w:t>
      </w:r>
      <w:proofErr w:type="spellStart"/>
      <w:r w:rsidRPr="00E731A3">
        <w:rPr>
          <w:b w:val="0"/>
          <w:bCs w:val="0"/>
        </w:rPr>
        <w:t>hyperglycaemia</w:t>
      </w:r>
      <w:proofErr w:type="spellEnd"/>
      <w:r w:rsidRPr="00E731A3">
        <w:rPr>
          <w:b w:val="0"/>
          <w:bCs w:val="0"/>
        </w:rPr>
        <w:t>:</w:t>
      </w:r>
    </w:p>
    <w:p w14:paraId="7F8B9639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6A484EC8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u w:val="single"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  <w:u w:val="single"/>
        </w:rPr>
        <w:t>Inadvisable combinations</w:t>
      </w:r>
    </w:p>
    <w:p w14:paraId="3F2CD262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  <w:i/>
          <w:iCs/>
        </w:rPr>
        <w:t>Danazol</w:t>
      </w:r>
      <w:r>
        <w:rPr>
          <w:b w:val="0"/>
          <w:bCs w:val="0"/>
          <w:i/>
          <w:iCs/>
        </w:rPr>
        <w:t>:</w:t>
      </w:r>
    </w:p>
    <w:p w14:paraId="2A029EED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</w:rPr>
        <w:t xml:space="preserve">Diabetogenic effect of danazol. If it cannot be avoided, warn the patient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and </w:t>
      </w:r>
      <w:proofErr w:type="gramStart"/>
      <w:r w:rsidRPr="00E731A3">
        <w:rPr>
          <w:b w:val="0"/>
          <w:bCs w:val="0"/>
        </w:rPr>
        <w:t>step up</w:t>
      </w:r>
      <w:proofErr w:type="gramEnd"/>
      <w:r w:rsidRPr="00E731A3">
        <w:rPr>
          <w:b w:val="0"/>
          <w:bCs w:val="0"/>
        </w:rPr>
        <w:t xml:space="preserve"> </w:t>
      </w:r>
      <w:proofErr w:type="spellStart"/>
      <w:r w:rsidRPr="00E731A3">
        <w:rPr>
          <w:b w:val="0"/>
          <w:bCs w:val="0"/>
        </w:rPr>
        <w:t>self monitoring</w:t>
      </w:r>
      <w:proofErr w:type="spellEnd"/>
      <w:r w:rsidRPr="00E731A3">
        <w:rPr>
          <w:b w:val="0"/>
          <w:bCs w:val="0"/>
        </w:rPr>
        <w:t xml:space="preserve"> of blood glucose and urine. Possibly adjust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the dosage of antidiabetic agent during treatment with danazol and after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its discontinuation.</w:t>
      </w:r>
    </w:p>
    <w:p w14:paraId="732863AE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513D14FA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u w:val="single"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  <w:u w:val="single"/>
        </w:rPr>
        <w:t>Combinations requiring precaution</w:t>
      </w:r>
    </w:p>
    <w:p w14:paraId="6DE76513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  <w:i/>
          <w:iCs/>
        </w:rPr>
        <w:t xml:space="preserve">Phenothiazines (e.g. chlorpromazine) at High Doses (&gt; 100 mg/day of </w:t>
      </w: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  <w:i/>
          <w:iCs/>
        </w:rPr>
        <w:t>chlorpromazine)</w:t>
      </w:r>
      <w:r>
        <w:rPr>
          <w:b w:val="0"/>
          <w:bCs w:val="0"/>
          <w:i/>
          <w:iCs/>
        </w:rPr>
        <w:t>:</w:t>
      </w:r>
    </w:p>
    <w:p w14:paraId="0705EB28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</w:rPr>
        <w:t>Elevation in blood glucose (reduction in insulin release).</w:t>
      </w:r>
    </w:p>
    <w:p w14:paraId="6D85359D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0684A5A6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  <w:i/>
          <w:iCs/>
        </w:rPr>
        <w:t>Corticosteroids</w:t>
      </w:r>
      <w:r>
        <w:rPr>
          <w:b w:val="0"/>
          <w:bCs w:val="0"/>
          <w:i/>
          <w:iCs/>
        </w:rPr>
        <w:t>:</w:t>
      </w:r>
    </w:p>
    <w:p w14:paraId="0DC31A22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</w:rPr>
        <w:t>Elevation in blood glucose.</w:t>
      </w:r>
    </w:p>
    <w:p w14:paraId="52FBA1A0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7DCCF6AC" w14:textId="580769E5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  <w:i/>
          <w:iCs/>
        </w:rPr>
        <w:t>Sympathomimetics (e.g. ritodrine, salbutamol, terbutaline)</w:t>
      </w:r>
      <w:r>
        <w:rPr>
          <w:b w:val="0"/>
          <w:bCs w:val="0"/>
          <w:i/>
          <w:iCs/>
        </w:rPr>
        <w:t>:</w:t>
      </w:r>
    </w:p>
    <w:p w14:paraId="08E9B518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</w:rPr>
        <w:t>Elevation in blood glucose due to beta-2-adrenoceptor stimulation.</w:t>
      </w:r>
    </w:p>
    <w:p w14:paraId="72DAACA4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2951A3BF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  <w:i/>
          <w:iCs/>
        </w:rPr>
        <w:t>Progestogens</w:t>
      </w:r>
      <w:r>
        <w:rPr>
          <w:b w:val="0"/>
          <w:bCs w:val="0"/>
          <w:i/>
          <w:iCs/>
        </w:rPr>
        <w:t>:</w:t>
      </w:r>
    </w:p>
    <w:p w14:paraId="461A41E8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ab/>
      </w:r>
      <w:r w:rsidRPr="00E731A3">
        <w:rPr>
          <w:b w:val="0"/>
          <w:bCs w:val="0"/>
        </w:rPr>
        <w:t xml:space="preserve">Diabetogenic effects of high-dose progestogens. Warn the patient and </w:t>
      </w:r>
      <w:r>
        <w:rPr>
          <w:b w:val="0"/>
          <w:bCs w:val="0"/>
        </w:rPr>
        <w:tab/>
      </w:r>
      <w:proofErr w:type="gramStart"/>
      <w:r w:rsidRPr="00E731A3">
        <w:rPr>
          <w:b w:val="0"/>
          <w:bCs w:val="0"/>
        </w:rPr>
        <w:t>step up</w:t>
      </w:r>
      <w:proofErr w:type="gramEnd"/>
      <w:r w:rsidRPr="00E731A3">
        <w:rPr>
          <w:b w:val="0"/>
          <w:bCs w:val="0"/>
        </w:rPr>
        <w:t xml:space="preserve"> self-monitoring of blood glucose and urine. Possibly adjust the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dosage of antidiabetic agent during treatment with the neuroleptics,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corticoids or progestogen and after discontinuation.</w:t>
      </w:r>
    </w:p>
    <w:p w14:paraId="0C043D0B" w14:textId="6B19EDE5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lastRenderedPageBreak/>
        <w:tab/>
      </w:r>
      <w:r w:rsidRPr="00E731A3">
        <w:rPr>
          <w:b w:val="0"/>
          <w:bCs w:val="0"/>
        </w:rPr>
        <w:t xml:space="preserve">Other drugs that may produce </w:t>
      </w:r>
      <w:proofErr w:type="spellStart"/>
      <w:r w:rsidRPr="00E731A3">
        <w:rPr>
          <w:b w:val="0"/>
          <w:bCs w:val="0"/>
        </w:rPr>
        <w:t>hyperglycaemia</w:t>
      </w:r>
      <w:proofErr w:type="spellEnd"/>
      <w:r w:rsidRPr="00E731A3">
        <w:rPr>
          <w:b w:val="0"/>
          <w:bCs w:val="0"/>
        </w:rPr>
        <w:t xml:space="preserve"> and lead to a loss of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control include the thiazides and other diuretics, thyroid products, </w:t>
      </w:r>
      <w:r>
        <w:rPr>
          <w:b w:val="0"/>
          <w:bCs w:val="0"/>
        </w:rPr>
        <w:tab/>
      </w:r>
      <w:proofErr w:type="spellStart"/>
      <w:r w:rsidRPr="00E731A3">
        <w:rPr>
          <w:b w:val="0"/>
          <w:bCs w:val="0"/>
        </w:rPr>
        <w:t>oestrogens</w:t>
      </w:r>
      <w:proofErr w:type="spellEnd"/>
      <w:r w:rsidRPr="00E731A3">
        <w:rPr>
          <w:b w:val="0"/>
          <w:bCs w:val="0"/>
        </w:rPr>
        <w:t xml:space="preserve">, oral contraceptives, phenytoin, nicotinic acid, calcium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channel blocking drugs, and isoniazid.</w:t>
      </w:r>
    </w:p>
    <w:p w14:paraId="0EEE7EB8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  <w:sz w:val="10"/>
          <w:szCs w:val="10"/>
        </w:rPr>
      </w:pPr>
    </w:p>
    <w:p w14:paraId="4955422C" w14:textId="53C19DBC" w:rsidR="00E731A3" w:rsidRPr="00E731A3" w:rsidRDefault="00E731A3" w:rsidP="009B42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When such drugs are administered to (or withdrawn from) a patient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receiving glipizide, the patient should be observed closely for </w:t>
      </w:r>
      <w:r>
        <w:rPr>
          <w:b w:val="0"/>
          <w:bCs w:val="0"/>
        </w:rPr>
        <w:tab/>
      </w:r>
      <w:proofErr w:type="spellStart"/>
      <w:r w:rsidRPr="00E731A3">
        <w:rPr>
          <w:b w:val="0"/>
          <w:bCs w:val="0"/>
        </w:rPr>
        <w:t>hypoglycaemia</w:t>
      </w:r>
      <w:proofErr w:type="spellEnd"/>
      <w:r w:rsidRPr="00E731A3">
        <w:rPr>
          <w:b w:val="0"/>
          <w:bCs w:val="0"/>
        </w:rPr>
        <w:t>.</w:t>
      </w:r>
    </w:p>
    <w:p w14:paraId="7B24C405" w14:textId="77777777" w:rsidR="009B42F9" w:rsidRDefault="009B42F9" w:rsidP="009B42F9">
      <w:pPr>
        <w:pStyle w:val="SubHeafingSMPC"/>
        <w:ind w:left="57"/>
      </w:pPr>
      <w:r w:rsidRPr="008F5678">
        <w:t>Fertility, pregnancy and lactation</w:t>
      </w:r>
    </w:p>
    <w:p w14:paraId="64820DFB" w14:textId="77777777" w:rsidR="00E731A3" w:rsidRDefault="009B42F9" w:rsidP="00E731A3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49ED1A53" w14:textId="77777777" w:rsidR="00E731A3" w:rsidRDefault="00E731A3" w:rsidP="00E731A3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 w:rsidRPr="00E731A3">
        <w:rPr>
          <w:b w:val="0"/>
          <w:bCs w:val="0"/>
        </w:rPr>
        <w:tab/>
      </w:r>
      <w:r w:rsidRPr="00E731A3">
        <w:rPr>
          <w:b w:val="0"/>
          <w:bCs w:val="0"/>
        </w:rPr>
        <w:t>Glipizide is contraindicated in pregnancy.</w:t>
      </w:r>
    </w:p>
    <w:p w14:paraId="0EA49033" w14:textId="77777777" w:rsidR="00E731A3" w:rsidRPr="00E731A3" w:rsidRDefault="00E731A3" w:rsidP="00E731A3">
      <w:pPr>
        <w:pStyle w:val="SubHeafingSMPC"/>
        <w:numPr>
          <w:ilvl w:val="0"/>
          <w:numId w:val="0"/>
        </w:numPr>
        <w:rPr>
          <w:b w:val="0"/>
          <w:bCs w:val="0"/>
          <w:sz w:val="10"/>
          <w:szCs w:val="10"/>
          <w:u w:val="single"/>
        </w:rPr>
      </w:pPr>
    </w:p>
    <w:p w14:paraId="7AAB197D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</w:rPr>
        <w:t>Glipizide was found to be mildly fetotoxic in rat reproductive studies.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No teratogenic effects were found in rat or rabbit studies.</w:t>
      </w:r>
    </w:p>
    <w:p w14:paraId="71842806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013F8F4" w14:textId="77777777" w:rsid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 w:rsidRPr="00E731A3">
        <w:rPr>
          <w:b w:val="0"/>
          <w:bCs w:val="0"/>
        </w:rPr>
        <w:tab/>
      </w:r>
      <w:r w:rsidRPr="00E731A3">
        <w:rPr>
          <w:b w:val="0"/>
          <w:bCs w:val="0"/>
        </w:rPr>
        <w:t xml:space="preserve">Prolonged severe </w:t>
      </w:r>
      <w:proofErr w:type="spellStart"/>
      <w:r w:rsidRPr="00E731A3">
        <w:rPr>
          <w:b w:val="0"/>
          <w:bCs w:val="0"/>
        </w:rPr>
        <w:t>hypoglycaemia</w:t>
      </w:r>
      <w:proofErr w:type="spellEnd"/>
      <w:r w:rsidRPr="00E731A3">
        <w:rPr>
          <w:b w:val="0"/>
          <w:bCs w:val="0"/>
        </w:rPr>
        <w:t xml:space="preserve"> (4- 10 days) has been reported in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neonates born to mothers who were receiving a sulfonylurea drug at the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time of delivery.</w:t>
      </w:r>
      <w:r>
        <w:rPr>
          <w:b w:val="0"/>
          <w:bCs w:val="0"/>
        </w:rPr>
        <w:t xml:space="preserve"> </w:t>
      </w:r>
    </w:p>
    <w:p w14:paraId="4A710B01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5A38E2AD" w14:textId="71EF22B6" w:rsidR="009B42F9" w:rsidRPr="00E731A3" w:rsidRDefault="00E731A3" w:rsidP="00E731A3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Because recent information suggests that abnormal blood glucose levels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during pregnancy are associated with a higher incidence of congenital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abnormalities, many experts recommend that insulin be used during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pregnancy to maintain blood glucose levels as close to normal as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possible</w:t>
      </w:r>
      <w:r w:rsidR="009B42F9" w:rsidRPr="00E731A3">
        <w:rPr>
          <w:b w:val="0"/>
          <w:bCs w:val="0"/>
        </w:rPr>
        <w:t xml:space="preserve">. </w:t>
      </w:r>
    </w:p>
    <w:p w14:paraId="535CF704" w14:textId="77777777" w:rsidR="009B42F9" w:rsidRPr="00091200" w:rsidRDefault="009B42F9" w:rsidP="009B42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07D2B12" w14:textId="77777777" w:rsidR="009B42F9" w:rsidRPr="00091200" w:rsidRDefault="009B42F9" w:rsidP="009B42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32C94259" w14:textId="3901B6EE" w:rsidR="009B42F9" w:rsidRPr="009126B5" w:rsidRDefault="009B42F9" w:rsidP="009B42F9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E731A3" w:rsidRPr="00E731A3">
        <w:rPr>
          <w:b w:val="0"/>
          <w:bCs w:val="0"/>
        </w:rPr>
        <w:t xml:space="preserve">No data are available on secretion into breast milk. </w:t>
      </w:r>
      <w:proofErr w:type="gramStart"/>
      <w:r w:rsidR="00E731A3" w:rsidRPr="00E731A3">
        <w:rPr>
          <w:b w:val="0"/>
          <w:bCs w:val="0"/>
        </w:rPr>
        <w:t>Therefore</w:t>
      </w:r>
      <w:proofErr w:type="gramEnd"/>
      <w:r w:rsidR="00E731A3" w:rsidRPr="00E731A3">
        <w:rPr>
          <w:b w:val="0"/>
          <w:bCs w:val="0"/>
        </w:rPr>
        <w:t xml:space="preserve"> glipizide </w:t>
      </w:r>
      <w:r w:rsidR="00E731A3">
        <w:rPr>
          <w:b w:val="0"/>
          <w:bCs w:val="0"/>
        </w:rPr>
        <w:tab/>
      </w:r>
      <w:r w:rsidR="00E731A3" w:rsidRPr="00E731A3">
        <w:rPr>
          <w:b w:val="0"/>
          <w:bCs w:val="0"/>
        </w:rPr>
        <w:t>is contraindicated in lactation</w:t>
      </w:r>
      <w:r w:rsidRPr="00091200">
        <w:rPr>
          <w:b w:val="0"/>
          <w:bCs w:val="0"/>
        </w:rPr>
        <w:t>.</w:t>
      </w:r>
    </w:p>
    <w:p w14:paraId="6E031A0F" w14:textId="77777777" w:rsidR="009B42F9" w:rsidRPr="009126B5" w:rsidRDefault="009B42F9" w:rsidP="009B42F9">
      <w:pPr>
        <w:pStyle w:val="SubHeafingSMPC"/>
        <w:ind w:left="57"/>
      </w:pPr>
      <w:r w:rsidRPr="008F5678">
        <w:t>Effects on ability to drive and use machines</w:t>
      </w:r>
    </w:p>
    <w:p w14:paraId="080BA777" w14:textId="50A027DC" w:rsidR="009B42F9" w:rsidRPr="002D59FE" w:rsidRDefault="009B42F9" w:rsidP="009B42F9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E731A3" w:rsidRPr="00E731A3">
        <w:rPr>
          <w:b w:val="0"/>
          <w:bCs w:val="0"/>
          <w:lang w:eastAsia="zh-CN"/>
        </w:rPr>
        <w:t xml:space="preserve">The effect of glipizide on the ability to drive or operate machines has not </w:t>
      </w:r>
      <w:r w:rsidR="00E731A3">
        <w:rPr>
          <w:b w:val="0"/>
          <w:bCs w:val="0"/>
          <w:lang w:eastAsia="zh-CN"/>
        </w:rPr>
        <w:tab/>
      </w:r>
      <w:r w:rsidR="00E731A3" w:rsidRPr="00E731A3">
        <w:rPr>
          <w:b w:val="0"/>
          <w:bCs w:val="0"/>
          <w:lang w:eastAsia="zh-CN"/>
        </w:rPr>
        <w:t xml:space="preserve">been studied; however, there is no evidence to suggest that glipizide may </w:t>
      </w:r>
      <w:r w:rsidR="00E731A3">
        <w:rPr>
          <w:b w:val="0"/>
          <w:bCs w:val="0"/>
          <w:lang w:eastAsia="zh-CN"/>
        </w:rPr>
        <w:lastRenderedPageBreak/>
        <w:tab/>
      </w:r>
      <w:r w:rsidR="00E731A3" w:rsidRPr="00E731A3">
        <w:rPr>
          <w:b w:val="0"/>
          <w:bCs w:val="0"/>
          <w:lang w:eastAsia="zh-CN"/>
        </w:rPr>
        <w:t xml:space="preserve">affect these abilities. Patients should be aware of the symptoms of </w:t>
      </w:r>
      <w:r w:rsidR="00E731A3">
        <w:rPr>
          <w:b w:val="0"/>
          <w:bCs w:val="0"/>
          <w:lang w:eastAsia="zh-CN"/>
        </w:rPr>
        <w:tab/>
      </w:r>
      <w:proofErr w:type="spellStart"/>
      <w:r w:rsidR="00E731A3" w:rsidRPr="00E731A3">
        <w:rPr>
          <w:b w:val="0"/>
          <w:bCs w:val="0"/>
          <w:lang w:eastAsia="zh-CN"/>
        </w:rPr>
        <w:t>hypoglycaemia</w:t>
      </w:r>
      <w:proofErr w:type="spellEnd"/>
      <w:r w:rsidR="00E731A3" w:rsidRPr="00E731A3">
        <w:rPr>
          <w:b w:val="0"/>
          <w:bCs w:val="0"/>
          <w:lang w:eastAsia="zh-CN"/>
        </w:rPr>
        <w:t xml:space="preserve"> and be careful about driving and the use of machines, </w:t>
      </w:r>
      <w:r w:rsidR="00E731A3">
        <w:rPr>
          <w:b w:val="0"/>
          <w:bCs w:val="0"/>
          <w:lang w:eastAsia="zh-CN"/>
        </w:rPr>
        <w:tab/>
      </w:r>
      <w:r w:rsidR="00E731A3" w:rsidRPr="00E731A3">
        <w:rPr>
          <w:b w:val="0"/>
          <w:bCs w:val="0"/>
          <w:lang w:eastAsia="zh-CN"/>
        </w:rPr>
        <w:t xml:space="preserve">especially when optimum </w:t>
      </w:r>
      <w:proofErr w:type="spellStart"/>
      <w:r w:rsidR="00E731A3" w:rsidRPr="00E731A3">
        <w:rPr>
          <w:b w:val="0"/>
          <w:bCs w:val="0"/>
          <w:lang w:eastAsia="zh-CN"/>
        </w:rPr>
        <w:t>stabilisation</w:t>
      </w:r>
      <w:proofErr w:type="spellEnd"/>
      <w:r w:rsidR="00E731A3" w:rsidRPr="00E731A3">
        <w:rPr>
          <w:b w:val="0"/>
          <w:bCs w:val="0"/>
          <w:lang w:eastAsia="zh-CN"/>
        </w:rPr>
        <w:t xml:space="preserve"> has not been achieved, for </w:t>
      </w:r>
      <w:r w:rsidR="00E731A3">
        <w:rPr>
          <w:b w:val="0"/>
          <w:bCs w:val="0"/>
          <w:lang w:eastAsia="zh-CN"/>
        </w:rPr>
        <w:tab/>
      </w:r>
      <w:r w:rsidR="00E731A3" w:rsidRPr="00E731A3">
        <w:rPr>
          <w:b w:val="0"/>
          <w:bCs w:val="0"/>
          <w:lang w:eastAsia="zh-CN"/>
        </w:rPr>
        <w:t xml:space="preserve">example during the change-over from other medications or during </w:t>
      </w:r>
      <w:r w:rsidR="00E731A3">
        <w:rPr>
          <w:b w:val="0"/>
          <w:bCs w:val="0"/>
          <w:lang w:eastAsia="zh-CN"/>
        </w:rPr>
        <w:tab/>
      </w:r>
      <w:r w:rsidR="00E731A3" w:rsidRPr="00E731A3">
        <w:rPr>
          <w:b w:val="0"/>
          <w:bCs w:val="0"/>
          <w:lang w:eastAsia="zh-CN"/>
        </w:rPr>
        <w:t>irregular use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42243701" w14:textId="77777777" w:rsidR="009B42F9" w:rsidRDefault="009B42F9" w:rsidP="009B42F9">
      <w:pPr>
        <w:pStyle w:val="SubHeafingSMPC"/>
        <w:ind w:left="57"/>
      </w:pPr>
      <w:r w:rsidRPr="008F5678">
        <w:t>Undesirable effects</w:t>
      </w:r>
    </w:p>
    <w:p w14:paraId="4C6E2433" w14:textId="42A0E833" w:rsidR="00E731A3" w:rsidRDefault="00E731A3" w:rsidP="00E731A3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tab/>
      </w:r>
      <w:r w:rsidRPr="00E731A3">
        <w:rPr>
          <w:b w:val="0"/>
          <w:bCs w:val="0"/>
        </w:rPr>
        <w:t xml:space="preserve">The majority of side effects have been </w:t>
      </w:r>
      <w:proofErr w:type="gramStart"/>
      <w:r w:rsidRPr="00E731A3">
        <w:rPr>
          <w:b w:val="0"/>
          <w:bCs w:val="0"/>
        </w:rPr>
        <w:t>dose</w:t>
      </w:r>
      <w:proofErr w:type="gramEnd"/>
      <w:r w:rsidRPr="00E731A3">
        <w:rPr>
          <w:b w:val="0"/>
          <w:bCs w:val="0"/>
        </w:rPr>
        <w:t xml:space="preserve"> related, transient,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and have responded to dose reduction or withdrawal of the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medication. However, clinical experience thus far has shown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that, as with other sulfonylureas, some side effects associated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with hypersensitivity may be severe and deaths have been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>reported in some instances.</w:t>
      </w:r>
    </w:p>
    <w:p w14:paraId="311267FC" w14:textId="77777777" w:rsidR="00E731A3" w:rsidRPr="00E731A3" w:rsidRDefault="00E731A3" w:rsidP="00E731A3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</w:p>
    <w:p w14:paraId="746ACD13" w14:textId="77777777" w:rsidR="00E731A3" w:rsidRDefault="00E731A3" w:rsidP="00E731A3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The reported adverse reactions, which may possibly be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associated with glipizide, are listed in the following table by </w:t>
      </w: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system organ class and frequency group: </w:t>
      </w:r>
    </w:p>
    <w:p w14:paraId="44CE11C9" w14:textId="77777777" w:rsidR="00E731A3" w:rsidRDefault="00E731A3" w:rsidP="00E731A3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Very common (≥1/10), Common (≥1/100 to &lt;1/10), </w:t>
      </w:r>
    </w:p>
    <w:p w14:paraId="2C29238A" w14:textId="77777777" w:rsidR="00A55699" w:rsidRDefault="00E731A3" w:rsidP="00A55699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Pr="00E731A3">
        <w:rPr>
          <w:b w:val="0"/>
          <w:bCs w:val="0"/>
        </w:rPr>
        <w:t xml:space="preserve">Uncommon (≥1/1,000 to &lt;1/100), Rare (≥1/10,000 to &lt; 1/1,000), </w:t>
      </w:r>
    </w:p>
    <w:p w14:paraId="6176D85C" w14:textId="77777777" w:rsidR="00A55699" w:rsidRDefault="00A55699" w:rsidP="00A55699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="00E731A3" w:rsidRPr="00E731A3">
        <w:rPr>
          <w:b w:val="0"/>
          <w:bCs w:val="0"/>
        </w:rPr>
        <w:t>Very rare (&lt; 1/10,000)</w:t>
      </w:r>
    </w:p>
    <w:p w14:paraId="025EF2BD" w14:textId="2B50B551" w:rsidR="009B42F9" w:rsidRDefault="00A55699" w:rsidP="00A55699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ab/>
      </w:r>
      <w:r w:rsidR="00E731A3" w:rsidRPr="00E731A3">
        <w:rPr>
          <w:b w:val="0"/>
          <w:bCs w:val="0"/>
        </w:rPr>
        <w:t>Not known (cannot be estimated from available data).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A55699" w14:paraId="45F1A36F" w14:textId="77777777" w:rsidTr="00A55699">
        <w:tc>
          <w:tcPr>
            <w:tcW w:w="8087" w:type="dxa"/>
          </w:tcPr>
          <w:p w14:paraId="44618E29" w14:textId="210A8954" w:rsidR="00A55699" w:rsidRPr="00A55699" w:rsidRDefault="00A55699" w:rsidP="00A55699">
            <w:pPr>
              <w:pStyle w:val="SubHeafingSMPC"/>
              <w:numPr>
                <w:ilvl w:val="0"/>
                <w:numId w:val="0"/>
              </w:numPr>
            </w:pPr>
            <w:r w:rsidRPr="00A55699">
              <w:t>Blood and lymphatic system disorders</w:t>
            </w:r>
          </w:p>
          <w:p w14:paraId="18A1DB1B" w14:textId="77777777" w:rsidR="00A55699" w:rsidRDefault="00A55699" w:rsidP="00A55699">
            <w:pPr>
              <w:pStyle w:val="SubHeafingSMPC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A55699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 xml:space="preserve">Leukopenia, agranulocytosis, thrombocytopenia, </w:t>
            </w:r>
            <w:proofErr w:type="spellStart"/>
            <w:r w:rsidRPr="00A55699">
              <w:rPr>
                <w:b w:val="0"/>
                <w:bCs w:val="0"/>
              </w:rPr>
              <w:t>haemolytic</w:t>
            </w:r>
            <w:proofErr w:type="spellEnd"/>
            <w:r w:rsidRPr="00A55699">
              <w:rPr>
                <w:b w:val="0"/>
                <w:bCs w:val="0"/>
              </w:rPr>
              <w:t xml:space="preserve"> </w:t>
            </w:r>
            <w:proofErr w:type="spellStart"/>
            <w:r w:rsidRPr="00A55699">
              <w:rPr>
                <w:b w:val="0"/>
                <w:bCs w:val="0"/>
              </w:rPr>
              <w:t>anaemia</w:t>
            </w:r>
            <w:proofErr w:type="spellEnd"/>
            <w:r w:rsidRPr="00A55699">
              <w:rPr>
                <w:b w:val="0"/>
                <w:bCs w:val="0"/>
              </w:rPr>
              <w:t>, pancytopenia</w:t>
            </w:r>
          </w:p>
          <w:p w14:paraId="7F46CE07" w14:textId="77777777" w:rsidR="00A55699" w:rsidRPr="00A55699" w:rsidRDefault="00A55699" w:rsidP="00A55699">
            <w:pPr>
              <w:pStyle w:val="SubHeafingSMPC"/>
              <w:numPr>
                <w:ilvl w:val="0"/>
                <w:numId w:val="0"/>
              </w:numPr>
              <w:ind w:left="57" w:hanging="57"/>
            </w:pPr>
            <w:r w:rsidRPr="00A55699">
              <w:t>Metabolism and nutrition disorders</w:t>
            </w:r>
          </w:p>
          <w:p w14:paraId="5858973F" w14:textId="77777777" w:rsidR="00A55699" w:rsidRDefault="00A55699" w:rsidP="00A55699">
            <w:pPr>
              <w:pStyle w:val="SubHeafingSMPC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A55699">
              <w:rPr>
                <w:b w:val="0"/>
                <w:bCs w:val="0"/>
              </w:rPr>
              <w:t>Common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Hypoglycaemia</w:t>
            </w:r>
          </w:p>
          <w:p w14:paraId="2AA97165" w14:textId="41DDF3C1" w:rsidR="00A55699" w:rsidRPr="00A55699" w:rsidRDefault="00A55699" w:rsidP="00A55699">
            <w:pPr>
              <w:pStyle w:val="SubHeafingSMPC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A55699">
              <w:rPr>
                <w:b w:val="0"/>
                <w:bCs w:val="0"/>
              </w:rPr>
              <w:t>Not known</w:t>
            </w:r>
            <w:r w:rsidRPr="00A55699"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Hyponatremia</w:t>
            </w:r>
          </w:p>
          <w:p w14:paraId="21380CE2" w14:textId="77777777" w:rsidR="00A55699" w:rsidRPr="00A55699" w:rsidRDefault="00A55699" w:rsidP="00A55699">
            <w:pPr>
              <w:pStyle w:val="SubHeafingSMPC"/>
              <w:numPr>
                <w:ilvl w:val="0"/>
                <w:numId w:val="0"/>
              </w:numPr>
            </w:pPr>
            <w:r w:rsidRPr="00A55699">
              <w:t>Psychiatric disorders</w:t>
            </w:r>
          </w:p>
          <w:p w14:paraId="6FB83816" w14:textId="174E202B" w:rsidR="00A55699" w:rsidRDefault="00A55699" w:rsidP="00A55699">
            <w:pPr>
              <w:pStyle w:val="SubHeafingSMPC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A55699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Confusional state</w:t>
            </w:r>
            <w:r>
              <w:rPr>
                <w:b w:val="0"/>
                <w:bCs w:val="0"/>
              </w:rPr>
              <w:t>#</w:t>
            </w:r>
          </w:p>
          <w:p w14:paraId="2D5BDD7E" w14:textId="77777777" w:rsidR="00A55699" w:rsidRPr="00A55699" w:rsidRDefault="00A55699" w:rsidP="00A55699">
            <w:pPr>
              <w:pStyle w:val="SubHeafingSMPC"/>
              <w:numPr>
                <w:ilvl w:val="0"/>
                <w:numId w:val="0"/>
              </w:numPr>
            </w:pPr>
            <w:r w:rsidRPr="00A55699">
              <w:lastRenderedPageBreak/>
              <w:t>Nervous system disorders</w:t>
            </w:r>
          </w:p>
          <w:p w14:paraId="57643B0F" w14:textId="0ADDA7B0" w:rsidR="00A55699" w:rsidRDefault="00A55699" w:rsidP="00A55699">
            <w:pPr>
              <w:pStyle w:val="SubHeafingSMPC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A55699">
              <w:rPr>
                <w:b w:val="0"/>
                <w:bCs w:val="0"/>
              </w:rPr>
              <w:t>Uncommon</w:t>
            </w:r>
            <w:r>
              <w:rPr>
                <w:b w:val="0"/>
                <w:bCs w:val="0"/>
              </w:rPr>
              <w:t>:</w:t>
            </w:r>
            <w:r w:rsidRPr="00A55699">
              <w:rPr>
                <w:b w:val="0"/>
                <w:bCs w:val="0"/>
              </w:rPr>
              <w:t xml:space="preserve"> Dizziness</w:t>
            </w:r>
            <w:r>
              <w:rPr>
                <w:b w:val="0"/>
                <w:bCs w:val="0"/>
              </w:rPr>
              <w:t>#</w:t>
            </w:r>
            <w:r w:rsidRPr="00A55699">
              <w:rPr>
                <w:b w:val="0"/>
                <w:bCs w:val="0"/>
              </w:rPr>
              <w:t>, somnolence</w:t>
            </w:r>
            <w:r>
              <w:rPr>
                <w:b w:val="0"/>
                <w:bCs w:val="0"/>
              </w:rPr>
              <w:t>#</w:t>
            </w:r>
            <w:r w:rsidRPr="00A55699">
              <w:rPr>
                <w:b w:val="0"/>
                <w:bCs w:val="0"/>
              </w:rPr>
              <w:t>, tremor</w:t>
            </w:r>
            <w:r>
              <w:rPr>
                <w:b w:val="0"/>
                <w:bCs w:val="0"/>
              </w:rPr>
              <w:t>#</w:t>
            </w:r>
          </w:p>
          <w:p w14:paraId="72F305DE" w14:textId="7476BB1D" w:rsidR="00A55699" w:rsidRDefault="00A55699" w:rsidP="00A55699">
            <w:pPr>
              <w:pStyle w:val="SubHeafingSMPC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A55699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>:</w:t>
            </w:r>
            <w:r w:rsidRPr="00A55699">
              <w:rPr>
                <w:b w:val="0"/>
                <w:bCs w:val="0"/>
              </w:rPr>
              <w:t xml:space="preserve"> Headache</w:t>
            </w:r>
            <w:r>
              <w:rPr>
                <w:b w:val="0"/>
                <w:bCs w:val="0"/>
              </w:rPr>
              <w:t>#</w:t>
            </w:r>
          </w:p>
          <w:p w14:paraId="1049697B" w14:textId="77777777" w:rsidR="00A55699" w:rsidRPr="00A55699" w:rsidRDefault="00A55699" w:rsidP="00A55699">
            <w:pPr>
              <w:pStyle w:val="SubHeafingSMPC"/>
              <w:numPr>
                <w:ilvl w:val="0"/>
                <w:numId w:val="0"/>
              </w:numPr>
            </w:pPr>
            <w:r w:rsidRPr="00A55699">
              <w:t>Eye disorders</w:t>
            </w:r>
          </w:p>
          <w:p w14:paraId="240A4D99" w14:textId="09F53FE0" w:rsidR="00A55699" w:rsidRDefault="00A55699" w:rsidP="00A55699">
            <w:pPr>
              <w:pStyle w:val="SubHeafingSMPC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A55699">
              <w:rPr>
                <w:b w:val="0"/>
                <w:bCs w:val="0"/>
              </w:rPr>
              <w:t>Uncommon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Vision blurred</w:t>
            </w:r>
            <w:r>
              <w:rPr>
                <w:b w:val="0"/>
                <w:bCs w:val="0"/>
              </w:rPr>
              <w:t>#</w:t>
            </w:r>
          </w:p>
          <w:p w14:paraId="33F38033" w14:textId="270A38C9" w:rsidR="00A55699" w:rsidRDefault="00A55699" w:rsidP="00A55699">
            <w:pPr>
              <w:pStyle w:val="SubHeafingSMPC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A55699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Diplopia</w:t>
            </w:r>
            <w:r>
              <w:rPr>
                <w:b w:val="0"/>
                <w:bCs w:val="0"/>
              </w:rPr>
              <w:t>#</w:t>
            </w:r>
            <w:r w:rsidRPr="00A55699">
              <w:rPr>
                <w:b w:val="0"/>
                <w:bCs w:val="0"/>
              </w:rPr>
              <w:t>, visual impairment</w:t>
            </w:r>
            <w:r>
              <w:rPr>
                <w:b w:val="0"/>
                <w:bCs w:val="0"/>
              </w:rPr>
              <w:t>#</w:t>
            </w:r>
            <w:r w:rsidRPr="00A55699">
              <w:rPr>
                <w:b w:val="0"/>
                <w:bCs w:val="0"/>
              </w:rPr>
              <w:t>, visual acuity reduced</w:t>
            </w:r>
            <w:r>
              <w:rPr>
                <w:b w:val="0"/>
                <w:bCs w:val="0"/>
              </w:rPr>
              <w:t>#</w:t>
            </w:r>
          </w:p>
          <w:p w14:paraId="426082FE" w14:textId="77777777" w:rsidR="00A55699" w:rsidRDefault="00A55699" w:rsidP="00A55699">
            <w:pPr>
              <w:pStyle w:val="SubHeafingSMPC"/>
              <w:numPr>
                <w:ilvl w:val="0"/>
                <w:numId w:val="0"/>
              </w:numPr>
            </w:pPr>
            <w:r w:rsidRPr="00A55699">
              <w:t>Gastrointestinal disorders</w:t>
            </w:r>
          </w:p>
          <w:p w14:paraId="341C1B98" w14:textId="74830FEA" w:rsidR="00A55699" w:rsidRPr="00A55699" w:rsidRDefault="00A55699" w:rsidP="00A55699">
            <w:pPr>
              <w:pStyle w:val="SubHeafingSMPC"/>
              <w:numPr>
                <w:ilvl w:val="0"/>
                <w:numId w:val="6"/>
              </w:numPr>
            </w:pPr>
            <w:r w:rsidRPr="00A55699">
              <w:rPr>
                <w:b w:val="0"/>
                <w:bCs w:val="0"/>
              </w:rPr>
              <w:t>Common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 xml:space="preserve">Nausea$, </w:t>
            </w:r>
            <w:proofErr w:type="spellStart"/>
            <w:r w:rsidRPr="00A55699">
              <w:rPr>
                <w:b w:val="0"/>
                <w:bCs w:val="0"/>
              </w:rPr>
              <w:t>diarrhoea</w:t>
            </w:r>
            <w:proofErr w:type="spellEnd"/>
            <w:r w:rsidRPr="00A55699">
              <w:rPr>
                <w:b w:val="0"/>
                <w:bCs w:val="0"/>
              </w:rPr>
              <w:t>$, abdominal pain and upper$,</w:t>
            </w:r>
            <w:r>
              <w:rPr>
                <w:b w:val="0"/>
                <w:bCs w:val="0"/>
              </w:rPr>
              <w:t xml:space="preserve"> </w:t>
            </w:r>
            <w:r w:rsidRPr="00A55699">
              <w:rPr>
                <w:b w:val="0"/>
                <w:bCs w:val="0"/>
              </w:rPr>
              <w:t>abdominal pain</w:t>
            </w:r>
          </w:p>
          <w:p w14:paraId="5C718A50" w14:textId="77777777" w:rsidR="00A55699" w:rsidRDefault="00A55699" w:rsidP="00A55699">
            <w:pPr>
              <w:pStyle w:val="SubHeafingSMPC"/>
              <w:numPr>
                <w:ilvl w:val="0"/>
                <w:numId w:val="6"/>
              </w:numPr>
            </w:pPr>
            <w:r w:rsidRPr="00A55699">
              <w:rPr>
                <w:b w:val="0"/>
                <w:bCs w:val="0"/>
              </w:rPr>
              <w:t>Uncommon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Vomiting</w:t>
            </w:r>
          </w:p>
          <w:p w14:paraId="670BA838" w14:textId="7C074DEC" w:rsidR="00A55699" w:rsidRPr="00A55699" w:rsidRDefault="00A55699" w:rsidP="00A55699">
            <w:pPr>
              <w:pStyle w:val="SubHeafingSMPC"/>
              <w:numPr>
                <w:ilvl w:val="0"/>
                <w:numId w:val="6"/>
              </w:numPr>
            </w:pPr>
            <w:r w:rsidRPr="00A55699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Constipation$</w:t>
            </w:r>
          </w:p>
          <w:p w14:paraId="34997B2E" w14:textId="77777777" w:rsidR="00A55699" w:rsidRDefault="00A55699" w:rsidP="00A55699">
            <w:pPr>
              <w:pStyle w:val="SubHeafingSMPC"/>
              <w:numPr>
                <w:ilvl w:val="0"/>
                <w:numId w:val="0"/>
              </w:numPr>
            </w:pPr>
            <w:r w:rsidRPr="00A55699">
              <w:t>Hepatobiliary disorders</w:t>
            </w:r>
          </w:p>
          <w:p w14:paraId="1CA8575A" w14:textId="1C3FDA85" w:rsidR="00A55699" w:rsidRDefault="00A55699" w:rsidP="00A55699">
            <w:pPr>
              <w:pStyle w:val="SubHeafingSMPC"/>
              <w:numPr>
                <w:ilvl w:val="0"/>
                <w:numId w:val="7"/>
              </w:numPr>
            </w:pPr>
            <w:r w:rsidRPr="00A55699">
              <w:rPr>
                <w:b w:val="0"/>
                <w:bCs w:val="0"/>
              </w:rPr>
              <w:t>Uncommon</w:t>
            </w:r>
            <w:r>
              <w:rPr>
                <w:b w:val="0"/>
                <w:bCs w:val="0"/>
              </w:rPr>
              <w:t>:</w:t>
            </w:r>
            <w:r w:rsidRPr="00A55699">
              <w:rPr>
                <w:b w:val="0"/>
                <w:bCs w:val="0"/>
              </w:rPr>
              <w:t xml:space="preserve"> Jaundice cholestatic†</w:t>
            </w:r>
          </w:p>
          <w:p w14:paraId="064779C3" w14:textId="77777777" w:rsidR="00A55699" w:rsidRDefault="00A55699" w:rsidP="00A55699">
            <w:pPr>
              <w:pStyle w:val="SubHeafingSMPC"/>
              <w:numPr>
                <w:ilvl w:val="0"/>
                <w:numId w:val="7"/>
              </w:numPr>
            </w:pPr>
            <w:r w:rsidRPr="00A55699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>:</w:t>
            </w:r>
            <w:r w:rsidRPr="00A55699">
              <w:rPr>
                <w:b w:val="0"/>
                <w:bCs w:val="0"/>
              </w:rPr>
              <w:t xml:space="preserve"> Hepatic function abnormal, hepatitis</w:t>
            </w:r>
          </w:p>
          <w:p w14:paraId="491752FE" w14:textId="77777777" w:rsidR="00A55699" w:rsidRDefault="00A55699" w:rsidP="00A55699">
            <w:pPr>
              <w:pStyle w:val="SubHeafingSMPC"/>
              <w:numPr>
                <w:ilvl w:val="0"/>
                <w:numId w:val="0"/>
              </w:numPr>
            </w:pPr>
            <w:r w:rsidRPr="00A55699">
              <w:t>Skin and subcutaneous tissue disorders</w:t>
            </w:r>
          </w:p>
          <w:p w14:paraId="3E9D3DA3" w14:textId="77777777" w:rsidR="00A55699" w:rsidRDefault="00A55699" w:rsidP="00A55699">
            <w:pPr>
              <w:pStyle w:val="SubHeafingSMPC"/>
              <w:numPr>
                <w:ilvl w:val="0"/>
                <w:numId w:val="8"/>
              </w:numPr>
            </w:pPr>
            <w:r w:rsidRPr="00A55699">
              <w:rPr>
                <w:b w:val="0"/>
                <w:bCs w:val="0"/>
              </w:rPr>
              <w:t>Uncommon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Eczema‡</w:t>
            </w:r>
          </w:p>
          <w:p w14:paraId="76369356" w14:textId="28C9D242" w:rsidR="00A55699" w:rsidRPr="00A55699" w:rsidRDefault="00A55699" w:rsidP="00A55699">
            <w:pPr>
              <w:pStyle w:val="SubHeafingSMPC"/>
              <w:numPr>
                <w:ilvl w:val="0"/>
                <w:numId w:val="8"/>
              </w:numPr>
            </w:pPr>
            <w:r w:rsidRPr="00A55699">
              <w:rPr>
                <w:b w:val="0"/>
                <w:bCs w:val="0"/>
              </w:rPr>
              <w:t>Not known</w:t>
            </w:r>
            <w:r w:rsidRPr="00A55699">
              <w:rPr>
                <w:b w:val="0"/>
                <w:bCs w:val="0"/>
              </w:rPr>
              <w:t>:</w:t>
            </w:r>
            <w:r w:rsidRPr="00A55699">
              <w:rPr>
                <w:b w:val="0"/>
                <w:bCs w:val="0"/>
              </w:rPr>
              <w:t xml:space="preserve"> Dermatitis allergic‡, erythema‡, rash</w:t>
            </w:r>
            <w:r>
              <w:rPr>
                <w:b w:val="0"/>
                <w:bCs w:val="0"/>
              </w:rPr>
              <w:t xml:space="preserve"> </w:t>
            </w:r>
            <w:r w:rsidRPr="00A55699">
              <w:rPr>
                <w:b w:val="0"/>
                <w:bCs w:val="0"/>
              </w:rPr>
              <w:t>morbilliform‡, rash</w:t>
            </w:r>
            <w:r>
              <w:t xml:space="preserve"> </w:t>
            </w:r>
            <w:r w:rsidRPr="00A55699">
              <w:rPr>
                <w:b w:val="0"/>
                <w:bCs w:val="0"/>
              </w:rPr>
              <w:t>maculopapular‡, urticaria‡, pruritus‡, photosensitivity reaction</w:t>
            </w:r>
          </w:p>
          <w:p w14:paraId="6E0CC71B" w14:textId="77777777" w:rsidR="00A55699" w:rsidRPr="00A55699" w:rsidRDefault="00A55699" w:rsidP="00A55699">
            <w:pPr>
              <w:pStyle w:val="SubHeafingSMPC"/>
              <w:numPr>
                <w:ilvl w:val="0"/>
                <w:numId w:val="0"/>
              </w:numPr>
            </w:pPr>
            <w:r w:rsidRPr="00A55699">
              <w:t>Congenital, familial and genetic disorders</w:t>
            </w:r>
          </w:p>
          <w:p w14:paraId="50F8D56B" w14:textId="77777777" w:rsidR="00A55699" w:rsidRDefault="00A55699" w:rsidP="00A55699">
            <w:pPr>
              <w:pStyle w:val="SubHeafingSMPC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A55699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Porphyria non-acute</w:t>
            </w:r>
          </w:p>
          <w:p w14:paraId="359E8EB6" w14:textId="77777777" w:rsidR="00A55699" w:rsidRPr="00A55699" w:rsidRDefault="00A55699" w:rsidP="00A55699">
            <w:pPr>
              <w:pStyle w:val="SubHeafingSMPC"/>
              <w:numPr>
                <w:ilvl w:val="0"/>
                <w:numId w:val="0"/>
              </w:numPr>
            </w:pPr>
            <w:r w:rsidRPr="00A55699">
              <w:t>General disorders and administration site conditions</w:t>
            </w:r>
          </w:p>
          <w:p w14:paraId="10FA075F" w14:textId="232D2E18" w:rsidR="00A55699" w:rsidRPr="00A55699" w:rsidRDefault="00A55699" w:rsidP="00A55699">
            <w:pPr>
              <w:pStyle w:val="SubHeafingSMPC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A55699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Malaise#</w:t>
            </w:r>
          </w:p>
          <w:p w14:paraId="3AB96385" w14:textId="77777777" w:rsidR="00A55699" w:rsidRDefault="00A55699" w:rsidP="00A55699">
            <w:pPr>
              <w:pStyle w:val="SubHeafingSMPC"/>
              <w:numPr>
                <w:ilvl w:val="0"/>
                <w:numId w:val="0"/>
              </w:numPr>
            </w:pPr>
            <w:r w:rsidRPr="00A55699">
              <w:t>Investigations</w:t>
            </w:r>
          </w:p>
          <w:p w14:paraId="2861AB34" w14:textId="40EB9A51" w:rsidR="00A55699" w:rsidRPr="00A55699" w:rsidRDefault="00A55699" w:rsidP="00EE7640">
            <w:pPr>
              <w:pStyle w:val="SubHeafingSMPC"/>
              <w:numPr>
                <w:ilvl w:val="0"/>
                <w:numId w:val="9"/>
              </w:numPr>
            </w:pPr>
            <w:r w:rsidRPr="00A55699">
              <w:rPr>
                <w:b w:val="0"/>
                <w:bCs w:val="0"/>
              </w:rPr>
              <w:t>Not known</w:t>
            </w:r>
            <w:r>
              <w:rPr>
                <w:b w:val="0"/>
                <w:bCs w:val="0"/>
              </w:rPr>
              <w:t xml:space="preserve">: </w:t>
            </w:r>
            <w:r w:rsidRPr="00A55699">
              <w:rPr>
                <w:b w:val="0"/>
                <w:bCs w:val="0"/>
              </w:rPr>
              <w:t>Aspartate aminotransferase increased</w:t>
            </w:r>
            <w:proofErr w:type="gramStart"/>
            <w:r w:rsidRPr="00A55699">
              <w:rPr>
                <w:b w:val="0"/>
                <w:bCs w:val="0"/>
              </w:rPr>
              <w:t xml:space="preserve">§, </w:t>
            </w:r>
            <w:r w:rsidR="00EE7640">
              <w:rPr>
                <w:b w:val="0"/>
                <w:bCs w:val="0"/>
              </w:rPr>
              <w:t xml:space="preserve">  </w:t>
            </w:r>
            <w:proofErr w:type="gramEnd"/>
            <w:r w:rsidR="00EE7640">
              <w:rPr>
                <w:b w:val="0"/>
                <w:bCs w:val="0"/>
              </w:rPr>
              <w:t xml:space="preserve">        </w:t>
            </w:r>
            <w:r w:rsidRPr="00A55699">
              <w:rPr>
                <w:b w:val="0"/>
                <w:bCs w:val="0"/>
              </w:rPr>
              <w:t>blood</w:t>
            </w:r>
            <w:r>
              <w:rPr>
                <w:b w:val="0"/>
                <w:bCs w:val="0"/>
              </w:rPr>
              <w:t xml:space="preserve"> </w:t>
            </w:r>
            <w:r w:rsidRPr="00A55699">
              <w:rPr>
                <w:b w:val="0"/>
                <w:bCs w:val="0"/>
              </w:rPr>
              <w:t>lactate dehydrogenase</w:t>
            </w:r>
            <w:r w:rsidR="00EE7640">
              <w:t xml:space="preserve"> </w:t>
            </w:r>
            <w:r w:rsidRPr="00EE7640">
              <w:rPr>
                <w:b w:val="0"/>
                <w:bCs w:val="0"/>
              </w:rPr>
              <w:t xml:space="preserve">increased§, blood alkaline </w:t>
            </w:r>
            <w:r w:rsidRPr="00EE7640">
              <w:rPr>
                <w:b w:val="0"/>
                <w:bCs w:val="0"/>
              </w:rPr>
              <w:lastRenderedPageBreak/>
              <w:t>phosphatase increased§, blood urea increased§, blood</w:t>
            </w:r>
            <w:r w:rsidR="00EE7640">
              <w:t xml:space="preserve"> </w:t>
            </w:r>
            <w:r w:rsidRPr="00EE7640">
              <w:rPr>
                <w:b w:val="0"/>
                <w:bCs w:val="0"/>
              </w:rPr>
              <w:t>creatinine increased§</w:t>
            </w:r>
          </w:p>
        </w:tc>
      </w:tr>
    </w:tbl>
    <w:p w14:paraId="18C3B4B8" w14:textId="77777777" w:rsid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EE7640">
        <w:rPr>
          <w:b w:val="0"/>
          <w:bCs w:val="0"/>
        </w:rPr>
        <w:t># This is usually transient and do not require discontinuance of therapy;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however, they may also be symptoms of </w:t>
      </w:r>
      <w:proofErr w:type="spellStart"/>
      <w:r w:rsidRPr="00EE7640">
        <w:rPr>
          <w:b w:val="0"/>
          <w:bCs w:val="0"/>
        </w:rPr>
        <w:t>hypoglycaemia</w:t>
      </w:r>
      <w:proofErr w:type="spellEnd"/>
      <w:r w:rsidRPr="00EE7640">
        <w:rPr>
          <w:b w:val="0"/>
          <w:bCs w:val="0"/>
        </w:rPr>
        <w:t>.</w:t>
      </w:r>
    </w:p>
    <w:p w14:paraId="2D43369C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E244C90" w14:textId="77777777" w:rsid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$ Appear to be dose related and usually disappear on division or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reduction of dosage. † Discontinue treatment if cholestatic jaundice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>occurs.</w:t>
      </w:r>
    </w:p>
    <w:p w14:paraId="376B7211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71462E2" w14:textId="77777777" w:rsid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>‡ They frequently disappear with continued therapy. However, if they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>persist, the drug should be discontinued.</w:t>
      </w:r>
    </w:p>
    <w:p w14:paraId="070F954D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6305B1A" w14:textId="77777777" w:rsid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§ The relationship of these abnormalities to glipizide is uncertain, and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>they have rarely been associated with clinical symptoms.</w:t>
      </w:r>
    </w:p>
    <w:p w14:paraId="462E18D2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E241E03" w14:textId="3C74EB74" w:rsidR="00A55699" w:rsidRPr="00E731A3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Aplastic </w:t>
      </w:r>
      <w:proofErr w:type="spellStart"/>
      <w:r w:rsidRPr="00EE7640">
        <w:rPr>
          <w:b w:val="0"/>
          <w:bCs w:val="0"/>
        </w:rPr>
        <w:t>anaemia</w:t>
      </w:r>
      <w:proofErr w:type="spellEnd"/>
      <w:r w:rsidRPr="00EE7640">
        <w:rPr>
          <w:b w:val="0"/>
          <w:bCs w:val="0"/>
        </w:rPr>
        <w:t xml:space="preserve"> and disulfiram-like reactions have been reported with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>other sulfonylureas.</w:t>
      </w:r>
    </w:p>
    <w:p w14:paraId="0F92FA2E" w14:textId="77777777" w:rsidR="009B42F9" w:rsidRPr="00091200" w:rsidRDefault="009B42F9" w:rsidP="009B42F9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14946F10" w14:textId="77777777" w:rsidR="009B42F9" w:rsidRPr="00091200" w:rsidRDefault="009B42F9" w:rsidP="009B42F9">
      <w:pPr>
        <w:pStyle w:val="SubHeafingSMPC"/>
        <w:numPr>
          <w:ilvl w:val="0"/>
          <w:numId w:val="0"/>
        </w:numPr>
        <w:jc w:val="thaiDistribute"/>
        <w:rPr>
          <w:u w:val="single"/>
        </w:rPr>
      </w:pPr>
      <w:r>
        <w:tab/>
      </w:r>
      <w:r w:rsidRPr="00091200">
        <w:rPr>
          <w:b w:val="0"/>
          <w:bCs w:val="0"/>
          <w:u w:val="single"/>
        </w:rPr>
        <w:t>Reporting of suspected adverse reactions</w:t>
      </w:r>
    </w:p>
    <w:p w14:paraId="1D7573B5" w14:textId="03B95B0F" w:rsidR="009B42F9" w:rsidRPr="00CE651D" w:rsidRDefault="009B42F9" w:rsidP="009B42F9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Reporting suspected adverse reactions after </w:t>
      </w:r>
      <w:proofErr w:type="spellStart"/>
      <w:r w:rsidR="00EE7640" w:rsidRPr="00EE7640">
        <w:rPr>
          <w:b w:val="0"/>
          <w:bCs w:val="0"/>
        </w:rPr>
        <w:t>authorisation</w:t>
      </w:r>
      <w:proofErr w:type="spellEnd"/>
      <w:r w:rsidR="00EE7640" w:rsidRPr="00EE7640">
        <w:rPr>
          <w:b w:val="0"/>
          <w:bCs w:val="0"/>
        </w:rPr>
        <w:t xml:space="preserve"> of the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medicinal product is important. It allows continued monitoring of the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benefit/risk balance of the medicinal product. Healthcare professionals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are asked to report any suspected adverse reactions via Health Product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>Vigilance Center; HPVC Thai FDA</w:t>
      </w:r>
      <w:r w:rsidRPr="007A555C">
        <w:rPr>
          <w:b w:val="0"/>
          <w:bCs w:val="0"/>
        </w:rPr>
        <w:t>.</w:t>
      </w:r>
    </w:p>
    <w:p w14:paraId="3DE4B7C0" w14:textId="77777777" w:rsidR="009B42F9" w:rsidRDefault="009B42F9" w:rsidP="009B42F9">
      <w:pPr>
        <w:pStyle w:val="SubHeafingSMPC"/>
        <w:ind w:left="0" w:firstLine="0"/>
      </w:pPr>
      <w:r w:rsidRPr="008F5678">
        <w:t>Overdose</w:t>
      </w:r>
    </w:p>
    <w:p w14:paraId="1A36C6A5" w14:textId="315197A2" w:rsidR="009B42F9" w:rsidRPr="00EE7640" w:rsidRDefault="009B42F9" w:rsidP="00EE764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EE7640" w:rsidRPr="00EE7640">
        <w:rPr>
          <w:rFonts w:cstheme="minorBidi"/>
          <w:b w:val="0"/>
          <w:bCs w:val="0"/>
        </w:rPr>
        <w:t xml:space="preserve">There is no well documented experience with glipizide overdosage.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Overdosage of sulfonylureas including glipizide can produce glycaemia.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Mild </w:t>
      </w:r>
      <w:proofErr w:type="spellStart"/>
      <w:r w:rsidR="00EE7640" w:rsidRPr="00EE7640">
        <w:rPr>
          <w:rFonts w:cstheme="minorBidi"/>
          <w:b w:val="0"/>
          <w:bCs w:val="0"/>
        </w:rPr>
        <w:t>hypoglycaemic</w:t>
      </w:r>
      <w:proofErr w:type="spellEnd"/>
      <w:r w:rsidR="00EE7640" w:rsidRPr="00EE7640">
        <w:rPr>
          <w:rFonts w:cstheme="minorBidi"/>
          <w:b w:val="0"/>
          <w:bCs w:val="0"/>
        </w:rPr>
        <w:t xml:space="preserve"> symptoms without loss of consciousness or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neurologic findings should be treated actively with oral glucose and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adjustments in drug dosage and/or meal patterns. Close monitoring </w:t>
      </w:r>
      <w:r w:rsidR="00EE7640">
        <w:rPr>
          <w:rFonts w:cstheme="minorBidi"/>
          <w:b w:val="0"/>
          <w:bCs w:val="0"/>
        </w:rPr>
        <w:lastRenderedPageBreak/>
        <w:tab/>
      </w:r>
      <w:r w:rsidR="00EE7640" w:rsidRPr="00EE7640">
        <w:rPr>
          <w:rFonts w:cstheme="minorBidi"/>
          <w:b w:val="0"/>
          <w:bCs w:val="0"/>
        </w:rPr>
        <w:t xml:space="preserve">should continue until the physician is assured that the patient is out of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danger. Severe </w:t>
      </w:r>
      <w:proofErr w:type="spellStart"/>
      <w:r w:rsidR="00EE7640" w:rsidRPr="00EE7640">
        <w:rPr>
          <w:rFonts w:cstheme="minorBidi"/>
          <w:b w:val="0"/>
          <w:bCs w:val="0"/>
        </w:rPr>
        <w:t>hypoglycaemic</w:t>
      </w:r>
      <w:proofErr w:type="spellEnd"/>
      <w:r w:rsidR="00EE7640" w:rsidRPr="00EE7640">
        <w:rPr>
          <w:rFonts w:cstheme="minorBidi"/>
          <w:b w:val="0"/>
          <w:bCs w:val="0"/>
        </w:rPr>
        <w:t xml:space="preserve"> reactions with coma, seizure, or other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neurological impairment occur infrequently, but constitute medical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emergencies requiring immediate </w:t>
      </w:r>
      <w:proofErr w:type="spellStart"/>
      <w:r w:rsidR="00EE7640" w:rsidRPr="00EE7640">
        <w:rPr>
          <w:rFonts w:cstheme="minorBidi"/>
          <w:b w:val="0"/>
          <w:bCs w:val="0"/>
        </w:rPr>
        <w:t>hospitalisation</w:t>
      </w:r>
      <w:proofErr w:type="spellEnd"/>
      <w:r w:rsidR="00EE7640" w:rsidRPr="00EE7640">
        <w:rPr>
          <w:rFonts w:cstheme="minorBidi"/>
          <w:b w:val="0"/>
          <w:bCs w:val="0"/>
        </w:rPr>
        <w:t xml:space="preserve">. If </w:t>
      </w:r>
      <w:proofErr w:type="spellStart"/>
      <w:r w:rsidR="00EE7640" w:rsidRPr="00EE7640">
        <w:rPr>
          <w:rFonts w:cstheme="minorBidi"/>
          <w:b w:val="0"/>
          <w:bCs w:val="0"/>
        </w:rPr>
        <w:t>hypoglycaemic</w:t>
      </w:r>
      <w:proofErr w:type="spellEnd"/>
      <w:r w:rsidR="00EE7640" w:rsidRPr="00EE7640">
        <w:rPr>
          <w:rFonts w:cstheme="minorBidi"/>
          <w:b w:val="0"/>
          <w:bCs w:val="0"/>
        </w:rPr>
        <w:t xml:space="preserve">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coma is diagnosed or suspected, the patient should be given a rapid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intravenous injection of concentrated (50 %) glucose solution. This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should be followed by a continuous infusion of a more dilute (10 %)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glucose solution at a rate that will maintain the blood glucose at a level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above 100 mg/dL (5.55 mmol/L). Patients should be closely monitored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for a minimum of 48 hours and depending on the status of the patient at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this time the physician should decide whether further monitoring is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required. Clearance of glipizide from plasma may be prolonged in people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 xml:space="preserve">with liver disease. Because of the extensive protein binding of glipizide, </w:t>
      </w:r>
      <w:r w:rsidR="00EE7640">
        <w:rPr>
          <w:rFonts w:cstheme="minorBidi"/>
          <w:b w:val="0"/>
          <w:bCs w:val="0"/>
        </w:rPr>
        <w:tab/>
      </w:r>
      <w:r w:rsidR="00EE7640" w:rsidRPr="00EE7640">
        <w:rPr>
          <w:rFonts w:cstheme="minorBidi"/>
          <w:b w:val="0"/>
          <w:bCs w:val="0"/>
        </w:rPr>
        <w:t>dialysis is unlikely to be of benefit</w:t>
      </w:r>
      <w:r w:rsidRPr="00EE7640">
        <w:rPr>
          <w:rFonts w:cstheme="minorBidi"/>
          <w:b w:val="0"/>
          <w:bCs w:val="0"/>
        </w:rPr>
        <w:t>.</w:t>
      </w:r>
    </w:p>
    <w:p w14:paraId="426F6D40" w14:textId="77777777" w:rsidR="009B42F9" w:rsidRPr="008F5678" w:rsidRDefault="009B42F9" w:rsidP="009B42F9">
      <w:pPr>
        <w:pStyle w:val="HEADING1SMPC"/>
      </w:pPr>
      <w:r w:rsidRPr="008F5678">
        <w:t xml:space="preserve">PHARMACOLOGICAL PROPERTIES </w:t>
      </w:r>
    </w:p>
    <w:p w14:paraId="47BF0AC3" w14:textId="77777777" w:rsidR="009B42F9" w:rsidRDefault="009B42F9" w:rsidP="009B42F9">
      <w:pPr>
        <w:pStyle w:val="SubHeafingSMPC"/>
        <w:ind w:left="57"/>
      </w:pPr>
      <w:r w:rsidRPr="008F5678">
        <w:t>Pharmacodynamic properties</w:t>
      </w:r>
    </w:p>
    <w:p w14:paraId="0FE92CF4" w14:textId="18C0D363" w:rsidR="009B42F9" w:rsidRPr="00EE7640" w:rsidRDefault="009B42F9" w:rsidP="009B42F9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  <w:r w:rsidR="00EE7640">
        <w:rPr>
          <w:b w:val="0"/>
          <w:bCs w:val="0"/>
          <w:i/>
          <w:iCs/>
        </w:rPr>
        <w:t xml:space="preserve"> </w:t>
      </w:r>
      <w:r w:rsidR="00EE7640" w:rsidRPr="00EE7640">
        <w:rPr>
          <w:b w:val="0"/>
          <w:bCs w:val="0"/>
        </w:rPr>
        <w:t xml:space="preserve">Drugs used in diabetes, blood glucose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>lowering drugs excl. insulins, sulfonylureas, ATC code: A10BB07.</w:t>
      </w:r>
    </w:p>
    <w:p w14:paraId="7F6E37DF" w14:textId="77777777" w:rsidR="009B42F9" w:rsidRPr="00D466B7" w:rsidRDefault="009B42F9" w:rsidP="009B42F9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75932F39" w14:textId="77777777" w:rsidR="00EE7640" w:rsidRDefault="009B42F9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Glipizide is an oral blood -glucose -lowering drug of the sulfonylurea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class. The primary mode of action of glipizide is the stimulation of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insulin secretion from the </w:t>
      </w:r>
      <w:proofErr w:type="spellStart"/>
      <w:r w:rsidR="00EE7640" w:rsidRPr="00EE7640">
        <w:rPr>
          <w:b w:val="0"/>
          <w:bCs w:val="0"/>
        </w:rPr>
        <w:t>betacells</w:t>
      </w:r>
      <w:proofErr w:type="spellEnd"/>
      <w:r w:rsidR="00EE7640" w:rsidRPr="00EE7640">
        <w:rPr>
          <w:b w:val="0"/>
          <w:bCs w:val="0"/>
        </w:rPr>
        <w:t xml:space="preserve"> of pancreatic islet tissue. Stimulation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of insulin secretion by glipizide in response to a meal is of major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importance. Fasting insulin levels are not elevated even on </w:t>
      </w:r>
      <w:proofErr w:type="spellStart"/>
      <w:r w:rsidR="00EE7640" w:rsidRPr="00EE7640">
        <w:rPr>
          <w:b w:val="0"/>
          <w:bCs w:val="0"/>
        </w:rPr>
        <w:t>longterm</w:t>
      </w:r>
      <w:proofErr w:type="spellEnd"/>
      <w:r w:rsidR="00EE7640" w:rsidRPr="00EE7640">
        <w:rPr>
          <w:b w:val="0"/>
          <w:bCs w:val="0"/>
        </w:rPr>
        <w:t xml:space="preserve">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glipizide administration, but the post-prandial insulin response continues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to be enhanced after at least 6 months of treatment. The insulinotropic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response to a meal occurs within 30 minutes after oral dose of glipizide </w:t>
      </w:r>
      <w:r w:rsidR="00EE7640">
        <w:rPr>
          <w:b w:val="0"/>
          <w:bCs w:val="0"/>
        </w:rPr>
        <w:lastRenderedPageBreak/>
        <w:tab/>
      </w:r>
      <w:r w:rsidR="00EE7640" w:rsidRPr="00EE7640">
        <w:rPr>
          <w:b w:val="0"/>
          <w:bCs w:val="0"/>
        </w:rPr>
        <w:t xml:space="preserve">in diabetic patients, but elevated insulin levels do not persist beyond the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 xml:space="preserve">time of the meal challenge. There is also increasing evidence that </w:t>
      </w:r>
      <w:r w:rsidR="00EE7640">
        <w:rPr>
          <w:b w:val="0"/>
          <w:bCs w:val="0"/>
        </w:rPr>
        <w:tab/>
      </w:r>
      <w:proofErr w:type="spellStart"/>
      <w:r w:rsidR="00EE7640" w:rsidRPr="00EE7640">
        <w:rPr>
          <w:b w:val="0"/>
          <w:bCs w:val="0"/>
        </w:rPr>
        <w:t>extrapancreatic</w:t>
      </w:r>
      <w:proofErr w:type="spellEnd"/>
      <w:r w:rsidR="00EE7640" w:rsidRPr="00EE7640">
        <w:rPr>
          <w:b w:val="0"/>
          <w:bCs w:val="0"/>
        </w:rPr>
        <w:t xml:space="preserve"> effects involving potentiation of insulin action form a </w:t>
      </w:r>
      <w:r w:rsidR="00EE7640">
        <w:rPr>
          <w:b w:val="0"/>
          <w:bCs w:val="0"/>
        </w:rPr>
        <w:tab/>
      </w:r>
      <w:r w:rsidR="00EE7640" w:rsidRPr="00EE7640">
        <w:rPr>
          <w:b w:val="0"/>
          <w:bCs w:val="0"/>
        </w:rPr>
        <w:t>significant component of the activity of glipizide.</w:t>
      </w:r>
    </w:p>
    <w:p w14:paraId="2E1298CB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B28C6AB" w14:textId="40AC6DA7" w:rsidR="00EE7640" w:rsidRPr="008D1D64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Blood sugar control persists for up to 24 hours after a single dose of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glipizide, even though plasma levels have declined to a small fraction of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>peak levels by that time (see section 5.2).</w:t>
      </w:r>
    </w:p>
    <w:p w14:paraId="0EC62E9B" w14:textId="77777777" w:rsidR="009B42F9" w:rsidRDefault="009B42F9" w:rsidP="009B42F9">
      <w:pPr>
        <w:pStyle w:val="SubHeafingSMPC"/>
        <w:ind w:left="57"/>
      </w:pPr>
      <w:r w:rsidRPr="008F5678">
        <w:t>Pharmacokinetic properties</w:t>
      </w:r>
    </w:p>
    <w:p w14:paraId="029C4118" w14:textId="77777777" w:rsidR="00EE7640" w:rsidRPr="00EE7640" w:rsidRDefault="00EE7640" w:rsidP="00EE7640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  <w:u w:val="single"/>
        </w:rPr>
        <w:t>Absorption</w:t>
      </w:r>
    </w:p>
    <w:p w14:paraId="29993CB6" w14:textId="77777777" w:rsid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Gastrointestinal absorption of glipizide in humans is uniform, rapid and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essentially complete. Peak plasma concentrations occur 1 to 3 hours after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a single oral dose. The half-life of elimination ranges from 2 to 4 hours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in normal subjects, whether given intravenously or orally. The metabolic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and excretory patterns are similar with the two routes of administration,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indicating that first-pass metabolism is not significant. Glipizide does not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accumulate in plasma on repeated oral administration. Total absorption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and disposition of an oral dose were unaffected by food in normal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volunteers, but absorption was delayed by about 40 minutes. Thus,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glipizide was more effective when administered about 30 minutes before,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>rather than with, a test meal in diabetic patients</w:t>
      </w:r>
      <w:r w:rsidR="009B42F9" w:rsidRPr="00EE7640">
        <w:rPr>
          <w:b w:val="0"/>
          <w:bCs w:val="0"/>
        </w:rPr>
        <w:t>.</w:t>
      </w:r>
    </w:p>
    <w:p w14:paraId="7712C030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E38D6CC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  <w:u w:val="single"/>
        </w:rPr>
        <w:t>Distribution</w:t>
      </w:r>
    </w:p>
    <w:p w14:paraId="7D0E00B4" w14:textId="77777777" w:rsid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Protein binding was studied in serum from volunteers who received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either oral or intravenous glipizide and found to be 98 % to 99 % one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hour after either route of administration. The apparent volume of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distribution of glipizide after intravenous administration was 11 L,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indicative of </w:t>
      </w:r>
      <w:proofErr w:type="spellStart"/>
      <w:r w:rsidRPr="00EE7640">
        <w:rPr>
          <w:b w:val="0"/>
          <w:bCs w:val="0"/>
        </w:rPr>
        <w:t>localisation</w:t>
      </w:r>
      <w:proofErr w:type="spellEnd"/>
      <w:r w:rsidRPr="00EE7640">
        <w:rPr>
          <w:b w:val="0"/>
          <w:bCs w:val="0"/>
        </w:rPr>
        <w:t xml:space="preserve"> within the extracellular fluid compartment. In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mice, no glipizide or metabolites were detectable </w:t>
      </w:r>
      <w:proofErr w:type="spellStart"/>
      <w:r w:rsidRPr="00EE7640">
        <w:rPr>
          <w:b w:val="0"/>
          <w:bCs w:val="0"/>
        </w:rPr>
        <w:t>autoradiographically</w:t>
      </w:r>
      <w:proofErr w:type="spellEnd"/>
      <w:r w:rsidRPr="00EE7640">
        <w:rPr>
          <w:b w:val="0"/>
          <w:bCs w:val="0"/>
        </w:rPr>
        <w:t xml:space="preserve"> in </w:t>
      </w:r>
      <w:r>
        <w:rPr>
          <w:b w:val="0"/>
          <w:bCs w:val="0"/>
        </w:rPr>
        <w:lastRenderedPageBreak/>
        <w:tab/>
      </w:r>
      <w:r w:rsidRPr="00EE7640">
        <w:rPr>
          <w:b w:val="0"/>
          <w:bCs w:val="0"/>
        </w:rPr>
        <w:t xml:space="preserve">the brain or spinal cord of males or females, nor in the </w:t>
      </w:r>
      <w:proofErr w:type="spellStart"/>
      <w:r w:rsidRPr="00EE7640">
        <w:rPr>
          <w:b w:val="0"/>
          <w:bCs w:val="0"/>
        </w:rPr>
        <w:t>foetuses</w:t>
      </w:r>
      <w:proofErr w:type="spellEnd"/>
      <w:r w:rsidRPr="00EE7640">
        <w:rPr>
          <w:b w:val="0"/>
          <w:bCs w:val="0"/>
        </w:rPr>
        <w:t xml:space="preserve"> of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pregnant females. In another study, however, very small amounts of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radioactivity were detected in the </w:t>
      </w:r>
      <w:proofErr w:type="spellStart"/>
      <w:r w:rsidRPr="00EE7640">
        <w:rPr>
          <w:b w:val="0"/>
          <w:bCs w:val="0"/>
        </w:rPr>
        <w:t>foetuses</w:t>
      </w:r>
      <w:proofErr w:type="spellEnd"/>
      <w:r w:rsidRPr="00EE7640">
        <w:rPr>
          <w:b w:val="0"/>
          <w:bCs w:val="0"/>
        </w:rPr>
        <w:t xml:space="preserve"> of rats given labelled drug.</w:t>
      </w:r>
    </w:p>
    <w:p w14:paraId="6DF62A07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E88437E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  <w:u w:val="single"/>
        </w:rPr>
        <w:t>Biotransformation</w:t>
      </w:r>
    </w:p>
    <w:p w14:paraId="4F4F2DC8" w14:textId="77777777" w:rsid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>The metabolism of glipizide is extensive and occurs mainly in the liver.</w:t>
      </w:r>
    </w:p>
    <w:p w14:paraId="323AA06A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  <w:r>
        <w:rPr>
          <w:b w:val="0"/>
          <w:bCs w:val="0"/>
        </w:rPr>
        <w:tab/>
      </w:r>
    </w:p>
    <w:p w14:paraId="50C4A247" w14:textId="77777777" w:rsid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  <w:u w:val="single"/>
        </w:rPr>
        <w:t>Elimination</w:t>
      </w:r>
    </w:p>
    <w:p w14:paraId="1EBD3F1F" w14:textId="5CBEA49F" w:rsidR="00EE7640" w:rsidRPr="00EE7640" w:rsidRDefault="00EE7640" w:rsidP="00EE764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 w:rsidRPr="00EE7640">
        <w:rPr>
          <w:b w:val="0"/>
          <w:bCs w:val="0"/>
        </w:rPr>
        <w:tab/>
      </w:r>
      <w:r w:rsidRPr="00EE7640">
        <w:rPr>
          <w:b w:val="0"/>
          <w:bCs w:val="0"/>
        </w:rPr>
        <w:t xml:space="preserve">The primary metabolites are inactive hydroxylation products and polar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conjugates and are excreted mainly in the urine. Less than 10 %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>unchanged glipizide is found in urine.</w:t>
      </w:r>
    </w:p>
    <w:p w14:paraId="45186AAE" w14:textId="77777777" w:rsidR="009B42F9" w:rsidRPr="00F82D07" w:rsidRDefault="009B42F9" w:rsidP="009B42F9">
      <w:pPr>
        <w:pStyle w:val="SubHeafingSMPC"/>
        <w:ind w:left="57"/>
      </w:pPr>
      <w:r w:rsidRPr="008F5678">
        <w:t xml:space="preserve">Preclinical safety data </w:t>
      </w:r>
    </w:p>
    <w:p w14:paraId="66B50DEB" w14:textId="77777777" w:rsidR="00EE7640" w:rsidRDefault="00EE7640" w:rsidP="00EE7640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Acute toxicity studies showed no specific susceptibility. The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acute oral toxicity of glipizide was extremely low in all species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tested (LD50 greater than 4 g/kg). Chronic toxicity tests in rats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and dogs at doses up to 8.0 mg/kg did not show any evidence of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>toxic effects.</w:t>
      </w:r>
    </w:p>
    <w:p w14:paraId="22AE4A50" w14:textId="77777777" w:rsidR="00EE7640" w:rsidRPr="00EE7640" w:rsidRDefault="00EE7640" w:rsidP="00EE7640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</w:rPr>
      </w:pPr>
    </w:p>
    <w:p w14:paraId="54C15C2B" w14:textId="646BB1F7" w:rsidR="009B42F9" w:rsidRPr="00EE7640" w:rsidRDefault="00EE7640" w:rsidP="00EE7640">
      <w:pPr>
        <w:pStyle w:val="SubHeafingSMPC"/>
        <w:numPr>
          <w:ilvl w:val="0"/>
          <w:numId w:val="0"/>
        </w:numPr>
        <w:jc w:val="mediumKashida"/>
        <w:rPr>
          <w:b w:val="0"/>
          <w:bCs w:val="0"/>
        </w:r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A 20-month study in rats and an 18-month study in mice at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doses up to 75 times the maximum human dose revealed no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>evidence of drug-related carcinogenicity. Bacterial</w:t>
      </w:r>
      <w:r>
        <w:rPr>
          <w:b w:val="0"/>
          <w:bCs w:val="0"/>
        </w:rPr>
        <w:t xml:space="preserve"> </w:t>
      </w:r>
      <w:r w:rsidRPr="00EE7640">
        <w:rPr>
          <w:b w:val="0"/>
          <w:bCs w:val="0"/>
        </w:rPr>
        <w:t xml:space="preserve">and in vivo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mutagenicity tests were uniformly negative. Studies in rats of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 xml:space="preserve">both sexes at doses up to 75 times the maximum human dose </w:t>
      </w:r>
      <w:r>
        <w:rPr>
          <w:b w:val="0"/>
          <w:bCs w:val="0"/>
        </w:rPr>
        <w:tab/>
      </w:r>
      <w:r w:rsidRPr="00EE7640">
        <w:rPr>
          <w:b w:val="0"/>
          <w:bCs w:val="0"/>
        </w:rPr>
        <w:t>showed no effects on fertility</w:t>
      </w:r>
      <w:r w:rsidR="009B42F9" w:rsidRPr="00EE7640">
        <w:rPr>
          <w:b w:val="0"/>
          <w:bCs w:val="0"/>
        </w:rPr>
        <w:t>.</w:t>
      </w:r>
    </w:p>
    <w:p w14:paraId="18F9B7FD" w14:textId="77777777" w:rsidR="009B42F9" w:rsidRPr="008F5678" w:rsidRDefault="009B42F9" w:rsidP="009B42F9">
      <w:pPr>
        <w:pStyle w:val="HEADING1SMPC"/>
      </w:pPr>
      <w:r w:rsidRPr="008F5678">
        <w:t xml:space="preserve">PHARMACEUTICAL PARTICULARS </w:t>
      </w:r>
    </w:p>
    <w:p w14:paraId="3F141AA2" w14:textId="77777777" w:rsidR="009B42F9" w:rsidRPr="008F5678" w:rsidRDefault="009B42F9" w:rsidP="009B42F9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014E9BC3" w14:textId="77777777" w:rsidR="009B42F9" w:rsidRPr="000A71B4" w:rsidRDefault="009B42F9" w:rsidP="009B42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FBA3253" w14:textId="77777777" w:rsidR="009B42F9" w:rsidRPr="00F527B4" w:rsidRDefault="009B42F9" w:rsidP="009B42F9">
      <w:pPr>
        <w:pStyle w:val="SubHeafingSMPC"/>
        <w:ind w:left="57"/>
      </w:pPr>
      <w:r w:rsidRPr="008F5678">
        <w:t xml:space="preserve">Incompatibilities </w:t>
      </w:r>
    </w:p>
    <w:p w14:paraId="6529739E" w14:textId="296DB962" w:rsidR="009B42F9" w:rsidRPr="000A71B4" w:rsidRDefault="00EE7640" w:rsidP="00EE7640">
      <w:pPr>
        <w:pStyle w:val="SubHeafingSMPC"/>
        <w:numPr>
          <w:ilvl w:val="0"/>
          <w:numId w:val="0"/>
        </w:numPr>
      </w:pPr>
      <w:r>
        <w:rPr>
          <w:b w:val="0"/>
          <w:bCs w:val="0"/>
        </w:rPr>
        <w:tab/>
      </w:r>
      <w:r w:rsidRPr="00EE7640">
        <w:rPr>
          <w:b w:val="0"/>
          <w:bCs w:val="0"/>
        </w:rPr>
        <w:t>Not applicable</w:t>
      </w:r>
      <w:r>
        <w:rPr>
          <w:b w:val="0"/>
          <w:bCs w:val="0"/>
        </w:rPr>
        <w:t>.</w:t>
      </w:r>
    </w:p>
    <w:p w14:paraId="0245550F" w14:textId="77777777" w:rsidR="009B42F9" w:rsidRPr="000A71B4" w:rsidRDefault="009B42F9" w:rsidP="009B42F9">
      <w:pPr>
        <w:pStyle w:val="SubHeafingSMPC"/>
        <w:ind w:left="57"/>
      </w:pPr>
      <w:r w:rsidRPr="008F5678">
        <w:lastRenderedPageBreak/>
        <w:t xml:space="preserve">Shelf life </w:t>
      </w:r>
    </w:p>
    <w:p w14:paraId="38DCE010" w14:textId="77777777" w:rsidR="009B42F9" w:rsidRPr="000A71B4" w:rsidRDefault="009B42F9" w:rsidP="009B42F9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0C8CA7D3" w14:textId="77777777" w:rsidR="009B42F9" w:rsidRPr="008F5678" w:rsidRDefault="009B42F9" w:rsidP="009B42F9">
      <w:pPr>
        <w:pStyle w:val="SubHeafingSMPC"/>
        <w:ind w:left="57"/>
      </w:pPr>
      <w:r w:rsidRPr="008F5678">
        <w:t xml:space="preserve">Special precautions for storage </w:t>
      </w:r>
    </w:p>
    <w:p w14:paraId="0B0F0440" w14:textId="77777777" w:rsidR="009B42F9" w:rsidRPr="000A71B4" w:rsidRDefault="009B42F9" w:rsidP="009B42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A22C05F" w14:textId="77777777" w:rsidR="009B42F9" w:rsidRPr="008F5678" w:rsidRDefault="009B42F9" w:rsidP="009B42F9">
      <w:pPr>
        <w:pStyle w:val="SubHeafingSMPC"/>
        <w:ind w:left="57"/>
      </w:pPr>
      <w:r w:rsidRPr="008F5678">
        <w:t xml:space="preserve">Nature and contents of container </w:t>
      </w:r>
    </w:p>
    <w:p w14:paraId="023AF467" w14:textId="77777777" w:rsidR="009B42F9" w:rsidRPr="000A71B4" w:rsidRDefault="009B42F9" w:rsidP="009B42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ABEB882" w14:textId="77777777" w:rsidR="009B42F9" w:rsidRPr="000A71B4" w:rsidRDefault="009B42F9" w:rsidP="009B42F9">
      <w:pPr>
        <w:pStyle w:val="SubHeafingSMPC"/>
        <w:ind w:left="57"/>
      </w:pPr>
      <w:r w:rsidRPr="008F5678">
        <w:t xml:space="preserve">Special precautions for disposal </w:t>
      </w:r>
    </w:p>
    <w:p w14:paraId="71B929B2" w14:textId="77777777" w:rsidR="009B42F9" w:rsidRPr="000A71B4" w:rsidRDefault="009B42F9" w:rsidP="009B42F9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78173AB" w14:textId="77777777" w:rsidR="009B42F9" w:rsidRDefault="009B42F9" w:rsidP="009B42F9">
      <w:pPr>
        <w:pStyle w:val="HEADING1SMPC"/>
      </w:pPr>
      <w:r w:rsidRPr="008F5678">
        <w:t xml:space="preserve">MARKETING AUTHORISATION HOLDER </w:t>
      </w:r>
    </w:p>
    <w:p w14:paraId="6C3F5770" w14:textId="77777777" w:rsidR="009B42F9" w:rsidRPr="00D741D1" w:rsidRDefault="009B42F9" w:rsidP="009B42F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50A483E" w14:textId="77777777" w:rsidR="009B42F9" w:rsidRDefault="009B42F9" w:rsidP="009B42F9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06824360" w14:textId="77777777" w:rsidR="009B42F9" w:rsidRPr="002270FF" w:rsidRDefault="009B42F9" w:rsidP="009B42F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E5F6CFA" w14:textId="77777777" w:rsidR="009B42F9" w:rsidRDefault="009B42F9" w:rsidP="009B42F9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3DE48804" w14:textId="77777777" w:rsidR="009B42F9" w:rsidRPr="002270FF" w:rsidRDefault="009B42F9" w:rsidP="009B42F9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342C917" w14:textId="77777777" w:rsidR="009B42F9" w:rsidRPr="008F5678" w:rsidRDefault="009B42F9" w:rsidP="009B42F9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34291D58" w14:textId="77777777" w:rsidR="009B42F9" w:rsidRPr="002270FF" w:rsidRDefault="009B42F9" w:rsidP="009B42F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28579655" w14:textId="77777777" w:rsidR="009B42F9" w:rsidRPr="004E6B0A" w:rsidRDefault="009B42F9" w:rsidP="009B42F9">
      <w:pPr>
        <w:rPr>
          <w:rFonts w:ascii="Times New Roman" w:hAnsi="Times New Roman" w:cs="Times New Roman"/>
          <w:sz w:val="28"/>
          <w:szCs w:val="28"/>
        </w:rPr>
      </w:pPr>
    </w:p>
    <w:p w14:paraId="3F81FAC5" w14:textId="77777777" w:rsidR="00CD0A94" w:rsidRDefault="00CD0A94"/>
    <w:sectPr w:rsidR="00CD0A94" w:rsidSect="009B42F9">
      <w:footerReference w:type="even" r:id="rId8"/>
      <w:footerReference w:type="default" r:id="rId9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C06AD" w14:textId="77777777" w:rsidR="001F473B" w:rsidRDefault="001F473B" w:rsidP="00EE7640">
      <w:pPr>
        <w:spacing w:line="240" w:lineRule="auto"/>
      </w:pPr>
      <w:r>
        <w:separator/>
      </w:r>
    </w:p>
  </w:endnote>
  <w:endnote w:type="continuationSeparator" w:id="0">
    <w:p w14:paraId="2D219B9E" w14:textId="77777777" w:rsidR="001F473B" w:rsidRDefault="001F473B" w:rsidP="00EE7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432F11CC" w14:textId="77777777" w:rsidR="00000000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7FCA8D8E" w14:textId="77777777" w:rsidR="00000000" w:rsidRDefault="0000000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21502B70" w14:textId="77777777" w:rsidR="00000000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1B9F3145" w14:textId="57BDD256" w:rsidR="00000000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EE7640" w:rsidRPr="00EE7640">
      <w:rPr>
        <w:rFonts w:ascii="Times New Roman" w:hAnsi="Times New Roman" w:cs="Times New Roman"/>
        <w:sz w:val="24"/>
        <w:szCs w:val="24"/>
      </w:rPr>
      <w:t xml:space="preserve">Ref: </w:t>
    </w:r>
    <w:proofErr w:type="spellStart"/>
    <w:r w:rsidR="00EE7640" w:rsidRPr="00EE7640">
      <w:rPr>
        <w:rFonts w:ascii="Times New Roman" w:hAnsi="Times New Roman" w:cs="Times New Roman"/>
        <w:sz w:val="24"/>
        <w:szCs w:val="24"/>
      </w:rPr>
      <w:t>Minodiab</w:t>
    </w:r>
    <w:proofErr w:type="spellEnd"/>
    <w:r w:rsidR="00EE7640" w:rsidRPr="00EE7640">
      <w:rPr>
        <w:rFonts w:ascii="Times New Roman" w:hAnsi="Times New Roman" w:cs="Times New Roman"/>
        <w:sz w:val="24"/>
        <w:szCs w:val="24"/>
      </w:rPr>
      <w:t>, MHRA, 16/08/2016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D110" w14:textId="77777777" w:rsidR="001F473B" w:rsidRDefault="001F473B" w:rsidP="00EE7640">
      <w:pPr>
        <w:spacing w:line="240" w:lineRule="auto"/>
      </w:pPr>
      <w:r>
        <w:separator/>
      </w:r>
    </w:p>
  </w:footnote>
  <w:footnote w:type="continuationSeparator" w:id="0">
    <w:p w14:paraId="2C244651" w14:textId="77777777" w:rsidR="001F473B" w:rsidRDefault="001F473B" w:rsidP="00EE76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0240A5"/>
    <w:multiLevelType w:val="hybridMultilevel"/>
    <w:tmpl w:val="759A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65CF"/>
    <w:multiLevelType w:val="hybridMultilevel"/>
    <w:tmpl w:val="3C12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4CEC"/>
    <w:multiLevelType w:val="hybridMultilevel"/>
    <w:tmpl w:val="E2F2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73FF4"/>
    <w:multiLevelType w:val="hybridMultilevel"/>
    <w:tmpl w:val="6D9E9D76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886735"/>
    <w:multiLevelType w:val="hybridMultilevel"/>
    <w:tmpl w:val="32F0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868A9"/>
    <w:multiLevelType w:val="hybridMultilevel"/>
    <w:tmpl w:val="5F74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63962"/>
    <w:multiLevelType w:val="hybridMultilevel"/>
    <w:tmpl w:val="38DA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800BA"/>
    <w:multiLevelType w:val="hybridMultilevel"/>
    <w:tmpl w:val="0F42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1917353316">
    <w:abstractNumId w:val="4"/>
  </w:num>
  <w:num w:numId="3" w16cid:durableId="177745154">
    <w:abstractNumId w:val="6"/>
  </w:num>
  <w:num w:numId="4" w16cid:durableId="447551373">
    <w:abstractNumId w:val="2"/>
  </w:num>
  <w:num w:numId="5" w16cid:durableId="1722053331">
    <w:abstractNumId w:val="7"/>
  </w:num>
  <w:num w:numId="6" w16cid:durableId="343018740">
    <w:abstractNumId w:val="1"/>
  </w:num>
  <w:num w:numId="7" w16cid:durableId="843280176">
    <w:abstractNumId w:val="5"/>
  </w:num>
  <w:num w:numId="8" w16cid:durableId="1003555903">
    <w:abstractNumId w:val="8"/>
  </w:num>
  <w:num w:numId="9" w16cid:durableId="298876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F9"/>
    <w:rsid w:val="001F473B"/>
    <w:rsid w:val="00454EC5"/>
    <w:rsid w:val="00610BC8"/>
    <w:rsid w:val="0083274C"/>
    <w:rsid w:val="00920590"/>
    <w:rsid w:val="00926FFC"/>
    <w:rsid w:val="009B42F9"/>
    <w:rsid w:val="009F5322"/>
    <w:rsid w:val="00A55699"/>
    <w:rsid w:val="00A710F6"/>
    <w:rsid w:val="00A804F6"/>
    <w:rsid w:val="00B06764"/>
    <w:rsid w:val="00B268E1"/>
    <w:rsid w:val="00CD0A94"/>
    <w:rsid w:val="00D807F6"/>
    <w:rsid w:val="00E731A3"/>
    <w:rsid w:val="00E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0BDE"/>
  <w15:chartTrackingRefBased/>
  <w15:docId w15:val="{95E01B0C-C3BC-4FB5-8C99-64E6D60D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2F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42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F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2F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B42F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B42F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B42F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B42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B42F9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B4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B42F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B4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B4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2F9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B42F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B4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B42F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B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B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2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B42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42F9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9B42F9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9B42F9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9B42F9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9B42F9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9B42F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9B42F9"/>
  </w:style>
  <w:style w:type="paragraph" w:styleId="ae">
    <w:name w:val="Body Text"/>
    <w:basedOn w:val="a"/>
    <w:link w:val="af2"/>
    <w:uiPriority w:val="99"/>
    <w:unhideWhenUsed/>
    <w:rsid w:val="009B42F9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9B42F9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A556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E7640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EE764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D806-F0A9-4DAA-BBBE-7064E0BC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2024-08-16T16:41:00Z</dcterms:created>
  <dcterms:modified xsi:type="dcterms:W3CDTF">2024-08-16T17:30:00Z</dcterms:modified>
</cp:coreProperties>
</file>