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35613D2" w:rsidR="00227FD4" w:rsidRPr="00E641A1" w:rsidRDefault="007E2942" w:rsidP="00AF212D">
      <w:pPr>
        <w:pStyle w:val="BodyTextSMPC"/>
        <w:rPr>
          <w:rFonts w:cstheme="minorBidi"/>
        </w:rPr>
      </w:pPr>
      <w:r>
        <w:t>I</w:t>
      </w:r>
      <w:r w:rsidR="00E67012" w:rsidRPr="00E67012">
        <w:t>soniazid</w:t>
      </w:r>
      <w:r w:rsidR="00E67012">
        <w:rPr>
          <w:color w:val="FF0000"/>
        </w:rPr>
        <w:t xml:space="preserve"> </w:t>
      </w:r>
      <w:r w:rsidR="00C069FE" w:rsidRPr="005574FA">
        <w:rPr>
          <w:color w:val="FF0000"/>
        </w:rPr>
        <w:t>&lt;TRADE NAME&gt; &lt;STRENGTH&gt;</w:t>
      </w:r>
      <w:r w:rsidR="00A10233">
        <w:rPr>
          <w:color w:val="FF0000"/>
        </w:rPr>
        <w:t xml:space="preserve"> </w:t>
      </w:r>
      <w:r>
        <w:t>S</w:t>
      </w:r>
      <w:r w:rsidRPr="007E2942">
        <w:t>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10EA89C8" w:rsidR="00A10233" w:rsidRDefault="00CD1CB2" w:rsidP="00391F2E">
      <w:pPr>
        <w:pStyle w:val="BodyTextSMPC"/>
      </w:pPr>
      <w:r w:rsidRPr="00CD1CB2">
        <w:t>Each ampoule contains</w:t>
      </w:r>
      <w:r>
        <w:rPr>
          <w:color w:val="FF0000"/>
        </w:rPr>
        <w:t xml:space="preserve"> </w:t>
      </w:r>
      <w:r w:rsidR="00A10233" w:rsidRPr="005574FA">
        <w:rPr>
          <w:color w:val="FF0000"/>
        </w:rPr>
        <w:t>&lt;STRENGTH&gt;</w:t>
      </w:r>
      <w:r w:rsidR="00A10233">
        <w:rPr>
          <w:color w:val="FF0000"/>
        </w:rPr>
        <w:t xml:space="preserve"> </w:t>
      </w:r>
      <w:r w:rsidRPr="00CD1CB2">
        <w:t>Isoniazid in solution.</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D0623C0" w:rsidR="00227FD4" w:rsidRPr="00070173" w:rsidRDefault="00CD1CB2" w:rsidP="00AF212D">
      <w:pPr>
        <w:pStyle w:val="BodyTextSMPC"/>
        <w:rPr>
          <w:rFonts w:cs="Angsana New"/>
          <w:szCs w:val="35"/>
        </w:rPr>
      </w:pPr>
      <w:r>
        <w:t>S</w:t>
      </w:r>
      <w:r w:rsidRPr="007E2942">
        <w:t>olutions for injections or infusions</w:t>
      </w:r>
      <w:r>
        <w:t xml:space="preserve"> </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7A88C99F" w14:textId="49D67638" w:rsidR="00E86F32" w:rsidRPr="00E86F32" w:rsidRDefault="00E86F32" w:rsidP="00E86F32">
      <w:pPr>
        <w:pStyle w:val="BodyTextSMPC"/>
        <w:rPr>
          <w:rFonts w:cstheme="minorBidi"/>
          <w:b/>
          <w:bCs/>
        </w:rPr>
      </w:pPr>
      <w:r w:rsidRPr="00E86F32">
        <w:rPr>
          <w:rFonts w:cstheme="minorBidi"/>
          <w:b/>
          <w:bCs/>
        </w:rPr>
        <w:t>Indications for use</w:t>
      </w:r>
    </w:p>
    <w:p w14:paraId="13EF1B36" w14:textId="02B1CE03" w:rsidR="00177864" w:rsidRPr="00982EC5" w:rsidRDefault="00CD1CB2" w:rsidP="00E86F32">
      <w:pPr>
        <w:pStyle w:val="BodyTextSMPC"/>
        <w:rPr>
          <w:rFonts w:cstheme="minorBidi"/>
        </w:rPr>
      </w:pPr>
      <w:r w:rsidRPr="00CD1CB2">
        <w:rPr>
          <w:rFonts w:cstheme="minorBidi"/>
        </w:rPr>
        <w:t>For all forms of pulmonary and extra-pulmonary tuberculosis.</w:t>
      </w:r>
      <w:r w:rsidR="00E86F32" w:rsidRPr="00E86F32">
        <w:rPr>
          <w:rFonts w:cstheme="minorBidi"/>
        </w:rPr>
        <w:t xml:space="preserve"> </w:t>
      </w:r>
    </w:p>
    <w:p w14:paraId="1953512A" w14:textId="77777777" w:rsidR="00233A79" w:rsidRPr="008F5678" w:rsidRDefault="00000000" w:rsidP="00C21A1C">
      <w:pPr>
        <w:pStyle w:val="SubHeafingSMPC"/>
      </w:pPr>
      <w:r w:rsidRPr="008F5678">
        <w:t>Posology and method of administration</w:t>
      </w:r>
    </w:p>
    <w:p w14:paraId="1A358A7A" w14:textId="244E5698" w:rsidR="00847C40" w:rsidRDefault="00847C40" w:rsidP="00847C40">
      <w:pPr>
        <w:pStyle w:val="BodyTextSMPC"/>
      </w:pPr>
      <w:r>
        <w:t>Isoniazid Solution for Injection is for intramuscular, intravenous, intrapleural, or intrathecal injection.</w:t>
      </w:r>
      <w:r>
        <w:t xml:space="preserve"> </w:t>
      </w:r>
    </w:p>
    <w:p w14:paraId="181E8C75" w14:textId="77777777" w:rsidR="00847C40" w:rsidRPr="00847C40" w:rsidRDefault="00847C40" w:rsidP="00847C40">
      <w:pPr>
        <w:pStyle w:val="BodyTextSMPC"/>
        <w:rPr>
          <w:b/>
          <w:bCs/>
        </w:rPr>
      </w:pPr>
      <w:r w:rsidRPr="00847C40">
        <w:rPr>
          <w:b/>
          <w:bCs/>
        </w:rPr>
        <w:t>Adults and children</w:t>
      </w:r>
    </w:p>
    <w:p w14:paraId="03F5DCDD" w14:textId="7221F13F" w:rsidR="00847C40" w:rsidRDefault="00847C40" w:rsidP="00847C40">
      <w:pPr>
        <w:pStyle w:val="BodyTextSMPC"/>
      </w:pPr>
      <w:r>
        <w:t xml:space="preserve">The usual intramuscular or intravenous dose for adults is 200 to 300 mg as a single daily dose, for children 100 to 300 mg daily (10 - 20 mg/kg), but doses much larger than these are sometimes given, especially in conditions such as tuberculous meningitis. It is recommended to give an intravenous dose slowly as an undiluted bolus injection, although other methods may be employed. </w:t>
      </w:r>
    </w:p>
    <w:p w14:paraId="0A26C735" w14:textId="77777777" w:rsidR="00847C40" w:rsidRPr="00847C40" w:rsidRDefault="00847C40" w:rsidP="00847C40">
      <w:pPr>
        <w:pStyle w:val="BodyTextSMPC"/>
        <w:rPr>
          <w:b/>
          <w:bCs/>
        </w:rPr>
      </w:pPr>
      <w:r w:rsidRPr="00847C40">
        <w:rPr>
          <w:b/>
          <w:bCs/>
        </w:rPr>
        <w:lastRenderedPageBreak/>
        <w:t>Neonates</w:t>
      </w:r>
    </w:p>
    <w:p w14:paraId="7877C1F4" w14:textId="415FAC60" w:rsidR="00847C40" w:rsidRDefault="00847C40" w:rsidP="00847C40">
      <w:pPr>
        <w:pStyle w:val="BodyTextSMPC"/>
      </w:pPr>
      <w:r>
        <w:t xml:space="preserve">The recommended intravenous or intramuscular dose for neonates is 3-5 mg/kg with a maximum of 10 mg/kg daily. Isoniazid may be present in the milk of lactating mothers (see section 4.6). </w:t>
      </w:r>
    </w:p>
    <w:p w14:paraId="2558B064" w14:textId="77777777" w:rsidR="00847C40" w:rsidRPr="00847C40" w:rsidRDefault="00847C40" w:rsidP="00847C40">
      <w:pPr>
        <w:pStyle w:val="BodyTextSMPC"/>
        <w:rPr>
          <w:b/>
          <w:bCs/>
        </w:rPr>
      </w:pPr>
      <w:r w:rsidRPr="00847C40">
        <w:rPr>
          <w:b/>
          <w:bCs/>
        </w:rPr>
        <w:t>The elderly</w:t>
      </w:r>
    </w:p>
    <w:p w14:paraId="5673C4D1" w14:textId="77777777" w:rsidR="00847C40" w:rsidRDefault="00847C40" w:rsidP="00847C40">
      <w:pPr>
        <w:pStyle w:val="BodyTextSMPC"/>
      </w:pPr>
      <w:r>
        <w:t xml:space="preserve">No dosage reduction is necessary in the elderly. </w:t>
      </w:r>
    </w:p>
    <w:p w14:paraId="3252739F" w14:textId="77777777" w:rsidR="00847C40" w:rsidRPr="00847C40" w:rsidRDefault="00847C40" w:rsidP="00847C40">
      <w:pPr>
        <w:pStyle w:val="BodyTextSMPC"/>
        <w:rPr>
          <w:b/>
          <w:bCs/>
        </w:rPr>
      </w:pPr>
      <w:r w:rsidRPr="00847C40">
        <w:rPr>
          <w:b/>
          <w:bCs/>
        </w:rPr>
        <w:t>Intrapleural use</w:t>
      </w:r>
    </w:p>
    <w:p w14:paraId="711B4A7F" w14:textId="15D9539C" w:rsidR="00847C40" w:rsidRDefault="00847C40" w:rsidP="00847C40">
      <w:pPr>
        <w:pStyle w:val="BodyTextSMPC"/>
      </w:pPr>
      <w:r>
        <w:t xml:space="preserve">50 to 250 mg may be instilled </w:t>
      </w:r>
      <w:proofErr w:type="spellStart"/>
      <w:r>
        <w:t>intrapleurally</w:t>
      </w:r>
      <w:proofErr w:type="spellEnd"/>
      <w:r>
        <w:t xml:space="preserve"> after aspiration of pus, the dosage of oral isoniazid on that day being correspondingly reduced. The ampoule solution is also used for the local treatment of tuberculous ulcers, for irrigation of fistulae, etc. </w:t>
      </w:r>
    </w:p>
    <w:p w14:paraId="3F05CFAA" w14:textId="4D6951A0" w:rsidR="00847C40" w:rsidRDefault="00847C40" w:rsidP="00847C40">
      <w:pPr>
        <w:pStyle w:val="BodyTextSMPC"/>
      </w:pPr>
      <w:r w:rsidRPr="00847C40">
        <w:rPr>
          <w:b/>
          <w:bCs/>
        </w:rPr>
        <w:t>Intrathecal use</w:t>
      </w:r>
    </w:p>
    <w:p w14:paraId="52F221AA" w14:textId="77777777" w:rsidR="00F232D2" w:rsidRDefault="00847C40" w:rsidP="00847C40">
      <w:pPr>
        <w:pStyle w:val="BodyTextSMPC"/>
      </w:pPr>
      <w:r>
        <w:t xml:space="preserve">It should be noted that CSF concentrations of isoniazid are approximately 90% of plasma concentrations. Where intrathecal use is required, 25 - 50 mg daily has been given to adults and 10 - 20 mg daily for children, according to age. </w:t>
      </w:r>
    </w:p>
    <w:p w14:paraId="447B9839" w14:textId="2E0266ED" w:rsidR="00847C40" w:rsidRDefault="00847C40" w:rsidP="00F232D2">
      <w:pPr>
        <w:pStyle w:val="BodyTextSMPC"/>
      </w:pPr>
      <w:r>
        <w:t xml:space="preserve">It is usual to give Isoniazid together with other </w:t>
      </w:r>
      <w:proofErr w:type="spellStart"/>
      <w:r>
        <w:t>antituberculous</w:t>
      </w:r>
      <w:proofErr w:type="spellEnd"/>
      <w:r>
        <w:t xml:space="preserve"> therapy, as determined by current practice and/or sensitivity testing. </w:t>
      </w:r>
    </w:p>
    <w:p w14:paraId="799BAA08" w14:textId="28450D6C" w:rsidR="00847C40" w:rsidRDefault="00847C40" w:rsidP="00F232D2">
      <w:pPr>
        <w:pStyle w:val="BodyTextSMPC"/>
      </w:pPr>
      <w:r>
        <w:t xml:space="preserve">It is recommended that pyridoxine be given during Isoniazid therapy to </w:t>
      </w:r>
      <w:proofErr w:type="spellStart"/>
      <w:r>
        <w:t>minimise</w:t>
      </w:r>
      <w:proofErr w:type="spellEnd"/>
      <w:r>
        <w:t xml:space="preserve"> adverse reactions, especially in malnourished patients and those predisposed to neuropathy (</w:t>
      </w:r>
      <w:proofErr w:type="spellStart"/>
      <w:r>
        <w:t>eg.</w:t>
      </w:r>
      <w:proofErr w:type="spellEnd"/>
      <w:r>
        <w:t xml:space="preserve"> diabetics and alcoholics) (see section 4.8). </w:t>
      </w:r>
    </w:p>
    <w:p w14:paraId="63D6F5B5" w14:textId="77777777" w:rsidR="00847C40" w:rsidRPr="00F232D2" w:rsidRDefault="00847C40" w:rsidP="00847C40">
      <w:pPr>
        <w:pStyle w:val="BodyTextSMPC"/>
        <w:rPr>
          <w:b/>
          <w:bCs/>
        </w:rPr>
      </w:pPr>
      <w:r w:rsidRPr="00F232D2">
        <w:rPr>
          <w:b/>
          <w:bCs/>
        </w:rPr>
        <w:t>Patients with renal impairment</w:t>
      </w:r>
    </w:p>
    <w:p w14:paraId="26385E8D" w14:textId="2064529E" w:rsidR="00847C40" w:rsidRDefault="00847C40" w:rsidP="00F232D2">
      <w:pPr>
        <w:pStyle w:val="BodyTextSMPC"/>
      </w:pPr>
      <w:r>
        <w:t xml:space="preserve">No dosage reduction of Isoniazid is necessary when given to patients with mild renal failure. Patients with severe renal failure (glomerular filtration rate of less than 10 ml/minute) and slow acetylator status might require a dose reduction of about 100mg to maintain trough plasma levels at less than 1 mcg/ml. </w:t>
      </w:r>
    </w:p>
    <w:p w14:paraId="3DC8143E" w14:textId="43C2331E" w:rsidR="00847C40" w:rsidRDefault="00847C40" w:rsidP="00F232D2">
      <w:pPr>
        <w:pStyle w:val="BodyTextSMPC"/>
      </w:pPr>
      <w:proofErr w:type="spellStart"/>
      <w:r>
        <w:t>Isonaizid</w:t>
      </w:r>
      <w:proofErr w:type="spellEnd"/>
      <w:r>
        <w:t xml:space="preserve"> is removed by both </w:t>
      </w:r>
      <w:proofErr w:type="spellStart"/>
      <w:r>
        <w:t>haemodialysis</w:t>
      </w:r>
      <w:proofErr w:type="spellEnd"/>
      <w:r>
        <w:t xml:space="preserve"> and peritoneal dialysis therefore isoniazid should be administered immediately after dialysis. </w:t>
      </w:r>
    </w:p>
    <w:p w14:paraId="3FBD6657" w14:textId="77777777" w:rsidR="00847C40" w:rsidRPr="00F232D2" w:rsidRDefault="00847C40" w:rsidP="00847C40">
      <w:pPr>
        <w:pStyle w:val="BodyTextSMPC"/>
        <w:rPr>
          <w:b/>
          <w:bCs/>
        </w:rPr>
      </w:pPr>
      <w:r w:rsidRPr="00F232D2">
        <w:rPr>
          <w:b/>
          <w:bCs/>
        </w:rPr>
        <w:lastRenderedPageBreak/>
        <w:t>Patients with hepatic impairment</w:t>
      </w:r>
    </w:p>
    <w:p w14:paraId="4DB888FD" w14:textId="3635FA2A" w:rsidR="00E86F32" w:rsidRDefault="00847C40" w:rsidP="00F232D2">
      <w:pPr>
        <w:pStyle w:val="BodyTextSMPC"/>
      </w:pPr>
      <w:r>
        <w:t>The possible risks of administration of Isoniazid to patients with pre-existing non-tuberculous hepatic disease should be balanced against the benefits expected from treating tuberculosis.</w:t>
      </w:r>
    </w:p>
    <w:p w14:paraId="404191A3" w14:textId="44C5DA60" w:rsidR="00E86F32" w:rsidRPr="00E86F32" w:rsidRDefault="00E86F32" w:rsidP="00E86F32">
      <w:pPr>
        <w:pStyle w:val="BodyTextSMPC"/>
        <w:rPr>
          <w:b/>
          <w:bCs/>
        </w:rPr>
      </w:pPr>
      <w:r w:rsidRPr="00E86F32">
        <w:rPr>
          <w:b/>
          <w:bCs/>
        </w:rPr>
        <w:t>Method of administration</w:t>
      </w:r>
    </w:p>
    <w:p w14:paraId="102DDD5D" w14:textId="32FE8476" w:rsidR="000F022A" w:rsidRPr="00F232D2" w:rsidRDefault="00F232D2" w:rsidP="00F232D2">
      <w:pPr>
        <w:pStyle w:val="BodyTextSMPC"/>
        <w:rPr>
          <w:color w:val="FF0000"/>
          <w:szCs w:val="48"/>
        </w:rPr>
      </w:pPr>
      <w:r w:rsidRPr="008F5678">
        <w:rPr>
          <w:color w:val="FF0000"/>
        </w:rPr>
        <w:t xml:space="preserve">&lt;REGARDING THE APPROVAL&gt; </w:t>
      </w:r>
      <w:r w:rsidR="00E32C2B">
        <w:t xml:space="preserve"> </w:t>
      </w:r>
    </w:p>
    <w:p w14:paraId="5B05A77F" w14:textId="77777777" w:rsidR="00671E86" w:rsidRPr="008F5678" w:rsidRDefault="00000000" w:rsidP="00233A79">
      <w:pPr>
        <w:pStyle w:val="SubHeafingSMPC"/>
      </w:pPr>
      <w:r w:rsidRPr="008F5678">
        <w:t>Contraindications</w:t>
      </w:r>
    </w:p>
    <w:p w14:paraId="74A39312" w14:textId="424E0DC1" w:rsidR="00D95C52" w:rsidRDefault="00D95C52" w:rsidP="00D95C52">
      <w:pPr>
        <w:pStyle w:val="BodyTextSMPC"/>
      </w:pPr>
      <w:r>
        <w:t>Hypersensitivity to the active substance or to any of the excipients listed in section 6.1.</w:t>
      </w:r>
    </w:p>
    <w:p w14:paraId="6955ACE4" w14:textId="77777777" w:rsidR="00A144D2" w:rsidRPr="008F5678" w:rsidRDefault="00000000" w:rsidP="00671E86">
      <w:pPr>
        <w:pStyle w:val="SubHeafingSMPC"/>
      </w:pPr>
      <w:r w:rsidRPr="008F5678">
        <w:t xml:space="preserve">Special warnings and precautions for use </w:t>
      </w:r>
    </w:p>
    <w:p w14:paraId="5E83C11A" w14:textId="5651A91E" w:rsidR="00D95C52" w:rsidRDefault="00D95C52" w:rsidP="00D95C52">
      <w:pPr>
        <w:pStyle w:val="BodyTextSMPC"/>
      </w:pPr>
      <w:r>
        <w:t xml:space="preserve">Care is required in chronic alcoholism and when prescribing isoniazid for patients with pre-existing hepatitis. Convulsions and psychotic reactions have occurred (see section 4.8), especially in patients with a previous history of these conditions. These manifestations usually subside rapidly when the drug is withdrawn. Isoniazid should therefore be given with caution to patients with convulsive disorders and should be avoided in those with manic or hypomanic psychoses. </w:t>
      </w:r>
    </w:p>
    <w:p w14:paraId="7FD21836" w14:textId="2A322FCA" w:rsidR="00D95C52" w:rsidRDefault="00D95C52" w:rsidP="00D95C52">
      <w:pPr>
        <w:pStyle w:val="BodyTextSMPC"/>
      </w:pPr>
      <w:r>
        <w:t xml:space="preserve">Isoniazid is </w:t>
      </w:r>
      <w:proofErr w:type="spellStart"/>
      <w:r>
        <w:t>metabolised</w:t>
      </w:r>
      <w:proofErr w:type="spellEnd"/>
      <w:r>
        <w:t xml:space="preserve"> by acetylation, which is subject to genetic variation. The 'slow acetylators' may be more susceptible to drug-induced peripheral neuropathy (see section 4.8). However, dose adjustment is not normally required. </w:t>
      </w:r>
    </w:p>
    <w:p w14:paraId="72D29E46" w14:textId="62603358" w:rsidR="00D95C52" w:rsidRDefault="00D95C52" w:rsidP="00D95C52">
      <w:pPr>
        <w:pStyle w:val="BodyTextSMPC"/>
      </w:pPr>
      <w:r>
        <w:t xml:space="preserve">In patients with porphyria, isoniazid should only be used where no safer alternative is available. Precautions should be considered in these patients. </w:t>
      </w:r>
    </w:p>
    <w:p w14:paraId="73545CCE" w14:textId="1F9EA471" w:rsidR="00D95C52" w:rsidRDefault="00D95C52" w:rsidP="00D95C52">
      <w:pPr>
        <w:pStyle w:val="BodyTextSMPC"/>
      </w:pPr>
      <w:r>
        <w:t xml:space="preserve">It is recommended if isoniazid-induced pancreatitis is proven that the drug should be permanently avoided. </w:t>
      </w:r>
    </w:p>
    <w:p w14:paraId="7BBDAB9B" w14:textId="29B61076" w:rsidR="001E1455" w:rsidRPr="006101D5" w:rsidRDefault="00D95C52" w:rsidP="00FE4CA0">
      <w:pPr>
        <w:pStyle w:val="BodyTextSMPC"/>
      </w:pPr>
      <w:r>
        <w:t>Isoniazid, especially if given with rifampicin, may induce abnormalities in liver function, particularly in patients with pre-existing liver disorders, in the elderly, the very young and the malnourished. Monthly review is suggested to detect and limit the severity of this side-effect by stopping treatment if plasma transaminases exceed three times the upper limit of normal.</w:t>
      </w:r>
    </w:p>
    <w:p w14:paraId="194CA827" w14:textId="0F363097" w:rsidR="001E1455" w:rsidRDefault="001E1455" w:rsidP="00B65CC5">
      <w:pPr>
        <w:pStyle w:val="BodyTextSMPC"/>
        <w:jc w:val="thaiDistribute"/>
        <w:rPr>
          <w:rFonts w:cstheme="minorBidi"/>
          <w:b/>
          <w:bCs/>
        </w:rPr>
      </w:pPr>
      <w:r w:rsidRPr="00B65CC5">
        <w:rPr>
          <w:rFonts w:cstheme="minorBidi"/>
          <w:b/>
          <w:bCs/>
        </w:rPr>
        <w:lastRenderedPageBreak/>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5E0483B7" w14:textId="636694C5" w:rsidR="00FE4CA0" w:rsidRDefault="00FE4CA0" w:rsidP="00FE4CA0">
      <w:pPr>
        <w:pStyle w:val="BodyTextSMPC"/>
      </w:pPr>
      <w:r>
        <w:t xml:space="preserve">Isoniazid is known to inhibit certain cytochrome P-450 enzymes and therefore can inhibit the hepatic metabolism of some drugs, in some cases leading to increased toxicity. These include the antiepileptics carbamazepine, ethosuximide, primidone, and phenytoin, the benzodiazepines diazepam and triazolam, chlorzoxazone, theophylline, and disulfiram. Plasma levels of these drugs should be monitored if concurrent therapy with Isoniazid is necessary. </w:t>
      </w:r>
    </w:p>
    <w:p w14:paraId="5ADE30BB" w14:textId="71664160" w:rsidR="00FE4CA0" w:rsidRDefault="00FE4CA0" w:rsidP="00FE4CA0">
      <w:pPr>
        <w:pStyle w:val="BodyTextSMPC"/>
      </w:pPr>
      <w:r>
        <w:t xml:space="preserve">Isoniazid may induce abnormalities in liver function; this may be more likely when it is administered together with rifampicin (see section 4.4). </w:t>
      </w:r>
    </w:p>
    <w:p w14:paraId="190050AD" w14:textId="77777777" w:rsidR="00FE4CA0" w:rsidRDefault="00FE4CA0" w:rsidP="00FE4CA0">
      <w:pPr>
        <w:pStyle w:val="BodyTextSMPC"/>
      </w:pPr>
      <w:r>
        <w:t xml:space="preserve">The adverse CNS effects of </w:t>
      </w:r>
      <w:proofErr w:type="spellStart"/>
      <w:r>
        <w:t>cycloserine</w:t>
      </w:r>
      <w:proofErr w:type="spellEnd"/>
      <w:r>
        <w:t xml:space="preserve"> are increased by isoniazid. </w:t>
      </w:r>
    </w:p>
    <w:p w14:paraId="209A5A30" w14:textId="65D645DA" w:rsidR="00FE4CA0" w:rsidRDefault="00FE4CA0" w:rsidP="00FE4CA0">
      <w:pPr>
        <w:pStyle w:val="BodyTextSMPC"/>
      </w:pPr>
      <w:r>
        <w:t xml:space="preserve">Isoniazid is an inhibitor of monoamine oxidase (MAO) and diamine oxidase (DAO), therefore can reduce tyramine and histamine metabolism, causing symptoms such as headache, sweating, palpitations, flushing and hypotension. Patients should be advised against ingesting foods rich in tyramine and/or histamine during treatment with isoniazid, such as cured meat, some cheeses (e.g. matured cheeses), wine, beer and some fish (e.g. tuna, mackerel, salmon). </w:t>
      </w:r>
    </w:p>
    <w:p w14:paraId="1D50EDBA" w14:textId="6842B128" w:rsidR="00FE4CA0" w:rsidRDefault="00FE4CA0" w:rsidP="00FE4CA0">
      <w:pPr>
        <w:pStyle w:val="BodyTextSMPC"/>
      </w:pPr>
      <w:r>
        <w:t xml:space="preserve">Prednisolone can lower plasma levels of isoniazid. Where a reduced response during concurrent use is noted, dosage adjustment of isoniazid may be necessary. </w:t>
      </w:r>
    </w:p>
    <w:p w14:paraId="671F337F" w14:textId="24059B2E" w:rsidR="003B51C2" w:rsidRPr="00FE4CA0" w:rsidRDefault="00FE4CA0" w:rsidP="00FE4CA0">
      <w:pPr>
        <w:pStyle w:val="BodyTextSMPC"/>
        <w:rPr>
          <w:rFonts w:cstheme="minorBidi"/>
        </w:rPr>
      </w:pPr>
      <w:r>
        <w:t>Isoniazid may reduce the therapeutic effects of levodopa.</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7C31E3E4" w14:textId="73668787" w:rsidR="00D32C40" w:rsidRDefault="00462F43" w:rsidP="00462F43">
      <w:pPr>
        <w:pStyle w:val="BodyTextSMPC"/>
      </w:pPr>
      <w:r>
        <w:t xml:space="preserve">While Isoniazid is generally regarded to be safe in pregnancy, there is a possibility of an increased risk of </w:t>
      </w:r>
      <w:proofErr w:type="spellStart"/>
      <w:r>
        <w:t>foetal</w:t>
      </w:r>
      <w:proofErr w:type="spellEnd"/>
      <w:r>
        <w:t xml:space="preserve"> malformations occurring when Isoniazid is given in early pregnancy. If pregnancy cannot be excluded possible risks should be balanced against therapeutic benefits</w:t>
      </w:r>
      <w:r w:rsidR="00AD5242">
        <w:t xml:space="preserve">. </w:t>
      </w:r>
    </w:p>
    <w:p w14:paraId="0F6D438F" w14:textId="21009765" w:rsidR="00D32C40" w:rsidRPr="00D32C40" w:rsidRDefault="00D32C40" w:rsidP="00D32C40">
      <w:pPr>
        <w:pStyle w:val="BodyTextSMPC"/>
        <w:rPr>
          <w:b/>
          <w:bCs/>
        </w:rPr>
      </w:pPr>
      <w:r w:rsidRPr="00D32C40">
        <w:rPr>
          <w:b/>
          <w:bCs/>
        </w:rPr>
        <w:lastRenderedPageBreak/>
        <w:t>Breast-feeding</w:t>
      </w:r>
    </w:p>
    <w:p w14:paraId="0EC97E1B" w14:textId="77E5C06A" w:rsidR="00462F43" w:rsidRDefault="00462F43" w:rsidP="00462F43">
      <w:pPr>
        <w:pStyle w:val="BodyTextSMPC"/>
      </w:pPr>
      <w:r>
        <w:t xml:space="preserve">Isoniazid is excreted in breast milk at concentrations equivalent to those found </w:t>
      </w:r>
      <w:r w:rsidRPr="00462F43">
        <w:t xml:space="preserve">in maternal plasma, </w:t>
      </w:r>
      <w:proofErr w:type="spellStart"/>
      <w:r w:rsidRPr="00462F43">
        <w:t>ie</w:t>
      </w:r>
      <w:proofErr w:type="spellEnd"/>
      <w:r w:rsidRPr="00462F43">
        <w:t xml:space="preserve">. 6-12 mcg/ml. </w:t>
      </w:r>
      <w:r>
        <w:t xml:space="preserve">This could result in an infant ingesting up to 2 mg/kg/day. </w:t>
      </w:r>
    </w:p>
    <w:p w14:paraId="00C7C5F6" w14:textId="441391DA" w:rsidR="001678C4" w:rsidRDefault="00462F43" w:rsidP="00462F43">
      <w:pPr>
        <w:pStyle w:val="BodyTextSMPC"/>
      </w:pPr>
      <w:r>
        <w:t xml:space="preserve">Supplementation with pyridoxine is recommended for breast-feeding women and for breastfed infants, to </w:t>
      </w:r>
      <w:proofErr w:type="spellStart"/>
      <w:r>
        <w:t>minimise</w:t>
      </w:r>
      <w:proofErr w:type="spellEnd"/>
      <w:r>
        <w:t xml:space="preserve"> adverse reactions</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5F29650C" w:rsidR="00227FD4" w:rsidRPr="009D6FFD" w:rsidRDefault="00462F43" w:rsidP="00462F43">
      <w:pPr>
        <w:pStyle w:val="BodyTextSMPC"/>
      </w:pPr>
      <w:r>
        <w:t>Patients should be warned of the possibility of convulsions, psychosis and optic neuritis (see section 4.8)</w:t>
      </w:r>
      <w:r w:rsidR="003B51C2">
        <w:t>.</w:t>
      </w:r>
    </w:p>
    <w:p w14:paraId="071D62C3" w14:textId="1176E362" w:rsidR="00227FD4" w:rsidRPr="008F5678" w:rsidRDefault="00000000" w:rsidP="00671E86">
      <w:pPr>
        <w:pStyle w:val="SubHeafingSMPC"/>
      </w:pPr>
      <w:r w:rsidRPr="008F5678">
        <w:t xml:space="preserve">Undesirable effects </w:t>
      </w:r>
    </w:p>
    <w:p w14:paraId="47B6CDBD" w14:textId="1E854ABF" w:rsidR="00462F43" w:rsidRDefault="00462F43" w:rsidP="00462F43">
      <w:pPr>
        <w:pStyle w:val="BodyTextSMPC"/>
      </w:pPr>
      <w:r>
        <w:t xml:space="preserve">Side-effects have been reported mainly in association with high doses or in slow acetylators who develop higher blood levels of the drug. </w:t>
      </w:r>
    </w:p>
    <w:p w14:paraId="4AFFB6A8" w14:textId="77777777" w:rsidR="00462F43" w:rsidRPr="00462F43" w:rsidRDefault="00462F43" w:rsidP="00462F43">
      <w:pPr>
        <w:pStyle w:val="BodyTextSMPC"/>
        <w:rPr>
          <w:b/>
          <w:bCs/>
        </w:rPr>
      </w:pPr>
      <w:r w:rsidRPr="00462F43">
        <w:rPr>
          <w:b/>
          <w:bCs/>
        </w:rPr>
        <w:t>Tabulated list of adverse reactions</w:t>
      </w:r>
    </w:p>
    <w:p w14:paraId="1539B757" w14:textId="7A913C80" w:rsidR="00462F43" w:rsidRDefault="00462F43" w:rsidP="00462F43">
      <w:pPr>
        <w:pStyle w:val="BodyTextSMPC"/>
      </w:pPr>
      <w:r>
        <w:t xml:space="preserve">Undesirable effects are listed by MedDRA System Organ Classes. Assessment of undesirable effects is based on the following frequency groupings: </w:t>
      </w:r>
    </w:p>
    <w:p w14:paraId="6ADEE099" w14:textId="77777777" w:rsidR="00462F43" w:rsidRDefault="00462F43" w:rsidP="00462F43">
      <w:pPr>
        <w:pStyle w:val="BodyTextSMPC"/>
      </w:pPr>
      <w:r>
        <w:t xml:space="preserve">Very common: ≥1/10 </w:t>
      </w:r>
    </w:p>
    <w:p w14:paraId="148193B3" w14:textId="77CF683D" w:rsidR="00462F43" w:rsidRDefault="00462F43" w:rsidP="00462F43">
      <w:pPr>
        <w:pStyle w:val="BodyTextSMPC"/>
      </w:pPr>
      <w:r>
        <w:t xml:space="preserve">Common: ≥1/100 to &lt;1/10 </w:t>
      </w:r>
    </w:p>
    <w:p w14:paraId="4A0C0614" w14:textId="77777777" w:rsidR="00462F43" w:rsidRDefault="00462F43" w:rsidP="00462F43">
      <w:pPr>
        <w:pStyle w:val="BodyTextSMPC"/>
      </w:pPr>
      <w:r>
        <w:t xml:space="preserve">Uncommon: ≥1/1,000 to &lt;1/100 </w:t>
      </w:r>
    </w:p>
    <w:p w14:paraId="4A52151E" w14:textId="77777777" w:rsidR="00462F43" w:rsidRDefault="00462F43" w:rsidP="00462F43">
      <w:pPr>
        <w:pStyle w:val="BodyTextSMPC"/>
      </w:pPr>
      <w:r>
        <w:t xml:space="preserve">Rare: ≥1/10,000 to &lt;1/1,000 </w:t>
      </w:r>
    </w:p>
    <w:p w14:paraId="4A00F04C" w14:textId="77777777" w:rsidR="00462F43" w:rsidRDefault="00462F43" w:rsidP="00462F43">
      <w:pPr>
        <w:pStyle w:val="BodyTextSMPC"/>
      </w:pPr>
      <w:r>
        <w:t xml:space="preserve">Very rare: &lt;1/10,000 </w:t>
      </w:r>
    </w:p>
    <w:p w14:paraId="1999B3F5" w14:textId="67540D0B" w:rsidR="00DF0DD2" w:rsidRDefault="00462F43" w:rsidP="00462F43">
      <w:pPr>
        <w:pStyle w:val="BodyTextSMPC"/>
      </w:pPr>
      <w:r>
        <w:t>Not known: cannot be estimated from the available data</w:t>
      </w:r>
      <w:r w:rsidR="000F6998">
        <w:t xml:space="preserve"> </w:t>
      </w:r>
    </w:p>
    <w:tbl>
      <w:tblPr>
        <w:tblW w:w="8222"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657"/>
        <w:gridCol w:w="5565"/>
      </w:tblGrid>
      <w:tr w:rsidR="00462F43" w:rsidRPr="00462F43" w14:paraId="326286B9"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0FE888DB" w14:textId="77777777" w:rsidR="00462F43" w:rsidRPr="00462F43" w:rsidRDefault="00462F43" w:rsidP="00462F43">
            <w:pPr>
              <w:pStyle w:val="BodyTextSMPC"/>
              <w:spacing w:after="0"/>
              <w:ind w:left="0"/>
              <w:jc w:val="left"/>
              <w:rPr>
                <w:sz w:val="24"/>
                <w:szCs w:val="24"/>
              </w:rPr>
            </w:pPr>
            <w:r w:rsidRPr="00462F43">
              <w:rPr>
                <w:sz w:val="24"/>
                <w:szCs w:val="24"/>
              </w:rPr>
              <w:t>Blood and lymphatic system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66D6FFFE"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61279196" w14:textId="77777777" w:rsidR="00462F43" w:rsidRPr="00462F43" w:rsidRDefault="00462F43" w:rsidP="00462F43">
            <w:pPr>
              <w:pStyle w:val="BodyTextSMPC"/>
              <w:spacing w:after="0"/>
              <w:ind w:left="0"/>
              <w:jc w:val="left"/>
              <w:rPr>
                <w:sz w:val="24"/>
                <w:szCs w:val="24"/>
              </w:rPr>
            </w:pPr>
            <w:r w:rsidRPr="00462F43">
              <w:rPr>
                <w:sz w:val="24"/>
                <w:szCs w:val="24"/>
              </w:rPr>
              <w:t>Agranulocytosis</w:t>
            </w:r>
          </w:p>
          <w:p w14:paraId="46092380" w14:textId="77777777" w:rsidR="00462F43" w:rsidRPr="00462F43" w:rsidRDefault="00462F43" w:rsidP="00462F43">
            <w:pPr>
              <w:pStyle w:val="BodyTextSMPC"/>
              <w:spacing w:after="0"/>
              <w:ind w:left="0"/>
              <w:jc w:val="left"/>
              <w:rPr>
                <w:sz w:val="24"/>
                <w:szCs w:val="24"/>
              </w:rPr>
            </w:pPr>
            <w:proofErr w:type="spellStart"/>
            <w:r w:rsidRPr="00462F43">
              <w:rPr>
                <w:sz w:val="24"/>
                <w:szCs w:val="24"/>
              </w:rPr>
              <w:t>Anaemia</w:t>
            </w:r>
            <w:proofErr w:type="spellEnd"/>
            <w:r w:rsidRPr="00462F43">
              <w:rPr>
                <w:sz w:val="24"/>
                <w:szCs w:val="24"/>
              </w:rPr>
              <w:t xml:space="preserve"> including </w:t>
            </w:r>
            <w:proofErr w:type="spellStart"/>
            <w:r w:rsidRPr="00462F43">
              <w:rPr>
                <w:sz w:val="24"/>
                <w:szCs w:val="24"/>
              </w:rPr>
              <w:t>haemolytic</w:t>
            </w:r>
            <w:proofErr w:type="spellEnd"/>
            <w:r w:rsidRPr="00462F43">
              <w:rPr>
                <w:sz w:val="24"/>
                <w:szCs w:val="24"/>
              </w:rPr>
              <w:t>, sideroblastic and aplastic</w:t>
            </w:r>
          </w:p>
          <w:p w14:paraId="67A3B093" w14:textId="77777777" w:rsidR="00462F43" w:rsidRPr="00462F43" w:rsidRDefault="00462F43" w:rsidP="00462F43">
            <w:pPr>
              <w:pStyle w:val="BodyTextSMPC"/>
              <w:spacing w:after="0"/>
              <w:ind w:left="0"/>
              <w:jc w:val="left"/>
              <w:rPr>
                <w:sz w:val="24"/>
                <w:szCs w:val="24"/>
              </w:rPr>
            </w:pPr>
            <w:r w:rsidRPr="00462F43">
              <w:rPr>
                <w:sz w:val="24"/>
                <w:szCs w:val="24"/>
              </w:rPr>
              <w:t>Eosinophilia</w:t>
            </w:r>
          </w:p>
          <w:p w14:paraId="0DB9F7C2" w14:textId="77777777" w:rsidR="00462F43" w:rsidRPr="00462F43" w:rsidRDefault="00462F43" w:rsidP="00462F43">
            <w:pPr>
              <w:pStyle w:val="BodyTextSMPC"/>
              <w:spacing w:after="0"/>
              <w:ind w:left="0"/>
              <w:jc w:val="left"/>
              <w:rPr>
                <w:sz w:val="24"/>
                <w:szCs w:val="24"/>
              </w:rPr>
            </w:pPr>
            <w:r w:rsidRPr="00462F43">
              <w:rPr>
                <w:sz w:val="24"/>
                <w:szCs w:val="24"/>
              </w:rPr>
              <w:t>Thrombocytopenia</w:t>
            </w:r>
          </w:p>
        </w:tc>
      </w:tr>
      <w:tr w:rsidR="00462F43" w:rsidRPr="00462F43" w14:paraId="5B828950"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08D7385C" w14:textId="77777777" w:rsidR="00462F43" w:rsidRPr="00462F43" w:rsidRDefault="00462F43" w:rsidP="00462F43">
            <w:pPr>
              <w:pStyle w:val="BodyTextSMPC"/>
              <w:spacing w:after="0"/>
              <w:ind w:left="0"/>
              <w:jc w:val="left"/>
              <w:rPr>
                <w:sz w:val="24"/>
                <w:szCs w:val="24"/>
              </w:rPr>
            </w:pPr>
            <w:r w:rsidRPr="00462F43">
              <w:rPr>
                <w:sz w:val="24"/>
                <w:szCs w:val="24"/>
              </w:rPr>
              <w:t>Immune system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4399CA08"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7DE87FFA" w14:textId="77777777" w:rsidR="00462F43" w:rsidRPr="00462F43" w:rsidRDefault="00462F43" w:rsidP="00462F43">
            <w:pPr>
              <w:pStyle w:val="BodyTextSMPC"/>
              <w:spacing w:after="0"/>
              <w:ind w:left="0"/>
              <w:jc w:val="left"/>
              <w:rPr>
                <w:sz w:val="24"/>
                <w:szCs w:val="24"/>
              </w:rPr>
            </w:pPr>
            <w:r w:rsidRPr="00462F43">
              <w:rPr>
                <w:sz w:val="24"/>
                <w:szCs w:val="24"/>
              </w:rPr>
              <w:lastRenderedPageBreak/>
              <w:t>Lupoid syndrome</w:t>
            </w:r>
          </w:p>
        </w:tc>
      </w:tr>
      <w:tr w:rsidR="00462F43" w:rsidRPr="00462F43" w14:paraId="2360AC6D"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39DAA6B1" w14:textId="77777777" w:rsidR="00462F43" w:rsidRPr="00462F43" w:rsidRDefault="00462F43" w:rsidP="00462F43">
            <w:pPr>
              <w:pStyle w:val="BodyTextSMPC"/>
              <w:spacing w:after="0"/>
              <w:ind w:left="0"/>
              <w:jc w:val="left"/>
              <w:rPr>
                <w:sz w:val="24"/>
                <w:szCs w:val="24"/>
              </w:rPr>
            </w:pPr>
            <w:r w:rsidRPr="00462F43">
              <w:rPr>
                <w:sz w:val="24"/>
                <w:szCs w:val="24"/>
              </w:rPr>
              <w:lastRenderedPageBreak/>
              <w:t>Metabolism and nutrition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1439ABF8"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03871081" w14:textId="77777777" w:rsidR="00462F43" w:rsidRPr="00462F43" w:rsidRDefault="00462F43" w:rsidP="00462F43">
            <w:pPr>
              <w:pStyle w:val="BodyTextSMPC"/>
              <w:spacing w:after="0"/>
              <w:ind w:left="0"/>
              <w:jc w:val="left"/>
              <w:rPr>
                <w:sz w:val="24"/>
                <w:szCs w:val="24"/>
              </w:rPr>
            </w:pPr>
            <w:r w:rsidRPr="00462F43">
              <w:rPr>
                <w:sz w:val="24"/>
                <w:szCs w:val="24"/>
              </w:rPr>
              <w:t>Pellagra</w:t>
            </w:r>
          </w:p>
          <w:p w14:paraId="6F90DC4F" w14:textId="77777777" w:rsidR="00462F43" w:rsidRPr="00462F43" w:rsidRDefault="00462F43" w:rsidP="00462F43">
            <w:pPr>
              <w:pStyle w:val="BodyTextSMPC"/>
              <w:spacing w:after="0"/>
              <w:ind w:left="0"/>
              <w:jc w:val="left"/>
              <w:rPr>
                <w:sz w:val="24"/>
                <w:szCs w:val="24"/>
              </w:rPr>
            </w:pPr>
            <w:proofErr w:type="spellStart"/>
            <w:r w:rsidRPr="00462F43">
              <w:rPr>
                <w:sz w:val="24"/>
                <w:szCs w:val="24"/>
              </w:rPr>
              <w:t>Hyperglycaemia</w:t>
            </w:r>
            <w:proofErr w:type="spellEnd"/>
          </w:p>
        </w:tc>
      </w:tr>
      <w:tr w:rsidR="00462F43" w:rsidRPr="00462F43" w14:paraId="27EE4BCB"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4EC39076" w14:textId="77777777" w:rsidR="00462F43" w:rsidRPr="00462F43" w:rsidRDefault="00462F43" w:rsidP="00462F43">
            <w:pPr>
              <w:pStyle w:val="BodyTextSMPC"/>
              <w:spacing w:after="0"/>
              <w:ind w:left="0"/>
              <w:jc w:val="left"/>
              <w:rPr>
                <w:sz w:val="24"/>
                <w:szCs w:val="24"/>
              </w:rPr>
            </w:pPr>
            <w:r w:rsidRPr="00462F43">
              <w:rPr>
                <w:sz w:val="24"/>
                <w:szCs w:val="24"/>
              </w:rPr>
              <w:t>Psychiatric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3F89E7EB"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2892EF2D" w14:textId="77777777" w:rsidR="00462F43" w:rsidRPr="00462F43" w:rsidRDefault="00462F43" w:rsidP="00462F43">
            <w:pPr>
              <w:pStyle w:val="BodyTextSMPC"/>
              <w:spacing w:after="0"/>
              <w:ind w:left="0"/>
              <w:jc w:val="left"/>
              <w:rPr>
                <w:sz w:val="24"/>
                <w:szCs w:val="24"/>
              </w:rPr>
            </w:pPr>
            <w:r w:rsidRPr="00462F43">
              <w:rPr>
                <w:sz w:val="24"/>
                <w:szCs w:val="24"/>
              </w:rPr>
              <w:t>Psychosis (see section 4.4)</w:t>
            </w:r>
          </w:p>
        </w:tc>
      </w:tr>
      <w:tr w:rsidR="00462F43" w:rsidRPr="00462F43" w14:paraId="4CC49F9F"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7BDE784B" w14:textId="77777777" w:rsidR="00462F43" w:rsidRPr="00462F43" w:rsidRDefault="00462F43" w:rsidP="00462F43">
            <w:pPr>
              <w:pStyle w:val="BodyTextSMPC"/>
              <w:spacing w:after="0"/>
              <w:ind w:left="0"/>
              <w:jc w:val="left"/>
              <w:rPr>
                <w:sz w:val="24"/>
                <w:szCs w:val="24"/>
              </w:rPr>
            </w:pPr>
            <w:r w:rsidRPr="00462F43">
              <w:rPr>
                <w:sz w:val="24"/>
                <w:szCs w:val="24"/>
              </w:rPr>
              <w:t>Nervous system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20B9D560"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143B8EBB" w14:textId="77777777" w:rsidR="00462F43" w:rsidRPr="00462F43" w:rsidRDefault="00462F43" w:rsidP="00462F43">
            <w:pPr>
              <w:pStyle w:val="BodyTextSMPC"/>
              <w:spacing w:after="0"/>
              <w:ind w:left="0"/>
              <w:jc w:val="left"/>
              <w:rPr>
                <w:sz w:val="24"/>
                <w:szCs w:val="24"/>
              </w:rPr>
            </w:pPr>
            <w:r w:rsidRPr="00462F43">
              <w:rPr>
                <w:sz w:val="24"/>
                <w:szCs w:val="24"/>
              </w:rPr>
              <w:t>Peripheral neuropathy</w:t>
            </w:r>
          </w:p>
          <w:p w14:paraId="4BDF6104" w14:textId="77777777" w:rsidR="00462F43" w:rsidRPr="00462F43" w:rsidRDefault="00462F43" w:rsidP="00462F43">
            <w:pPr>
              <w:pStyle w:val="BodyTextSMPC"/>
              <w:spacing w:after="0"/>
              <w:ind w:left="0"/>
              <w:jc w:val="left"/>
              <w:rPr>
                <w:sz w:val="24"/>
                <w:szCs w:val="24"/>
              </w:rPr>
            </w:pPr>
            <w:r w:rsidRPr="00462F43">
              <w:rPr>
                <w:sz w:val="24"/>
                <w:szCs w:val="24"/>
              </w:rPr>
              <w:t>Optic neuritis</w:t>
            </w:r>
          </w:p>
          <w:p w14:paraId="5399C26D" w14:textId="77777777" w:rsidR="00462F43" w:rsidRPr="00462F43" w:rsidRDefault="00462F43" w:rsidP="00462F43">
            <w:pPr>
              <w:pStyle w:val="BodyTextSMPC"/>
              <w:spacing w:after="0"/>
              <w:ind w:left="0"/>
              <w:jc w:val="left"/>
              <w:rPr>
                <w:sz w:val="24"/>
                <w:szCs w:val="24"/>
              </w:rPr>
            </w:pPr>
            <w:r w:rsidRPr="00462F43">
              <w:rPr>
                <w:sz w:val="24"/>
                <w:szCs w:val="24"/>
              </w:rPr>
              <w:t>Convulsions (see section 4.4)</w:t>
            </w:r>
          </w:p>
        </w:tc>
      </w:tr>
      <w:tr w:rsidR="00462F43" w:rsidRPr="00462F43" w14:paraId="6EC07DDF"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2E2C704D" w14:textId="77777777" w:rsidR="00462F43" w:rsidRPr="00462F43" w:rsidRDefault="00462F43" w:rsidP="00462F43">
            <w:pPr>
              <w:pStyle w:val="BodyTextSMPC"/>
              <w:spacing w:after="0"/>
              <w:ind w:left="0"/>
              <w:jc w:val="left"/>
              <w:rPr>
                <w:sz w:val="24"/>
                <w:szCs w:val="24"/>
              </w:rPr>
            </w:pPr>
            <w:r w:rsidRPr="00462F43">
              <w:rPr>
                <w:sz w:val="24"/>
                <w:szCs w:val="24"/>
              </w:rPr>
              <w:t>Eye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79DD1622"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31A7003A" w14:textId="77777777" w:rsidR="00462F43" w:rsidRPr="00462F43" w:rsidRDefault="00462F43" w:rsidP="00462F43">
            <w:pPr>
              <w:pStyle w:val="BodyTextSMPC"/>
              <w:spacing w:after="0"/>
              <w:ind w:left="0"/>
              <w:jc w:val="left"/>
              <w:rPr>
                <w:sz w:val="24"/>
                <w:szCs w:val="24"/>
              </w:rPr>
            </w:pPr>
            <w:r w:rsidRPr="00462F43">
              <w:rPr>
                <w:sz w:val="24"/>
                <w:szCs w:val="24"/>
              </w:rPr>
              <w:t>Optic atrophy</w:t>
            </w:r>
          </w:p>
        </w:tc>
      </w:tr>
      <w:tr w:rsidR="00462F43" w:rsidRPr="00462F43" w14:paraId="2BB713B7"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69A9B4D1" w14:textId="77777777" w:rsidR="00462F43" w:rsidRPr="00462F43" w:rsidRDefault="00462F43" w:rsidP="00462F43">
            <w:pPr>
              <w:pStyle w:val="BodyTextSMPC"/>
              <w:spacing w:after="0"/>
              <w:ind w:left="0"/>
              <w:jc w:val="left"/>
              <w:rPr>
                <w:sz w:val="24"/>
                <w:szCs w:val="24"/>
              </w:rPr>
            </w:pPr>
            <w:r w:rsidRPr="00462F43">
              <w:rPr>
                <w:sz w:val="24"/>
                <w:szCs w:val="24"/>
              </w:rPr>
              <w:t>Vascular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2E8AA9D7"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18A276DF" w14:textId="77777777" w:rsidR="00462F43" w:rsidRPr="00462F43" w:rsidRDefault="00462F43" w:rsidP="00462F43">
            <w:pPr>
              <w:pStyle w:val="BodyTextSMPC"/>
              <w:spacing w:after="0"/>
              <w:ind w:left="0"/>
              <w:jc w:val="left"/>
              <w:rPr>
                <w:sz w:val="24"/>
                <w:szCs w:val="24"/>
              </w:rPr>
            </w:pPr>
            <w:r w:rsidRPr="00462F43">
              <w:rPr>
                <w:sz w:val="24"/>
                <w:szCs w:val="24"/>
              </w:rPr>
              <w:t>Vasculitis</w:t>
            </w:r>
          </w:p>
        </w:tc>
      </w:tr>
      <w:tr w:rsidR="00462F43" w:rsidRPr="00462F43" w14:paraId="7D338822"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297C30FE" w14:textId="77777777" w:rsidR="00462F43" w:rsidRPr="00462F43" w:rsidRDefault="00462F43" w:rsidP="00462F43">
            <w:pPr>
              <w:pStyle w:val="BodyTextSMPC"/>
              <w:spacing w:after="0"/>
              <w:ind w:left="0"/>
              <w:jc w:val="left"/>
              <w:rPr>
                <w:sz w:val="24"/>
                <w:szCs w:val="24"/>
              </w:rPr>
            </w:pPr>
            <w:r w:rsidRPr="00462F43">
              <w:rPr>
                <w:sz w:val="24"/>
                <w:szCs w:val="24"/>
              </w:rPr>
              <w:t>Gastrointestinal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1C704E20"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1B71F0E7" w14:textId="77777777" w:rsidR="00462F43" w:rsidRPr="00462F43" w:rsidRDefault="00462F43" w:rsidP="00462F43">
            <w:pPr>
              <w:pStyle w:val="BodyTextSMPC"/>
              <w:spacing w:after="0"/>
              <w:ind w:left="0"/>
              <w:jc w:val="left"/>
              <w:rPr>
                <w:sz w:val="24"/>
                <w:szCs w:val="24"/>
              </w:rPr>
            </w:pPr>
            <w:r w:rsidRPr="00462F43">
              <w:rPr>
                <w:sz w:val="24"/>
                <w:szCs w:val="24"/>
              </w:rPr>
              <w:t>Pancreatitis (see section 4.4)</w:t>
            </w:r>
          </w:p>
        </w:tc>
      </w:tr>
      <w:tr w:rsidR="00462F43" w:rsidRPr="00462F43" w14:paraId="4DB3612D"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3CFA85B9" w14:textId="77777777" w:rsidR="00462F43" w:rsidRPr="00462F43" w:rsidRDefault="00462F43" w:rsidP="00462F43">
            <w:pPr>
              <w:pStyle w:val="BodyTextSMPC"/>
              <w:spacing w:after="0"/>
              <w:ind w:left="0"/>
              <w:jc w:val="left"/>
              <w:rPr>
                <w:sz w:val="24"/>
                <w:szCs w:val="24"/>
              </w:rPr>
            </w:pPr>
            <w:r w:rsidRPr="00462F43">
              <w:rPr>
                <w:sz w:val="24"/>
                <w:szCs w:val="24"/>
              </w:rPr>
              <w:t>Hepatobiliary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71E8F055" w14:textId="77777777" w:rsidR="00462F43" w:rsidRPr="00462F43" w:rsidRDefault="00462F43" w:rsidP="00462F43">
            <w:pPr>
              <w:pStyle w:val="BodyTextSMPC"/>
              <w:spacing w:after="0"/>
              <w:ind w:left="0"/>
              <w:jc w:val="left"/>
              <w:rPr>
                <w:sz w:val="24"/>
                <w:szCs w:val="24"/>
              </w:rPr>
            </w:pPr>
            <w:r w:rsidRPr="00462F43">
              <w:rPr>
                <w:i/>
                <w:iCs/>
                <w:sz w:val="24"/>
                <w:szCs w:val="24"/>
              </w:rPr>
              <w:t>Uncommon:</w:t>
            </w:r>
          </w:p>
          <w:p w14:paraId="1058DCD3" w14:textId="77777777" w:rsidR="00462F43" w:rsidRPr="00462F43" w:rsidRDefault="00462F43" w:rsidP="00462F43">
            <w:pPr>
              <w:pStyle w:val="BodyTextSMPC"/>
              <w:spacing w:after="0"/>
              <w:ind w:left="0"/>
              <w:jc w:val="left"/>
              <w:rPr>
                <w:sz w:val="24"/>
                <w:szCs w:val="24"/>
              </w:rPr>
            </w:pPr>
            <w:r w:rsidRPr="00462F43">
              <w:rPr>
                <w:sz w:val="24"/>
                <w:szCs w:val="24"/>
              </w:rPr>
              <w:t>Hepatitis</w:t>
            </w:r>
          </w:p>
          <w:p w14:paraId="3C1C4C84"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24B030D5" w14:textId="77777777" w:rsidR="00462F43" w:rsidRPr="00462F43" w:rsidRDefault="00462F43" w:rsidP="00462F43">
            <w:pPr>
              <w:pStyle w:val="BodyTextSMPC"/>
              <w:spacing w:after="0"/>
              <w:ind w:left="0"/>
              <w:jc w:val="left"/>
              <w:rPr>
                <w:sz w:val="24"/>
                <w:szCs w:val="24"/>
              </w:rPr>
            </w:pPr>
            <w:r w:rsidRPr="00462F43">
              <w:rPr>
                <w:sz w:val="24"/>
                <w:szCs w:val="24"/>
              </w:rPr>
              <w:t>Function liver abnormal</w:t>
            </w:r>
          </w:p>
          <w:p w14:paraId="164E1CCB" w14:textId="77777777" w:rsidR="00462F43" w:rsidRPr="00462F43" w:rsidRDefault="00462F43" w:rsidP="00462F43">
            <w:pPr>
              <w:pStyle w:val="BodyTextSMPC"/>
              <w:spacing w:after="0"/>
              <w:ind w:left="0"/>
              <w:jc w:val="left"/>
              <w:rPr>
                <w:sz w:val="24"/>
                <w:szCs w:val="24"/>
              </w:rPr>
            </w:pPr>
            <w:r w:rsidRPr="00462F43">
              <w:rPr>
                <w:sz w:val="24"/>
                <w:szCs w:val="24"/>
              </w:rPr>
              <w:t>Jaundice</w:t>
            </w:r>
          </w:p>
        </w:tc>
      </w:tr>
      <w:tr w:rsidR="00462F43" w:rsidRPr="00462F43" w14:paraId="52397B25"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75A3D57C" w14:textId="77777777" w:rsidR="00462F43" w:rsidRPr="00462F43" w:rsidRDefault="00462F43" w:rsidP="00462F43">
            <w:pPr>
              <w:pStyle w:val="BodyTextSMPC"/>
              <w:spacing w:after="0"/>
              <w:ind w:left="0"/>
              <w:jc w:val="left"/>
              <w:rPr>
                <w:sz w:val="24"/>
                <w:szCs w:val="24"/>
              </w:rPr>
            </w:pPr>
            <w:r w:rsidRPr="00462F43">
              <w:rPr>
                <w:sz w:val="24"/>
                <w:szCs w:val="24"/>
              </w:rPr>
              <w:t>Skin and subcutaneous tissue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2941E398" w14:textId="77777777" w:rsidR="00462F43" w:rsidRPr="00462F43" w:rsidRDefault="00462F43" w:rsidP="00462F43">
            <w:pPr>
              <w:pStyle w:val="BodyTextSMPC"/>
              <w:spacing w:after="0"/>
              <w:ind w:left="0"/>
              <w:jc w:val="left"/>
              <w:rPr>
                <w:sz w:val="24"/>
                <w:szCs w:val="24"/>
              </w:rPr>
            </w:pPr>
            <w:r w:rsidRPr="00462F43">
              <w:rPr>
                <w:i/>
                <w:iCs/>
                <w:sz w:val="24"/>
                <w:szCs w:val="24"/>
              </w:rPr>
              <w:t>Rare:</w:t>
            </w:r>
          </w:p>
          <w:p w14:paraId="5FC50746" w14:textId="77777777" w:rsidR="00462F43" w:rsidRPr="00462F43" w:rsidRDefault="00462F43" w:rsidP="00462F43">
            <w:pPr>
              <w:pStyle w:val="BodyTextSMPC"/>
              <w:spacing w:after="0"/>
              <w:ind w:left="0"/>
              <w:jc w:val="left"/>
              <w:rPr>
                <w:sz w:val="24"/>
                <w:szCs w:val="24"/>
              </w:rPr>
            </w:pPr>
            <w:r w:rsidRPr="00462F43">
              <w:rPr>
                <w:sz w:val="24"/>
                <w:szCs w:val="24"/>
              </w:rPr>
              <w:t>Toxic epidermal necrolysis</w:t>
            </w:r>
          </w:p>
          <w:p w14:paraId="24B4E618" w14:textId="77777777" w:rsidR="00462F43" w:rsidRPr="00462F43" w:rsidRDefault="00462F43" w:rsidP="00462F43">
            <w:pPr>
              <w:pStyle w:val="BodyTextSMPC"/>
              <w:spacing w:after="0"/>
              <w:ind w:left="0"/>
              <w:jc w:val="left"/>
              <w:rPr>
                <w:sz w:val="24"/>
                <w:szCs w:val="24"/>
              </w:rPr>
            </w:pPr>
            <w:r w:rsidRPr="00462F43">
              <w:rPr>
                <w:sz w:val="24"/>
                <w:szCs w:val="24"/>
              </w:rPr>
              <w:t>Eosinophilia systemic symptoms</w:t>
            </w:r>
          </w:p>
          <w:p w14:paraId="4AEBDC24"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55693E79" w14:textId="77777777" w:rsidR="00462F43" w:rsidRPr="00462F43" w:rsidRDefault="00462F43" w:rsidP="00462F43">
            <w:pPr>
              <w:pStyle w:val="BodyTextSMPC"/>
              <w:spacing w:after="0"/>
              <w:ind w:left="0"/>
              <w:jc w:val="left"/>
              <w:rPr>
                <w:sz w:val="24"/>
                <w:szCs w:val="24"/>
              </w:rPr>
            </w:pPr>
            <w:r w:rsidRPr="00462F43">
              <w:rPr>
                <w:sz w:val="24"/>
                <w:szCs w:val="24"/>
              </w:rPr>
              <w:t>Alopecia</w:t>
            </w:r>
          </w:p>
          <w:p w14:paraId="418E894A" w14:textId="77777777" w:rsidR="00462F43" w:rsidRPr="00462F43" w:rsidRDefault="00462F43" w:rsidP="00462F43">
            <w:pPr>
              <w:pStyle w:val="BodyTextSMPC"/>
              <w:spacing w:after="0"/>
              <w:ind w:left="0"/>
              <w:jc w:val="left"/>
              <w:rPr>
                <w:sz w:val="24"/>
                <w:szCs w:val="24"/>
              </w:rPr>
            </w:pPr>
            <w:r w:rsidRPr="00462F43">
              <w:rPr>
                <w:sz w:val="24"/>
                <w:szCs w:val="24"/>
              </w:rPr>
              <w:t>Allergic skin reaction (including erythema multiforme)</w:t>
            </w:r>
          </w:p>
          <w:p w14:paraId="1435B3DA" w14:textId="77777777" w:rsidR="00462F43" w:rsidRPr="00462F43" w:rsidRDefault="00462F43" w:rsidP="00462F43">
            <w:pPr>
              <w:pStyle w:val="BodyTextSMPC"/>
              <w:spacing w:after="0"/>
              <w:ind w:left="0"/>
              <w:jc w:val="left"/>
              <w:rPr>
                <w:sz w:val="24"/>
                <w:szCs w:val="24"/>
              </w:rPr>
            </w:pPr>
            <w:r w:rsidRPr="00462F43">
              <w:rPr>
                <w:sz w:val="24"/>
                <w:szCs w:val="24"/>
              </w:rPr>
              <w:t>Purpura</w:t>
            </w:r>
          </w:p>
          <w:p w14:paraId="6B416F1C" w14:textId="77777777" w:rsidR="00462F43" w:rsidRPr="00462F43" w:rsidRDefault="00462F43" w:rsidP="00462F43">
            <w:pPr>
              <w:pStyle w:val="BodyTextSMPC"/>
              <w:spacing w:after="0"/>
              <w:ind w:left="0"/>
              <w:jc w:val="left"/>
              <w:rPr>
                <w:sz w:val="24"/>
                <w:szCs w:val="24"/>
              </w:rPr>
            </w:pPr>
            <w:r w:rsidRPr="00462F43">
              <w:rPr>
                <w:sz w:val="24"/>
                <w:szCs w:val="24"/>
              </w:rPr>
              <w:t>Rash</w:t>
            </w:r>
          </w:p>
          <w:p w14:paraId="485078DC" w14:textId="77777777" w:rsidR="00462F43" w:rsidRPr="00462F43" w:rsidRDefault="00462F43" w:rsidP="00462F43">
            <w:pPr>
              <w:pStyle w:val="BodyTextSMPC"/>
              <w:spacing w:after="0"/>
              <w:ind w:left="0"/>
              <w:jc w:val="left"/>
              <w:rPr>
                <w:sz w:val="24"/>
                <w:szCs w:val="24"/>
              </w:rPr>
            </w:pPr>
            <w:r w:rsidRPr="00462F43">
              <w:rPr>
                <w:sz w:val="24"/>
                <w:szCs w:val="24"/>
              </w:rPr>
              <w:t>Exfoliative dermatitis</w:t>
            </w:r>
          </w:p>
        </w:tc>
      </w:tr>
      <w:tr w:rsidR="00462F43" w:rsidRPr="00462F43" w14:paraId="3E646095"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02361183" w14:textId="77777777" w:rsidR="00462F43" w:rsidRPr="00462F43" w:rsidRDefault="00462F43" w:rsidP="00462F43">
            <w:pPr>
              <w:pStyle w:val="BodyTextSMPC"/>
              <w:spacing w:after="0"/>
              <w:ind w:left="0"/>
              <w:jc w:val="left"/>
              <w:rPr>
                <w:sz w:val="24"/>
                <w:szCs w:val="24"/>
              </w:rPr>
            </w:pPr>
            <w:r w:rsidRPr="00462F43">
              <w:rPr>
                <w:sz w:val="24"/>
                <w:szCs w:val="24"/>
              </w:rPr>
              <w:t>Reproductive system and breast disorders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6F4A849C"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18CE5375" w14:textId="77777777" w:rsidR="00462F43" w:rsidRPr="00462F43" w:rsidRDefault="00462F43" w:rsidP="00462F43">
            <w:pPr>
              <w:pStyle w:val="BodyTextSMPC"/>
              <w:spacing w:after="0"/>
              <w:ind w:left="0"/>
              <w:jc w:val="left"/>
              <w:rPr>
                <w:sz w:val="24"/>
                <w:szCs w:val="24"/>
              </w:rPr>
            </w:pPr>
            <w:proofErr w:type="spellStart"/>
            <w:r w:rsidRPr="00462F43">
              <w:rPr>
                <w:sz w:val="24"/>
                <w:szCs w:val="24"/>
              </w:rPr>
              <w:t>Gynaeco-mastia</w:t>
            </w:r>
            <w:proofErr w:type="spellEnd"/>
          </w:p>
        </w:tc>
      </w:tr>
      <w:tr w:rsidR="00462F43" w:rsidRPr="00462F43" w14:paraId="04E12ED0" w14:textId="77777777" w:rsidTr="00462F43">
        <w:trPr>
          <w:tblCellSpacing w:w="0" w:type="dxa"/>
        </w:trPr>
        <w:tc>
          <w:tcPr>
            <w:tcW w:w="1616" w:type="pct"/>
            <w:tcBorders>
              <w:top w:val="outset" w:sz="6" w:space="0" w:color="auto"/>
              <w:left w:val="outset" w:sz="6" w:space="0" w:color="auto"/>
              <w:bottom w:val="outset" w:sz="6" w:space="0" w:color="auto"/>
              <w:right w:val="outset" w:sz="6" w:space="0" w:color="auto"/>
            </w:tcBorders>
            <w:shd w:val="clear" w:color="auto" w:fill="FFFFFF"/>
            <w:hideMark/>
          </w:tcPr>
          <w:p w14:paraId="2BDA0CFF" w14:textId="77777777" w:rsidR="00462F43" w:rsidRPr="00462F43" w:rsidRDefault="00462F43" w:rsidP="00462F43">
            <w:pPr>
              <w:pStyle w:val="BodyTextSMPC"/>
              <w:spacing w:after="0"/>
              <w:ind w:left="0"/>
              <w:jc w:val="left"/>
              <w:rPr>
                <w:sz w:val="24"/>
                <w:szCs w:val="24"/>
              </w:rPr>
            </w:pPr>
            <w:r w:rsidRPr="00462F43">
              <w:rPr>
                <w:sz w:val="24"/>
                <w:szCs w:val="24"/>
              </w:rPr>
              <w:t>General disorders and administration site conditions</w:t>
            </w:r>
          </w:p>
        </w:tc>
        <w:tc>
          <w:tcPr>
            <w:tcW w:w="3384" w:type="pct"/>
            <w:tcBorders>
              <w:top w:val="outset" w:sz="6" w:space="0" w:color="auto"/>
              <w:left w:val="outset" w:sz="6" w:space="0" w:color="auto"/>
              <w:bottom w:val="outset" w:sz="6" w:space="0" w:color="auto"/>
              <w:right w:val="outset" w:sz="6" w:space="0" w:color="auto"/>
            </w:tcBorders>
            <w:shd w:val="clear" w:color="auto" w:fill="FFFFFF"/>
            <w:hideMark/>
          </w:tcPr>
          <w:p w14:paraId="67315672" w14:textId="77777777" w:rsidR="00462F43" w:rsidRPr="00462F43" w:rsidRDefault="00462F43" w:rsidP="00462F43">
            <w:pPr>
              <w:pStyle w:val="BodyTextSMPC"/>
              <w:spacing w:after="0"/>
              <w:ind w:left="0"/>
              <w:jc w:val="left"/>
              <w:rPr>
                <w:sz w:val="24"/>
                <w:szCs w:val="24"/>
              </w:rPr>
            </w:pPr>
            <w:r w:rsidRPr="00462F43">
              <w:rPr>
                <w:i/>
                <w:iCs/>
                <w:sz w:val="24"/>
                <w:szCs w:val="24"/>
              </w:rPr>
              <w:t>Not known:</w:t>
            </w:r>
          </w:p>
          <w:p w14:paraId="6ACE3C03" w14:textId="77777777" w:rsidR="00462F43" w:rsidRPr="00462F43" w:rsidRDefault="00462F43" w:rsidP="00462F43">
            <w:pPr>
              <w:pStyle w:val="BodyTextSMPC"/>
              <w:spacing w:after="0"/>
              <w:ind w:left="0"/>
              <w:jc w:val="left"/>
              <w:rPr>
                <w:sz w:val="24"/>
                <w:szCs w:val="24"/>
              </w:rPr>
            </w:pPr>
            <w:r w:rsidRPr="00462F43">
              <w:rPr>
                <w:sz w:val="24"/>
                <w:szCs w:val="24"/>
              </w:rPr>
              <w:t>Fever</w:t>
            </w:r>
          </w:p>
        </w:tc>
      </w:tr>
    </w:tbl>
    <w:p w14:paraId="5B7998F6" w14:textId="77777777" w:rsidR="00462F43" w:rsidRPr="008E0067" w:rsidRDefault="00462F43" w:rsidP="00462F43">
      <w:pPr>
        <w:pStyle w:val="BodyTextSMPC"/>
        <w:rPr>
          <w:u w:val="single"/>
        </w:rPr>
      </w:pPr>
    </w:p>
    <w:p w14:paraId="18371A26" w14:textId="77777777" w:rsidR="008E0067" w:rsidRPr="008E0067" w:rsidRDefault="008E0067" w:rsidP="008E0067">
      <w:pPr>
        <w:pStyle w:val="BodyTextSMPC"/>
        <w:rPr>
          <w:b/>
          <w:bCs/>
        </w:rPr>
      </w:pPr>
      <w:r w:rsidRPr="008E0067">
        <w:rPr>
          <w:u w:val="single"/>
        </w:rPr>
        <w:t>Description of selected adverse reactions</w:t>
      </w:r>
    </w:p>
    <w:p w14:paraId="5C8B9F3E" w14:textId="51CE6176" w:rsidR="008E0067" w:rsidRDefault="008E0067" w:rsidP="008E0067">
      <w:pPr>
        <w:pStyle w:val="BodyTextSMPC"/>
      </w:pPr>
      <w:r>
        <w:t>Isoniazid, especially if given with rifampicin, may induce abnormalities in liver function, particularly in patients with pre-existing liver</w:t>
      </w:r>
      <w:r>
        <w:t xml:space="preserve"> </w:t>
      </w:r>
      <w:r>
        <w:lastRenderedPageBreak/>
        <w:t xml:space="preserve">disorders, in the elderly, the very young and the malnourished (see section 4.4). </w:t>
      </w:r>
    </w:p>
    <w:p w14:paraId="7368F9CB" w14:textId="77777777" w:rsidR="008E0067" w:rsidRDefault="008E0067" w:rsidP="008E0067">
      <w:pPr>
        <w:pStyle w:val="BodyTextSMPC"/>
      </w:pPr>
      <w:r>
        <w:t xml:space="preserve">Peripheral neuropathy may be preventable with pyridoxine. </w:t>
      </w:r>
    </w:p>
    <w:p w14:paraId="6A308760" w14:textId="1D43CCA5" w:rsidR="008E0067" w:rsidRDefault="008E0067" w:rsidP="008E0067">
      <w:pPr>
        <w:pStyle w:val="BodyTextSMPC"/>
      </w:pPr>
      <w:r>
        <w:t>Severe and sometimes fatal hepatitis may occur with isoniazid therapy.</w:t>
      </w:r>
    </w:p>
    <w:p w14:paraId="6D003B03" w14:textId="40865229"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2A18D89" w14:textId="0B8B218A" w:rsidR="00C423B0" w:rsidRDefault="00C423B0" w:rsidP="00C423B0">
      <w:pPr>
        <w:pStyle w:val="BodyTextSMPC"/>
      </w:pPr>
      <w:r>
        <w:t xml:space="preserve">In severe poisoning the main risk is of epileptiform convulsions. Other features of CNS toxicity may be apparent including cerebellar syndrome. In </w:t>
      </w:r>
      <w:proofErr w:type="gramStart"/>
      <w:r>
        <w:t>addition</w:t>
      </w:r>
      <w:proofErr w:type="gramEnd"/>
      <w:r>
        <w:t xml:space="preserve"> any of the side-effects listed in section 4.8 may occur together with metabolic acidosis, </w:t>
      </w:r>
      <w:proofErr w:type="spellStart"/>
      <w:r>
        <w:t>hyperglycaemia</w:t>
      </w:r>
      <w:proofErr w:type="spellEnd"/>
      <w:r>
        <w:t xml:space="preserve">, nausea, vomiting, tachycardia, dizziness, hyperreflexia, hallucinations, increased visual sensitivity, pyrexia and slurred speech. </w:t>
      </w:r>
    </w:p>
    <w:p w14:paraId="4FDBDADA" w14:textId="4F810CA6" w:rsidR="00C423B0" w:rsidRDefault="00C423B0" w:rsidP="00C423B0">
      <w:pPr>
        <w:pStyle w:val="BodyTextSMPC"/>
      </w:pPr>
      <w:r>
        <w:t xml:space="preserve">The benefit of gastric decontamination is uncertain. Consider activated charcoal if the patient presents within 1 hour of ingestion of more than 20 mg/kg. </w:t>
      </w:r>
    </w:p>
    <w:p w14:paraId="4067BA7B" w14:textId="36BCA4AF" w:rsidR="00C423B0" w:rsidRDefault="00C423B0" w:rsidP="00C423B0">
      <w:pPr>
        <w:pStyle w:val="BodyTextSMPC"/>
      </w:pPr>
      <w:r>
        <w:t>Consider gastric aspiration/lavage in adults within 1 hour of a potentially life</w:t>
      </w:r>
      <w:r>
        <w:t>-</w:t>
      </w:r>
      <w:r>
        <w:t xml:space="preserve">threatening overdose, providing the airway can be protected. </w:t>
      </w:r>
    </w:p>
    <w:p w14:paraId="779748E9" w14:textId="1BE9C14A" w:rsidR="00227FD4" w:rsidRPr="001D7E5E" w:rsidRDefault="00C423B0" w:rsidP="00C423B0">
      <w:pPr>
        <w:pStyle w:val="BodyTextSMPC"/>
      </w:pPr>
      <w:r>
        <w:t xml:space="preserve">Treatment should be directed to the control of convulsions. Control convulsions initially with intravenous diazepam or lorazepam. Phenytoin is ineffective and not advised as isoniazid inhibits the metabolism of phenytoin. Large doses of pyridoxine may limit the occurrence of other adverse effects. Metabolic acidosis may require sodium bicarbonate infusion. The drug is removed by dialysis.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E26C7C5" w14:textId="235DCAAB" w:rsidR="00CA4A4A" w:rsidRDefault="00C423B0" w:rsidP="00C423B0">
      <w:pPr>
        <w:pStyle w:val="BodyTextSMPC"/>
      </w:pPr>
      <w:r>
        <w:lastRenderedPageBreak/>
        <w:t>Pharmacotherapeutic group: Combinations of drugs for treatment of tuberculosis</w:t>
      </w:r>
      <w:r w:rsidR="00CA4A4A">
        <w:t>.</w:t>
      </w:r>
    </w:p>
    <w:p w14:paraId="7A31184D" w14:textId="56C10854" w:rsidR="00466C2B" w:rsidRDefault="00466C2B" w:rsidP="00C423B0">
      <w:pPr>
        <w:pStyle w:val="BodyTextSMPC"/>
        <w:rPr>
          <w:rFonts w:cstheme="minorBidi"/>
        </w:rPr>
      </w:pPr>
      <w:r w:rsidRPr="00466C2B">
        <w:t>ATC code: J04AM</w:t>
      </w:r>
    </w:p>
    <w:p w14:paraId="51641238" w14:textId="7169A999" w:rsidR="00351B91" w:rsidRPr="00466C2B" w:rsidRDefault="00466C2B" w:rsidP="00466C2B">
      <w:pPr>
        <w:pStyle w:val="BodyTextSMPC"/>
        <w:rPr>
          <w:rFonts w:cstheme="minorBidi"/>
        </w:rPr>
      </w:pPr>
      <w:r w:rsidRPr="00466C2B">
        <w:rPr>
          <w:rFonts w:cstheme="minorBidi"/>
        </w:rPr>
        <w:t>Isoniazid is a highly active tuberculostatic drug, and at high concentrations it is bactericidal to mycobacterium tuberculosis, possibly acting by interference with the synthesis of mycolic acid (a constituent of the bacterial cell wall).</w:t>
      </w:r>
    </w:p>
    <w:p w14:paraId="76F14DB0" w14:textId="3E40840B" w:rsidR="006D4823" w:rsidRPr="006D4823" w:rsidRDefault="00000000" w:rsidP="00BB33DA">
      <w:pPr>
        <w:pStyle w:val="SubHeafingSMPC"/>
      </w:pPr>
      <w:r w:rsidRPr="008F5678">
        <w:t xml:space="preserve">Pharmacokinetic properties </w:t>
      </w:r>
    </w:p>
    <w:p w14:paraId="66ADDEAE" w14:textId="2FB0F2CB" w:rsidR="00BB33DA" w:rsidRPr="00466C2B" w:rsidRDefault="00466C2B" w:rsidP="00466C2B">
      <w:pPr>
        <w:pStyle w:val="BodyTextSMPC"/>
        <w:rPr>
          <w:rFonts w:cstheme="minorBidi"/>
        </w:rPr>
      </w:pPr>
      <w:r>
        <w:t>Isoniazid is not appreciably protein-bound and diffuses readily throughout the body. It affects intracellular as well as extracellular bacilli. The primary metabolic route involves acetylation the rate of which is determined genetically.</w:t>
      </w:r>
    </w:p>
    <w:p w14:paraId="0BBA0F2C" w14:textId="58A139F5" w:rsidR="00227FD4" w:rsidRPr="008F5678" w:rsidRDefault="00000000" w:rsidP="00671E86">
      <w:pPr>
        <w:pStyle w:val="SubHeafingSMPC"/>
      </w:pPr>
      <w:r w:rsidRPr="008F5678">
        <w:t xml:space="preserve">Preclinical safety data </w:t>
      </w:r>
    </w:p>
    <w:p w14:paraId="7BE4B9BC" w14:textId="6889FB7B" w:rsidR="00227FD4" w:rsidRPr="005574FA" w:rsidRDefault="00466C2B" w:rsidP="00466C2B">
      <w:pPr>
        <w:pStyle w:val="BodyTextSMPC"/>
      </w:pPr>
      <w:r>
        <w:t>There are no pre-clinical data of relevance to the prescriber which are additional to that already included in other sections of the SPC.</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1485C319" w:rsidR="00E139AC" w:rsidRPr="006E7537" w:rsidRDefault="00466C2B" w:rsidP="00913543">
      <w:pPr>
        <w:pStyle w:val="BodyTextSMPC"/>
      </w:pPr>
      <w:r w:rsidRPr="00466C2B">
        <w:t>None known.</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lastRenderedPageBreak/>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9447" w14:textId="77777777" w:rsidR="00446C09" w:rsidRDefault="00446C09" w:rsidP="008F5678">
      <w:pPr>
        <w:spacing w:line="240" w:lineRule="auto"/>
      </w:pPr>
      <w:r>
        <w:separator/>
      </w:r>
    </w:p>
  </w:endnote>
  <w:endnote w:type="continuationSeparator" w:id="0">
    <w:p w14:paraId="1DFE49E3" w14:textId="77777777" w:rsidR="00446C09" w:rsidRDefault="00446C0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70C8FE94"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935A66" w:rsidRPr="00935A66">
      <w:rPr>
        <w:rFonts w:ascii="Times New Roman" w:hAnsi="Times New Roman" w:cs="Times New Roman"/>
        <w:sz w:val="24"/>
        <w:szCs w:val="24"/>
      </w:rPr>
      <w:t>Isoniazid</w:t>
    </w:r>
    <w:r w:rsidRPr="008F5678">
      <w:rPr>
        <w:rFonts w:ascii="Times New Roman" w:hAnsi="Times New Roman" w:cs="Times New Roman"/>
        <w:sz w:val="24"/>
        <w:szCs w:val="24"/>
      </w:rPr>
      <w:t xml:space="preserve">, </w:t>
    </w:r>
    <w:r w:rsidR="00913543">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935A66">
      <w:rPr>
        <w:rFonts w:ascii="Times New Roman" w:hAnsi="Times New Roman" w:cs="Times New Roman"/>
        <w:sz w:val="24"/>
        <w:szCs w:val="24"/>
      </w:rPr>
      <w:t>13/02/2019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08C3" w14:textId="77777777" w:rsidR="00446C09" w:rsidRDefault="00446C09" w:rsidP="008F5678">
      <w:pPr>
        <w:spacing w:line="240" w:lineRule="auto"/>
      </w:pPr>
      <w:r>
        <w:separator/>
      </w:r>
    </w:p>
  </w:footnote>
  <w:footnote w:type="continuationSeparator" w:id="0">
    <w:p w14:paraId="4ADEE061" w14:textId="77777777" w:rsidR="00446C09" w:rsidRDefault="00446C0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3354B"/>
    <w:rsid w:val="000453B9"/>
    <w:rsid w:val="000523FE"/>
    <w:rsid w:val="00070173"/>
    <w:rsid w:val="00072659"/>
    <w:rsid w:val="000970AF"/>
    <w:rsid w:val="000B5450"/>
    <w:rsid w:val="000C7ED9"/>
    <w:rsid w:val="000F022A"/>
    <w:rsid w:val="000F3E08"/>
    <w:rsid w:val="000F68A5"/>
    <w:rsid w:val="000F6998"/>
    <w:rsid w:val="00111833"/>
    <w:rsid w:val="001162E6"/>
    <w:rsid w:val="00151237"/>
    <w:rsid w:val="001678C4"/>
    <w:rsid w:val="00177864"/>
    <w:rsid w:val="00182860"/>
    <w:rsid w:val="001839CC"/>
    <w:rsid w:val="001A39AF"/>
    <w:rsid w:val="001A4654"/>
    <w:rsid w:val="001B1CB6"/>
    <w:rsid w:val="001B34A8"/>
    <w:rsid w:val="001D74D3"/>
    <w:rsid w:val="001D7E5E"/>
    <w:rsid w:val="001E0C38"/>
    <w:rsid w:val="001E1455"/>
    <w:rsid w:val="001E4A8C"/>
    <w:rsid w:val="00200B73"/>
    <w:rsid w:val="00203871"/>
    <w:rsid w:val="00217343"/>
    <w:rsid w:val="00227FD4"/>
    <w:rsid w:val="00232126"/>
    <w:rsid w:val="00233A79"/>
    <w:rsid w:val="00233EB4"/>
    <w:rsid w:val="002357B1"/>
    <w:rsid w:val="00254057"/>
    <w:rsid w:val="002933FE"/>
    <w:rsid w:val="00302302"/>
    <w:rsid w:val="00303231"/>
    <w:rsid w:val="00307506"/>
    <w:rsid w:val="00316A60"/>
    <w:rsid w:val="00323A34"/>
    <w:rsid w:val="00342687"/>
    <w:rsid w:val="003467EF"/>
    <w:rsid w:val="00351B91"/>
    <w:rsid w:val="00353092"/>
    <w:rsid w:val="00362134"/>
    <w:rsid w:val="00381125"/>
    <w:rsid w:val="00385779"/>
    <w:rsid w:val="00391F2E"/>
    <w:rsid w:val="00397295"/>
    <w:rsid w:val="003A3F82"/>
    <w:rsid w:val="003B2242"/>
    <w:rsid w:val="003B51C2"/>
    <w:rsid w:val="003E756F"/>
    <w:rsid w:val="00400BAB"/>
    <w:rsid w:val="00415AF9"/>
    <w:rsid w:val="00417A75"/>
    <w:rsid w:val="00421378"/>
    <w:rsid w:val="00424C7B"/>
    <w:rsid w:val="00424F84"/>
    <w:rsid w:val="00446C09"/>
    <w:rsid w:val="004547B5"/>
    <w:rsid w:val="00462D7E"/>
    <w:rsid w:val="00462F43"/>
    <w:rsid w:val="00466C2B"/>
    <w:rsid w:val="004707A7"/>
    <w:rsid w:val="00473071"/>
    <w:rsid w:val="00475F22"/>
    <w:rsid w:val="00480965"/>
    <w:rsid w:val="0048242B"/>
    <w:rsid w:val="004A007B"/>
    <w:rsid w:val="004A5AB4"/>
    <w:rsid w:val="004F658C"/>
    <w:rsid w:val="005122F4"/>
    <w:rsid w:val="00523E4C"/>
    <w:rsid w:val="005248D2"/>
    <w:rsid w:val="005574FA"/>
    <w:rsid w:val="00573351"/>
    <w:rsid w:val="005B78A4"/>
    <w:rsid w:val="00606B16"/>
    <w:rsid w:val="006101D5"/>
    <w:rsid w:val="006147EE"/>
    <w:rsid w:val="006224A3"/>
    <w:rsid w:val="0062302F"/>
    <w:rsid w:val="00641955"/>
    <w:rsid w:val="006448B7"/>
    <w:rsid w:val="00646ECA"/>
    <w:rsid w:val="00671E86"/>
    <w:rsid w:val="006752B9"/>
    <w:rsid w:val="0069711D"/>
    <w:rsid w:val="006A7BA7"/>
    <w:rsid w:val="006B0EF4"/>
    <w:rsid w:val="006B41AF"/>
    <w:rsid w:val="006B462B"/>
    <w:rsid w:val="006C22F9"/>
    <w:rsid w:val="006D4823"/>
    <w:rsid w:val="006E7537"/>
    <w:rsid w:val="00702D8E"/>
    <w:rsid w:val="007258BA"/>
    <w:rsid w:val="0073256D"/>
    <w:rsid w:val="00742D9B"/>
    <w:rsid w:val="0075380E"/>
    <w:rsid w:val="00755C3B"/>
    <w:rsid w:val="00757ABD"/>
    <w:rsid w:val="0076728F"/>
    <w:rsid w:val="00774F68"/>
    <w:rsid w:val="00783899"/>
    <w:rsid w:val="007A4C62"/>
    <w:rsid w:val="007A70CC"/>
    <w:rsid w:val="007B01F4"/>
    <w:rsid w:val="007C754A"/>
    <w:rsid w:val="007E2942"/>
    <w:rsid w:val="007F2B3F"/>
    <w:rsid w:val="00816633"/>
    <w:rsid w:val="00817FAD"/>
    <w:rsid w:val="00834A79"/>
    <w:rsid w:val="00842E18"/>
    <w:rsid w:val="00847C40"/>
    <w:rsid w:val="008561A2"/>
    <w:rsid w:val="00857F59"/>
    <w:rsid w:val="00894F3B"/>
    <w:rsid w:val="008A2A73"/>
    <w:rsid w:val="008B5BE5"/>
    <w:rsid w:val="008C17A5"/>
    <w:rsid w:val="008C66E8"/>
    <w:rsid w:val="008D7A61"/>
    <w:rsid w:val="008E0067"/>
    <w:rsid w:val="008F3900"/>
    <w:rsid w:val="008F5678"/>
    <w:rsid w:val="00913543"/>
    <w:rsid w:val="009242EA"/>
    <w:rsid w:val="00935A66"/>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44D2"/>
    <w:rsid w:val="00A16F7E"/>
    <w:rsid w:val="00A22C1C"/>
    <w:rsid w:val="00A560E6"/>
    <w:rsid w:val="00A56A7C"/>
    <w:rsid w:val="00A856F1"/>
    <w:rsid w:val="00A85894"/>
    <w:rsid w:val="00AB0D31"/>
    <w:rsid w:val="00AB6AD4"/>
    <w:rsid w:val="00AB6FF1"/>
    <w:rsid w:val="00AC277A"/>
    <w:rsid w:val="00AC49D5"/>
    <w:rsid w:val="00AC5267"/>
    <w:rsid w:val="00AD5242"/>
    <w:rsid w:val="00AD6FB8"/>
    <w:rsid w:val="00AF00DD"/>
    <w:rsid w:val="00AF212D"/>
    <w:rsid w:val="00AF5BF6"/>
    <w:rsid w:val="00B14DD9"/>
    <w:rsid w:val="00B24321"/>
    <w:rsid w:val="00B2537D"/>
    <w:rsid w:val="00B36B0E"/>
    <w:rsid w:val="00B52056"/>
    <w:rsid w:val="00B542CE"/>
    <w:rsid w:val="00B61320"/>
    <w:rsid w:val="00B63770"/>
    <w:rsid w:val="00B65CC5"/>
    <w:rsid w:val="00B771AD"/>
    <w:rsid w:val="00B86B7C"/>
    <w:rsid w:val="00B927D6"/>
    <w:rsid w:val="00BA0700"/>
    <w:rsid w:val="00BB0627"/>
    <w:rsid w:val="00BB33DA"/>
    <w:rsid w:val="00BD279B"/>
    <w:rsid w:val="00BE0013"/>
    <w:rsid w:val="00BE0983"/>
    <w:rsid w:val="00BE10A8"/>
    <w:rsid w:val="00C03E69"/>
    <w:rsid w:val="00C04DF2"/>
    <w:rsid w:val="00C069FE"/>
    <w:rsid w:val="00C07D84"/>
    <w:rsid w:val="00C15438"/>
    <w:rsid w:val="00C21A1C"/>
    <w:rsid w:val="00C34CD3"/>
    <w:rsid w:val="00C36E7B"/>
    <w:rsid w:val="00C423B0"/>
    <w:rsid w:val="00C5591F"/>
    <w:rsid w:val="00C64664"/>
    <w:rsid w:val="00C77195"/>
    <w:rsid w:val="00CA053A"/>
    <w:rsid w:val="00CA4A4A"/>
    <w:rsid w:val="00CC4741"/>
    <w:rsid w:val="00CD1CB2"/>
    <w:rsid w:val="00CD5ED5"/>
    <w:rsid w:val="00CE7887"/>
    <w:rsid w:val="00D1697D"/>
    <w:rsid w:val="00D32C40"/>
    <w:rsid w:val="00D3643A"/>
    <w:rsid w:val="00D47475"/>
    <w:rsid w:val="00D5236F"/>
    <w:rsid w:val="00D80544"/>
    <w:rsid w:val="00D90A3C"/>
    <w:rsid w:val="00D95C52"/>
    <w:rsid w:val="00DB6202"/>
    <w:rsid w:val="00DC23BB"/>
    <w:rsid w:val="00DF0DD2"/>
    <w:rsid w:val="00DF79C1"/>
    <w:rsid w:val="00E01FDA"/>
    <w:rsid w:val="00E139AC"/>
    <w:rsid w:val="00E21167"/>
    <w:rsid w:val="00E222B8"/>
    <w:rsid w:val="00E32C2B"/>
    <w:rsid w:val="00E47326"/>
    <w:rsid w:val="00E641A1"/>
    <w:rsid w:val="00E647E4"/>
    <w:rsid w:val="00E67012"/>
    <w:rsid w:val="00E712A3"/>
    <w:rsid w:val="00E72F63"/>
    <w:rsid w:val="00E867D8"/>
    <w:rsid w:val="00E86F32"/>
    <w:rsid w:val="00EC77CC"/>
    <w:rsid w:val="00EE5855"/>
    <w:rsid w:val="00EE66E7"/>
    <w:rsid w:val="00EF48E4"/>
    <w:rsid w:val="00F04BB0"/>
    <w:rsid w:val="00F17745"/>
    <w:rsid w:val="00F232D2"/>
    <w:rsid w:val="00F373F9"/>
    <w:rsid w:val="00F42790"/>
    <w:rsid w:val="00F512AD"/>
    <w:rsid w:val="00F62E5E"/>
    <w:rsid w:val="00F62FFF"/>
    <w:rsid w:val="00F7564F"/>
    <w:rsid w:val="00F83417"/>
    <w:rsid w:val="00FC40E9"/>
    <w:rsid w:val="00FD2603"/>
    <w:rsid w:val="00FE4CA0"/>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0199116">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1722</Words>
  <Characters>9817</Characters>
  <Application>Microsoft Office Word</Application>
  <DocSecurity>0</DocSecurity>
  <Lines>81</Lines>
  <Paragraphs>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2024-08-02T04:16:00Z</dcterms:created>
  <dcterms:modified xsi:type="dcterms:W3CDTF">2024-08-02T04:33:00Z</dcterms:modified>
</cp:coreProperties>
</file>