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CEAF" w14:textId="799667FA" w:rsidR="000324BA" w:rsidRPr="00525BD5" w:rsidRDefault="00000000" w:rsidP="00525BD5">
      <w:pPr>
        <w:spacing w:after="240" w:line="480" w:lineRule="auto"/>
        <w:ind w:left="0" w:firstLine="0"/>
        <w:jc w:val="center"/>
        <w:rPr>
          <w:sz w:val="28"/>
          <w:szCs w:val="28"/>
        </w:rPr>
      </w:pPr>
      <w:r w:rsidRPr="00525BD5">
        <w:rPr>
          <w:b/>
          <w:sz w:val="28"/>
          <w:szCs w:val="28"/>
        </w:rPr>
        <w:t>SUMMARY OF PRODUCT CHARACTERISTICS</w:t>
      </w:r>
    </w:p>
    <w:p w14:paraId="5E209EAB" w14:textId="2D01BE28" w:rsidR="000324BA" w:rsidRPr="00525BD5" w:rsidRDefault="00000000" w:rsidP="00525BD5">
      <w:pPr>
        <w:pStyle w:val="Heading1"/>
        <w:numPr>
          <w:ilvl w:val="0"/>
          <w:numId w:val="3"/>
        </w:numPr>
        <w:tabs>
          <w:tab w:val="center" w:pos="2873"/>
        </w:tabs>
        <w:spacing w:after="240"/>
        <w:ind w:left="357" w:hanging="357"/>
        <w:rPr>
          <w:sz w:val="28"/>
          <w:szCs w:val="28"/>
        </w:rPr>
      </w:pPr>
      <w:r w:rsidRPr="00525BD5">
        <w:rPr>
          <w:sz w:val="28"/>
          <w:szCs w:val="28"/>
        </w:rPr>
        <w:t xml:space="preserve">NAME OF THE MEDICINAL PRODUCT  </w:t>
      </w:r>
    </w:p>
    <w:p w14:paraId="2473DEB0" w14:textId="77777777" w:rsidR="000324BA" w:rsidRPr="00525BD5" w:rsidRDefault="00000000" w:rsidP="00525BD5">
      <w:pPr>
        <w:spacing w:after="240" w:line="259" w:lineRule="auto"/>
        <w:ind w:left="714" w:hanging="11"/>
        <w:rPr>
          <w:sz w:val="28"/>
          <w:szCs w:val="28"/>
        </w:rPr>
      </w:pPr>
      <w:r w:rsidRPr="00525BD5">
        <w:rPr>
          <w:color w:val="FF0000"/>
          <w:sz w:val="28"/>
          <w:szCs w:val="28"/>
        </w:rPr>
        <w:t>&lt;Trade Name&gt;</w:t>
      </w:r>
      <w:r w:rsidRPr="00525BD5">
        <w:rPr>
          <w:sz w:val="28"/>
          <w:szCs w:val="28"/>
        </w:rPr>
        <w:t xml:space="preserve">  </w:t>
      </w:r>
      <w:r w:rsidRPr="00525BD5">
        <w:rPr>
          <w:color w:val="FF0000"/>
          <w:sz w:val="28"/>
          <w:szCs w:val="28"/>
        </w:rPr>
        <w:t xml:space="preserve">&lt;Strength&gt; </w:t>
      </w:r>
      <w:r w:rsidRPr="00525BD5">
        <w:rPr>
          <w:sz w:val="28"/>
          <w:szCs w:val="28"/>
        </w:rPr>
        <w:t xml:space="preserve"> film-coated tablets  </w:t>
      </w:r>
    </w:p>
    <w:p w14:paraId="79DF1A75" w14:textId="77777777" w:rsidR="00525BD5" w:rsidRDefault="00000000" w:rsidP="00525BD5">
      <w:pPr>
        <w:pStyle w:val="Heading1"/>
        <w:numPr>
          <w:ilvl w:val="0"/>
          <w:numId w:val="3"/>
        </w:numPr>
        <w:tabs>
          <w:tab w:val="center" w:pos="3657"/>
        </w:tabs>
        <w:spacing w:after="240"/>
        <w:ind w:left="357" w:hanging="357"/>
        <w:rPr>
          <w:sz w:val="28"/>
          <w:szCs w:val="28"/>
        </w:rPr>
      </w:pPr>
      <w:r w:rsidRPr="00525BD5">
        <w:rPr>
          <w:sz w:val="28"/>
          <w:szCs w:val="28"/>
        </w:rPr>
        <w:t xml:space="preserve">QUALITATIVE AND QUANTITATIVE COMPOSITION  </w:t>
      </w:r>
    </w:p>
    <w:p w14:paraId="7F1F4EA3" w14:textId="23832996" w:rsidR="00525BD5" w:rsidRPr="00525BD5" w:rsidRDefault="00525BD5" w:rsidP="00525BD5">
      <w:pPr>
        <w:pStyle w:val="Heading1"/>
        <w:tabs>
          <w:tab w:val="center" w:pos="3657"/>
        </w:tabs>
        <w:spacing w:after="240" w:line="360" w:lineRule="auto"/>
        <w:ind w:left="360" w:firstLine="0"/>
        <w:jc w:val="thaiDistribute"/>
        <w:rPr>
          <w:b w:val="0"/>
          <w:bCs/>
          <w:sz w:val="28"/>
          <w:szCs w:val="28"/>
        </w:rPr>
      </w:pPr>
      <w:r w:rsidRPr="00525BD5">
        <w:rPr>
          <w:b w:val="0"/>
          <w:bCs/>
          <w:sz w:val="28"/>
          <w:szCs w:val="28"/>
        </w:rPr>
        <w:t xml:space="preserve">Each (film-coated) tablet contains 500 mg erythromycin as erythromycin stearate.   Excipient with known effect:  </w:t>
      </w:r>
    </w:p>
    <w:p w14:paraId="78C44A7F" w14:textId="77777777" w:rsidR="00525BD5" w:rsidRDefault="00525BD5" w:rsidP="00525BD5">
      <w:pPr>
        <w:pStyle w:val="Heading1"/>
        <w:tabs>
          <w:tab w:val="center" w:pos="3657"/>
        </w:tabs>
        <w:spacing w:after="240"/>
        <w:ind w:left="360" w:firstLine="0"/>
        <w:rPr>
          <w:b w:val="0"/>
          <w:bCs/>
          <w:color w:val="FF0000"/>
          <w:sz w:val="28"/>
          <w:szCs w:val="28"/>
        </w:rPr>
      </w:pPr>
      <w:r w:rsidRPr="00525BD5">
        <w:rPr>
          <w:sz w:val="28"/>
          <w:szCs w:val="28"/>
        </w:rPr>
        <w:t xml:space="preserve"> </w:t>
      </w:r>
      <w:r w:rsidRPr="00525BD5">
        <w:rPr>
          <w:b w:val="0"/>
          <w:bCs/>
          <w:color w:val="FF0000"/>
          <w:sz w:val="28"/>
          <w:szCs w:val="28"/>
        </w:rPr>
        <w:t>&lt;Regarding the approval&gt;</w:t>
      </w:r>
    </w:p>
    <w:p w14:paraId="283CEB93" w14:textId="227EE282" w:rsidR="000324BA" w:rsidRPr="00525BD5" w:rsidRDefault="00000000" w:rsidP="00525BD5">
      <w:pPr>
        <w:pStyle w:val="Heading1"/>
        <w:tabs>
          <w:tab w:val="center" w:pos="3657"/>
        </w:tabs>
        <w:spacing w:after="240"/>
        <w:ind w:left="357" w:firstLine="0"/>
        <w:rPr>
          <w:b w:val="0"/>
          <w:bCs/>
          <w:sz w:val="28"/>
          <w:szCs w:val="28"/>
        </w:rPr>
      </w:pPr>
      <w:r w:rsidRPr="00525BD5">
        <w:rPr>
          <w:b w:val="0"/>
          <w:bCs/>
          <w:sz w:val="28"/>
          <w:szCs w:val="28"/>
        </w:rPr>
        <w:t xml:space="preserve">For the full list of excipients, see section 6.1        </w:t>
      </w:r>
    </w:p>
    <w:p w14:paraId="124625DD" w14:textId="77777777" w:rsidR="00525BD5" w:rsidRDefault="00000000" w:rsidP="00525BD5">
      <w:pPr>
        <w:pStyle w:val="Heading1"/>
        <w:numPr>
          <w:ilvl w:val="0"/>
          <w:numId w:val="3"/>
        </w:numPr>
        <w:tabs>
          <w:tab w:val="center" w:pos="2492"/>
        </w:tabs>
        <w:spacing w:after="240"/>
        <w:ind w:left="357" w:hanging="357"/>
        <w:rPr>
          <w:sz w:val="28"/>
          <w:szCs w:val="28"/>
        </w:rPr>
      </w:pPr>
      <w:r w:rsidRPr="00525BD5">
        <w:rPr>
          <w:sz w:val="28"/>
          <w:szCs w:val="28"/>
        </w:rPr>
        <w:t xml:space="preserve">PHARMACEUTICAL FORM  </w:t>
      </w:r>
    </w:p>
    <w:p w14:paraId="3A521DA6" w14:textId="77777777" w:rsidR="00525BD5" w:rsidRDefault="00000000" w:rsidP="00525BD5">
      <w:pPr>
        <w:pStyle w:val="Heading1"/>
        <w:tabs>
          <w:tab w:val="center" w:pos="2492"/>
        </w:tabs>
        <w:spacing w:line="360" w:lineRule="auto"/>
        <w:ind w:left="360" w:firstLine="0"/>
        <w:rPr>
          <w:b w:val="0"/>
          <w:bCs/>
          <w:sz w:val="28"/>
          <w:szCs w:val="28"/>
        </w:rPr>
      </w:pPr>
      <w:r w:rsidRPr="00525BD5">
        <w:rPr>
          <w:b w:val="0"/>
          <w:bCs/>
          <w:sz w:val="28"/>
          <w:szCs w:val="28"/>
        </w:rPr>
        <w:t xml:space="preserve">Film-coated tablet </w:t>
      </w:r>
    </w:p>
    <w:p w14:paraId="76A35A09" w14:textId="75CFA74D" w:rsidR="000324BA" w:rsidRPr="00525BD5" w:rsidRDefault="00000000" w:rsidP="00525BD5">
      <w:pPr>
        <w:pStyle w:val="Heading1"/>
        <w:tabs>
          <w:tab w:val="center" w:pos="2492"/>
        </w:tabs>
        <w:spacing w:after="240" w:line="360" w:lineRule="auto"/>
        <w:ind w:left="357" w:firstLine="0"/>
        <w:rPr>
          <w:b w:val="0"/>
          <w:bCs/>
          <w:sz w:val="28"/>
          <w:szCs w:val="28"/>
        </w:rPr>
      </w:pPr>
      <w:r w:rsidRPr="00525BD5">
        <w:rPr>
          <w:b w:val="0"/>
          <w:bCs/>
          <w:color w:val="FF0000"/>
          <w:sz w:val="28"/>
          <w:szCs w:val="28"/>
        </w:rPr>
        <w:t xml:space="preserve">&lt;Regarding the approval&gt; </w:t>
      </w:r>
    </w:p>
    <w:p w14:paraId="5EBA133C" w14:textId="77777777" w:rsidR="00525BD5" w:rsidRDefault="00000000" w:rsidP="00525BD5">
      <w:pPr>
        <w:pStyle w:val="Heading1"/>
        <w:numPr>
          <w:ilvl w:val="0"/>
          <w:numId w:val="3"/>
        </w:numPr>
        <w:tabs>
          <w:tab w:val="center" w:pos="2392"/>
        </w:tabs>
        <w:spacing w:line="360" w:lineRule="auto"/>
        <w:rPr>
          <w:sz w:val="28"/>
          <w:szCs w:val="28"/>
        </w:rPr>
      </w:pPr>
      <w:r w:rsidRPr="00525BD5">
        <w:rPr>
          <w:sz w:val="28"/>
          <w:szCs w:val="28"/>
        </w:rPr>
        <w:t xml:space="preserve">CLINICAL PARTICULARS </w:t>
      </w:r>
    </w:p>
    <w:p w14:paraId="547066C2" w14:textId="4215F08C" w:rsidR="000324BA" w:rsidRPr="00525BD5" w:rsidRDefault="00000000" w:rsidP="00525BD5">
      <w:pPr>
        <w:pStyle w:val="Heading1"/>
        <w:numPr>
          <w:ilvl w:val="1"/>
          <w:numId w:val="3"/>
        </w:numPr>
        <w:tabs>
          <w:tab w:val="center" w:pos="2392"/>
        </w:tabs>
        <w:spacing w:line="360" w:lineRule="auto"/>
        <w:rPr>
          <w:sz w:val="28"/>
          <w:szCs w:val="28"/>
        </w:rPr>
      </w:pPr>
      <w:r w:rsidRPr="00525BD5">
        <w:rPr>
          <w:sz w:val="28"/>
          <w:szCs w:val="28"/>
          <w:u w:color="000000"/>
        </w:rPr>
        <w:t xml:space="preserve">Therapeutic indications  </w:t>
      </w:r>
    </w:p>
    <w:p w14:paraId="3DECDED8" w14:textId="58E70E50" w:rsidR="000324BA" w:rsidRPr="00525BD5" w:rsidRDefault="00000000" w:rsidP="00525BD5">
      <w:pPr>
        <w:spacing w:after="240" w:line="360" w:lineRule="auto"/>
        <w:ind w:left="714" w:right="119" w:hanging="11"/>
        <w:jc w:val="thaiDistribute"/>
        <w:rPr>
          <w:sz w:val="28"/>
          <w:szCs w:val="28"/>
        </w:rPr>
      </w:pPr>
      <w:r w:rsidRPr="00525BD5">
        <w:rPr>
          <w:sz w:val="28"/>
          <w:szCs w:val="28"/>
        </w:rPr>
        <w:t>For the prophylaxis and treatment of infections caused by</w:t>
      </w:r>
      <w:r w:rsidR="00525BD5">
        <w:rPr>
          <w:sz w:val="28"/>
          <w:szCs w:val="28"/>
        </w:rPr>
        <w:t xml:space="preserve"> </w:t>
      </w:r>
      <w:r w:rsidRPr="00525BD5">
        <w:rPr>
          <w:sz w:val="28"/>
          <w:szCs w:val="28"/>
        </w:rPr>
        <w:t xml:space="preserve">erythromycin-sensitive organisms.  </w:t>
      </w:r>
    </w:p>
    <w:p w14:paraId="4FE1C373" w14:textId="5D9903D2" w:rsidR="000324BA" w:rsidRPr="00525BD5" w:rsidRDefault="00000000" w:rsidP="00525BD5">
      <w:pPr>
        <w:spacing w:line="360" w:lineRule="auto"/>
        <w:ind w:left="706" w:right="121"/>
        <w:jc w:val="thaiDistribute"/>
        <w:rPr>
          <w:sz w:val="28"/>
          <w:szCs w:val="28"/>
        </w:rPr>
      </w:pPr>
      <w:r w:rsidRPr="00525BD5">
        <w:rPr>
          <w:sz w:val="28"/>
          <w:szCs w:val="28"/>
        </w:rPr>
        <w:t xml:space="preserve">Erythromycin is highly effective in the treatment of a great variety of clinical infections such as:  </w:t>
      </w:r>
    </w:p>
    <w:p w14:paraId="067E364C" w14:textId="77777777" w:rsidR="00525BD5" w:rsidRDefault="00000000" w:rsidP="00525BD5">
      <w:pPr>
        <w:pStyle w:val="ListParagraph"/>
        <w:numPr>
          <w:ilvl w:val="0"/>
          <w:numId w:val="4"/>
        </w:numPr>
        <w:spacing w:after="0" w:line="360" w:lineRule="auto"/>
        <w:ind w:right="426"/>
        <w:jc w:val="thaiDistribute"/>
        <w:rPr>
          <w:sz w:val="28"/>
          <w:szCs w:val="28"/>
        </w:rPr>
      </w:pPr>
      <w:r w:rsidRPr="00525BD5">
        <w:rPr>
          <w:sz w:val="28"/>
          <w:szCs w:val="28"/>
        </w:rPr>
        <w:t xml:space="preserve">Upper Respiratory Tract infections: tonsillitis, peritonsillar abscess, pharyngitis, laryngitis, sinusitis, secondary infections in influenza and  common colds </w:t>
      </w:r>
    </w:p>
    <w:p w14:paraId="2313FFBA" w14:textId="0E7F0C10" w:rsidR="000324BA" w:rsidRPr="00525BD5" w:rsidRDefault="00000000" w:rsidP="00525BD5">
      <w:pPr>
        <w:pStyle w:val="ListParagraph"/>
        <w:numPr>
          <w:ilvl w:val="0"/>
          <w:numId w:val="4"/>
        </w:numPr>
        <w:spacing w:line="360" w:lineRule="auto"/>
        <w:ind w:right="121"/>
        <w:jc w:val="thaiDistribute"/>
        <w:rPr>
          <w:sz w:val="28"/>
          <w:szCs w:val="28"/>
        </w:rPr>
      </w:pPr>
      <w:r w:rsidRPr="00525BD5">
        <w:rPr>
          <w:sz w:val="28"/>
          <w:szCs w:val="28"/>
        </w:rPr>
        <w:t xml:space="preserve">Lower </w:t>
      </w:r>
      <w:r w:rsidR="00525BD5" w:rsidRPr="00525BD5">
        <w:rPr>
          <w:sz w:val="28"/>
          <w:szCs w:val="28"/>
        </w:rPr>
        <w:t xml:space="preserve">Respiratory Tract infections: tracheitis, acute and chronic bronchitis, pneumonia (lobar pneumonia, bronchopneumonia, primary atypical pneumonia), bronchiectasis, Legionnaire's disease  </w:t>
      </w:r>
    </w:p>
    <w:p w14:paraId="3DF7F9C7" w14:textId="77777777" w:rsidR="00525BD5" w:rsidRDefault="00000000" w:rsidP="00525BD5">
      <w:pPr>
        <w:pStyle w:val="ListParagraph"/>
        <w:numPr>
          <w:ilvl w:val="0"/>
          <w:numId w:val="4"/>
        </w:numPr>
        <w:spacing w:line="360" w:lineRule="auto"/>
        <w:ind w:right="121"/>
        <w:jc w:val="thaiDistribute"/>
        <w:rPr>
          <w:sz w:val="28"/>
          <w:szCs w:val="28"/>
        </w:rPr>
      </w:pPr>
      <w:r w:rsidRPr="00525BD5">
        <w:rPr>
          <w:sz w:val="28"/>
          <w:szCs w:val="28"/>
        </w:rPr>
        <w:lastRenderedPageBreak/>
        <w:t xml:space="preserve">Ear infection: otitis media and otitis externa, mastoiditis  </w:t>
      </w:r>
    </w:p>
    <w:p w14:paraId="14C294C9" w14:textId="5DC3DCBC" w:rsidR="000324BA" w:rsidRPr="00525BD5" w:rsidRDefault="00000000" w:rsidP="00525BD5">
      <w:pPr>
        <w:pStyle w:val="ListParagraph"/>
        <w:numPr>
          <w:ilvl w:val="0"/>
          <w:numId w:val="4"/>
        </w:numPr>
        <w:spacing w:line="360" w:lineRule="auto"/>
        <w:ind w:right="121"/>
        <w:jc w:val="thaiDistribute"/>
        <w:rPr>
          <w:sz w:val="28"/>
          <w:szCs w:val="28"/>
        </w:rPr>
      </w:pPr>
      <w:r w:rsidRPr="00525BD5">
        <w:rPr>
          <w:sz w:val="28"/>
          <w:szCs w:val="28"/>
        </w:rPr>
        <w:t xml:space="preserve">Oral infections: gingivitis, Vincent's angina  </w:t>
      </w:r>
    </w:p>
    <w:p w14:paraId="07D2B06D" w14:textId="77777777" w:rsidR="000324BA" w:rsidRPr="00525BD5" w:rsidRDefault="00000000" w:rsidP="00525BD5">
      <w:pPr>
        <w:numPr>
          <w:ilvl w:val="0"/>
          <w:numId w:val="1"/>
        </w:numPr>
        <w:spacing w:line="360" w:lineRule="auto"/>
        <w:ind w:right="121" w:hanging="293"/>
        <w:jc w:val="thaiDistribute"/>
        <w:rPr>
          <w:sz w:val="28"/>
          <w:szCs w:val="28"/>
        </w:rPr>
      </w:pPr>
      <w:r w:rsidRPr="00525BD5">
        <w:rPr>
          <w:sz w:val="28"/>
          <w:szCs w:val="28"/>
        </w:rPr>
        <w:t xml:space="preserve">Eye infections: blepharitis  </w:t>
      </w:r>
    </w:p>
    <w:p w14:paraId="38C6EB10" w14:textId="77777777" w:rsidR="000324BA" w:rsidRPr="00525BD5" w:rsidRDefault="00000000" w:rsidP="00525BD5">
      <w:pPr>
        <w:numPr>
          <w:ilvl w:val="0"/>
          <w:numId w:val="1"/>
        </w:numPr>
        <w:spacing w:line="360" w:lineRule="auto"/>
        <w:ind w:right="121" w:hanging="293"/>
        <w:jc w:val="thaiDistribute"/>
        <w:rPr>
          <w:sz w:val="28"/>
          <w:szCs w:val="28"/>
        </w:rPr>
      </w:pPr>
      <w:r w:rsidRPr="00525BD5">
        <w:rPr>
          <w:sz w:val="28"/>
          <w:szCs w:val="28"/>
        </w:rPr>
        <w:t xml:space="preserve">Skin and soft tissue infections: boils and carbuncles, paronychia, abscesses, pustular acne, impetigo, cellulitis, erysipelas  </w:t>
      </w:r>
    </w:p>
    <w:p w14:paraId="423497C2" w14:textId="77777777" w:rsidR="000324BA" w:rsidRPr="00525BD5" w:rsidRDefault="00000000" w:rsidP="00525BD5">
      <w:pPr>
        <w:numPr>
          <w:ilvl w:val="0"/>
          <w:numId w:val="1"/>
        </w:numPr>
        <w:spacing w:line="360" w:lineRule="auto"/>
        <w:ind w:right="121" w:hanging="293"/>
        <w:jc w:val="thaiDistribute"/>
        <w:rPr>
          <w:sz w:val="28"/>
          <w:szCs w:val="28"/>
        </w:rPr>
      </w:pPr>
      <w:r w:rsidRPr="00525BD5">
        <w:rPr>
          <w:sz w:val="28"/>
          <w:szCs w:val="28"/>
        </w:rPr>
        <w:t xml:space="preserve">Gastrointestinal infections: cholecystitis, staphylococcal enterocolitis  </w:t>
      </w:r>
    </w:p>
    <w:p w14:paraId="76AECA3C" w14:textId="77777777" w:rsidR="000324BA" w:rsidRPr="00525BD5" w:rsidRDefault="00000000" w:rsidP="00525BD5">
      <w:pPr>
        <w:numPr>
          <w:ilvl w:val="0"/>
          <w:numId w:val="1"/>
        </w:numPr>
        <w:spacing w:line="360" w:lineRule="auto"/>
        <w:ind w:right="121" w:hanging="293"/>
        <w:jc w:val="thaiDistribute"/>
        <w:rPr>
          <w:sz w:val="28"/>
          <w:szCs w:val="28"/>
        </w:rPr>
      </w:pPr>
      <w:r w:rsidRPr="00525BD5">
        <w:rPr>
          <w:sz w:val="28"/>
          <w:szCs w:val="28"/>
        </w:rPr>
        <w:t xml:space="preserve">Prophylaxis: pre- and post- operative trauma, burns, rheumatic fever  </w:t>
      </w:r>
    </w:p>
    <w:p w14:paraId="2A915B0E" w14:textId="77777777" w:rsidR="000324BA" w:rsidRDefault="00000000" w:rsidP="00525BD5">
      <w:pPr>
        <w:numPr>
          <w:ilvl w:val="0"/>
          <w:numId w:val="1"/>
        </w:numPr>
        <w:spacing w:after="240" w:line="360" w:lineRule="auto"/>
        <w:ind w:left="1083" w:right="119" w:hanging="295"/>
        <w:jc w:val="thaiDistribute"/>
        <w:rPr>
          <w:sz w:val="28"/>
          <w:szCs w:val="28"/>
        </w:rPr>
      </w:pPr>
      <w:r w:rsidRPr="00525BD5">
        <w:rPr>
          <w:sz w:val="28"/>
          <w:szCs w:val="28"/>
        </w:rPr>
        <w:t xml:space="preserve">Other infections: osteomyelitis, urethritis, gonorrhoea, syphilis, lymphogranuloma venereum, diphtheria, prostatitis, scarlet fever  </w:t>
      </w:r>
      <w:r w:rsidRPr="00525BD5">
        <w:rPr>
          <w:sz w:val="28"/>
          <w:szCs w:val="28"/>
        </w:rPr>
        <w:tab/>
        <w:t xml:space="preserve">  </w:t>
      </w:r>
    </w:p>
    <w:p w14:paraId="384AC92A" w14:textId="77777777" w:rsidR="00525BD5" w:rsidRPr="00525BD5" w:rsidRDefault="00525BD5" w:rsidP="00525BD5">
      <w:pPr>
        <w:pStyle w:val="Heading2"/>
        <w:numPr>
          <w:ilvl w:val="1"/>
          <w:numId w:val="3"/>
        </w:numPr>
        <w:tabs>
          <w:tab w:val="center" w:pos="2676"/>
        </w:tabs>
        <w:spacing w:after="240"/>
        <w:ind w:left="788" w:hanging="431"/>
        <w:rPr>
          <w:sz w:val="28"/>
          <w:szCs w:val="28"/>
        </w:rPr>
      </w:pPr>
      <w:r w:rsidRPr="00525BD5">
        <w:rPr>
          <w:b/>
          <w:sz w:val="28"/>
          <w:szCs w:val="28"/>
          <w:u w:val="none"/>
        </w:rPr>
        <w:t xml:space="preserve">Posology and method of administration  </w:t>
      </w:r>
    </w:p>
    <w:p w14:paraId="281425D4" w14:textId="77777777" w:rsidR="00525BD5" w:rsidRDefault="00525BD5" w:rsidP="00525BD5">
      <w:pPr>
        <w:pStyle w:val="Heading2"/>
        <w:tabs>
          <w:tab w:val="center" w:pos="2676"/>
        </w:tabs>
        <w:spacing w:after="240"/>
        <w:ind w:left="794" w:firstLine="0"/>
        <w:rPr>
          <w:i/>
          <w:iCs/>
          <w:sz w:val="28"/>
          <w:szCs w:val="28"/>
          <w:u w:val="none"/>
        </w:rPr>
      </w:pPr>
      <w:r w:rsidRPr="00525BD5">
        <w:rPr>
          <w:i/>
          <w:iCs/>
          <w:sz w:val="28"/>
          <w:szCs w:val="28"/>
          <w:u w:val="none"/>
        </w:rPr>
        <w:t xml:space="preserve">Posology  </w:t>
      </w:r>
    </w:p>
    <w:p w14:paraId="27FBFA21" w14:textId="77777777" w:rsidR="00525BD5" w:rsidRDefault="00525BD5" w:rsidP="00525BD5">
      <w:pPr>
        <w:pStyle w:val="Heading2"/>
        <w:tabs>
          <w:tab w:val="center" w:pos="2676"/>
        </w:tabs>
        <w:spacing w:after="240"/>
        <w:ind w:left="794" w:firstLine="0"/>
        <w:rPr>
          <w:sz w:val="28"/>
          <w:szCs w:val="28"/>
          <w:u w:val="none"/>
        </w:rPr>
      </w:pPr>
      <w:r w:rsidRPr="00525BD5">
        <w:rPr>
          <w:sz w:val="28"/>
          <w:szCs w:val="28"/>
        </w:rPr>
        <w:t>Adults and children over 8 years</w:t>
      </w:r>
      <w:r w:rsidRPr="00525BD5">
        <w:rPr>
          <w:sz w:val="28"/>
          <w:szCs w:val="28"/>
          <w:u w:val="none"/>
        </w:rPr>
        <w:t xml:space="preserve">: </w:t>
      </w:r>
    </w:p>
    <w:p w14:paraId="08B77BBD" w14:textId="77777777" w:rsidR="00525BD5" w:rsidRDefault="00525BD5" w:rsidP="00525BD5">
      <w:pPr>
        <w:pStyle w:val="Heading2"/>
        <w:tabs>
          <w:tab w:val="center" w:pos="2676"/>
        </w:tabs>
        <w:spacing w:after="240"/>
        <w:ind w:left="794" w:firstLine="0"/>
        <w:rPr>
          <w:sz w:val="28"/>
          <w:szCs w:val="28"/>
          <w:u w:val="none"/>
        </w:rPr>
      </w:pPr>
      <w:r w:rsidRPr="00525BD5">
        <w:rPr>
          <w:sz w:val="28"/>
          <w:szCs w:val="28"/>
          <w:u w:val="none"/>
        </w:rPr>
        <w:t xml:space="preserve">For mild to moderate infections 1-2g daily in divided doses.  Up to 4g daily in severe infections. </w:t>
      </w:r>
    </w:p>
    <w:p w14:paraId="0212BA89" w14:textId="77777777" w:rsidR="00525BD5" w:rsidRDefault="00525BD5" w:rsidP="00525BD5">
      <w:pPr>
        <w:pStyle w:val="Heading2"/>
        <w:tabs>
          <w:tab w:val="center" w:pos="2676"/>
        </w:tabs>
        <w:spacing w:after="240"/>
        <w:ind w:left="794" w:firstLine="0"/>
        <w:rPr>
          <w:sz w:val="28"/>
          <w:szCs w:val="28"/>
        </w:rPr>
      </w:pPr>
      <w:r w:rsidRPr="00525BD5">
        <w:rPr>
          <w:sz w:val="28"/>
          <w:szCs w:val="28"/>
        </w:rPr>
        <w:t xml:space="preserve">Elderly: </w:t>
      </w:r>
    </w:p>
    <w:p w14:paraId="0E23573B" w14:textId="77777777" w:rsidR="00525BD5" w:rsidRDefault="00525BD5" w:rsidP="00525BD5">
      <w:pPr>
        <w:pStyle w:val="Heading2"/>
        <w:tabs>
          <w:tab w:val="center" w:pos="2676"/>
        </w:tabs>
        <w:spacing w:after="240"/>
        <w:ind w:left="794" w:firstLine="0"/>
        <w:rPr>
          <w:sz w:val="28"/>
          <w:szCs w:val="28"/>
          <w:u w:val="none"/>
        </w:rPr>
      </w:pPr>
      <w:r w:rsidRPr="00525BD5">
        <w:rPr>
          <w:sz w:val="28"/>
          <w:szCs w:val="28"/>
          <w:u w:val="none"/>
        </w:rPr>
        <w:t>No special dosage recommendations</w:t>
      </w:r>
    </w:p>
    <w:p w14:paraId="05B0874E" w14:textId="77777777" w:rsidR="00525BD5" w:rsidRDefault="00525BD5">
      <w:pPr>
        <w:spacing w:after="160" w:line="278" w:lineRule="auto"/>
        <w:ind w:left="0" w:firstLine="0"/>
        <w:rPr>
          <w:sz w:val="28"/>
          <w:szCs w:val="28"/>
          <w:u w:val="single" w:color="000000"/>
        </w:rPr>
      </w:pPr>
      <w:r>
        <w:rPr>
          <w:sz w:val="28"/>
          <w:szCs w:val="28"/>
        </w:rPr>
        <w:br w:type="page"/>
      </w:r>
    </w:p>
    <w:p w14:paraId="153D5E2C" w14:textId="4642A493" w:rsidR="00525BD5" w:rsidRDefault="00525BD5" w:rsidP="00525BD5">
      <w:pPr>
        <w:pStyle w:val="Heading2"/>
        <w:tabs>
          <w:tab w:val="center" w:pos="2676"/>
        </w:tabs>
        <w:spacing w:after="240"/>
        <w:ind w:left="794" w:firstLine="0"/>
        <w:rPr>
          <w:sz w:val="28"/>
          <w:szCs w:val="28"/>
        </w:rPr>
      </w:pPr>
      <w:r w:rsidRPr="00525BD5">
        <w:rPr>
          <w:sz w:val="28"/>
          <w:szCs w:val="28"/>
        </w:rPr>
        <w:lastRenderedPageBreak/>
        <w:t xml:space="preserve">Paediatric population  </w:t>
      </w:r>
    </w:p>
    <w:p w14:paraId="6783B6E7" w14:textId="77777777" w:rsidR="00525BD5" w:rsidRDefault="00525BD5" w:rsidP="00525BD5">
      <w:pPr>
        <w:pStyle w:val="Heading2"/>
        <w:tabs>
          <w:tab w:val="center" w:pos="2676"/>
        </w:tabs>
        <w:spacing w:after="240" w:line="360" w:lineRule="auto"/>
        <w:ind w:left="794" w:firstLine="0"/>
        <w:jc w:val="thaiDistribute"/>
        <w:rPr>
          <w:sz w:val="28"/>
          <w:szCs w:val="28"/>
        </w:rPr>
      </w:pPr>
      <w:r w:rsidRPr="00525BD5">
        <w:rPr>
          <w:sz w:val="28"/>
          <w:szCs w:val="28"/>
          <w:u w:val="none"/>
        </w:rPr>
        <w:t>Note: For younger children, infants and babies, erythromycin suspensions is normally recommended.  The recommended dose for children age 2-8 years, for mild to moderate infections, is 1 gram daily in divided doses.  The recommended dose for infants and babies, for mild to moderate infections, is 500 mg daily in divided doses.  For severe infections doses may be doubled</w:t>
      </w:r>
      <w:r w:rsidRPr="00525BD5">
        <w:rPr>
          <w:sz w:val="28"/>
          <w:szCs w:val="28"/>
          <w:u w:val="none"/>
        </w:rPr>
        <w:t>.</w:t>
      </w:r>
    </w:p>
    <w:p w14:paraId="78F0D0C5" w14:textId="77777777" w:rsidR="00525BD5" w:rsidRDefault="00000000" w:rsidP="00525BD5">
      <w:pPr>
        <w:pStyle w:val="Heading2"/>
        <w:tabs>
          <w:tab w:val="center" w:pos="2676"/>
        </w:tabs>
        <w:spacing w:after="240" w:line="360" w:lineRule="auto"/>
        <w:ind w:left="794" w:firstLine="0"/>
        <w:jc w:val="thaiDistribute"/>
        <w:rPr>
          <w:i/>
          <w:iCs/>
          <w:sz w:val="28"/>
          <w:szCs w:val="28"/>
          <w:u w:val="none"/>
        </w:rPr>
      </w:pPr>
      <w:r w:rsidRPr="00525BD5">
        <w:rPr>
          <w:i/>
          <w:iCs/>
          <w:sz w:val="28"/>
          <w:szCs w:val="28"/>
          <w:u w:val="none"/>
        </w:rPr>
        <w:t xml:space="preserve">Method of administration  </w:t>
      </w:r>
    </w:p>
    <w:p w14:paraId="5E5C5D67" w14:textId="1A52E390" w:rsidR="000324BA" w:rsidRPr="00525BD5" w:rsidRDefault="00525BD5" w:rsidP="00525BD5">
      <w:pPr>
        <w:pStyle w:val="Heading2"/>
        <w:tabs>
          <w:tab w:val="center" w:pos="2676"/>
        </w:tabs>
        <w:spacing w:after="240" w:line="360" w:lineRule="auto"/>
        <w:ind w:left="794" w:firstLine="0"/>
        <w:jc w:val="thaiDistribute"/>
        <w:rPr>
          <w:sz w:val="28"/>
          <w:szCs w:val="28"/>
          <w:u w:val="none"/>
        </w:rPr>
      </w:pPr>
      <w:r w:rsidRPr="00525BD5">
        <w:rPr>
          <w:sz w:val="28"/>
          <w:szCs w:val="28"/>
          <w:u w:val="none"/>
        </w:rPr>
        <w:t xml:space="preserve">For oral administration    </w:t>
      </w:r>
    </w:p>
    <w:p w14:paraId="1AB47F97" w14:textId="1C5C0D6C" w:rsidR="000324BA" w:rsidRPr="00525BD5" w:rsidRDefault="00000000" w:rsidP="00525BD5">
      <w:pPr>
        <w:pStyle w:val="Heading2"/>
        <w:numPr>
          <w:ilvl w:val="1"/>
          <w:numId w:val="3"/>
        </w:numPr>
        <w:tabs>
          <w:tab w:val="center" w:pos="1617"/>
        </w:tabs>
        <w:spacing w:after="240"/>
        <w:ind w:left="788" w:hanging="431"/>
        <w:rPr>
          <w:sz w:val="28"/>
          <w:szCs w:val="28"/>
        </w:rPr>
      </w:pPr>
      <w:r w:rsidRPr="00525BD5">
        <w:rPr>
          <w:b/>
          <w:sz w:val="28"/>
          <w:szCs w:val="28"/>
          <w:u w:val="none"/>
        </w:rPr>
        <w:t xml:space="preserve">Contraindications  </w:t>
      </w:r>
    </w:p>
    <w:p w14:paraId="31CA7391" w14:textId="76127D3A" w:rsidR="000324BA" w:rsidRPr="00525BD5" w:rsidRDefault="00000000" w:rsidP="00525BD5">
      <w:pPr>
        <w:pStyle w:val="ListParagraph"/>
        <w:numPr>
          <w:ilvl w:val="0"/>
          <w:numId w:val="6"/>
        </w:numPr>
        <w:spacing w:after="240" w:line="360" w:lineRule="auto"/>
        <w:ind w:left="1077" w:right="119" w:hanging="357"/>
        <w:contextualSpacing w:val="0"/>
        <w:jc w:val="thaiDistribute"/>
        <w:rPr>
          <w:sz w:val="28"/>
          <w:szCs w:val="28"/>
        </w:rPr>
      </w:pPr>
      <w:r w:rsidRPr="00525BD5">
        <w:rPr>
          <w:sz w:val="28"/>
          <w:szCs w:val="28"/>
        </w:rPr>
        <w:t xml:space="preserve">Hypersensitivity to the active substance or to any of the excipients listed in section 6.1.    </w:t>
      </w:r>
    </w:p>
    <w:p w14:paraId="72F13ABA" w14:textId="35595148" w:rsidR="000324BA" w:rsidRPr="00525BD5" w:rsidRDefault="00000000" w:rsidP="00525BD5">
      <w:pPr>
        <w:pStyle w:val="ListParagraph"/>
        <w:numPr>
          <w:ilvl w:val="0"/>
          <w:numId w:val="6"/>
        </w:numPr>
        <w:tabs>
          <w:tab w:val="left" w:pos="1985"/>
        </w:tabs>
        <w:spacing w:after="240" w:line="360" w:lineRule="auto"/>
        <w:ind w:left="1077" w:right="119" w:hanging="357"/>
        <w:contextualSpacing w:val="0"/>
        <w:jc w:val="thaiDistribute"/>
        <w:rPr>
          <w:sz w:val="28"/>
          <w:szCs w:val="28"/>
        </w:rPr>
      </w:pPr>
      <w:r w:rsidRPr="00525BD5">
        <w:rPr>
          <w:sz w:val="28"/>
          <w:szCs w:val="28"/>
        </w:rPr>
        <w:t xml:space="preserve">Erythromycin is contraindicated in patients taking simvastatin, tolterodine, mizolastine, amisulpride, astemizole, terfenadine, domperidone, cisapride or pimozide.  </w:t>
      </w:r>
    </w:p>
    <w:p w14:paraId="277E48DE" w14:textId="5FFCF019" w:rsidR="000324BA" w:rsidRPr="00525BD5" w:rsidRDefault="00000000" w:rsidP="00525BD5">
      <w:pPr>
        <w:pStyle w:val="ListParagraph"/>
        <w:numPr>
          <w:ilvl w:val="0"/>
          <w:numId w:val="6"/>
        </w:numPr>
        <w:spacing w:after="240" w:line="360" w:lineRule="auto"/>
        <w:ind w:left="1077" w:right="119" w:hanging="357"/>
        <w:contextualSpacing w:val="0"/>
        <w:jc w:val="thaiDistribute"/>
        <w:rPr>
          <w:sz w:val="28"/>
          <w:szCs w:val="28"/>
        </w:rPr>
      </w:pPr>
      <w:r w:rsidRPr="00525BD5">
        <w:rPr>
          <w:sz w:val="28"/>
          <w:szCs w:val="28"/>
        </w:rPr>
        <w:t xml:space="preserve">Erythromycin should not be given to patients with a history of QT prolongation (congenital or documented acquired QT prolongation) or ventricular cardiac arrhythmia, including torsades de pointes (see section 4.4 and 4.5).  </w:t>
      </w:r>
    </w:p>
    <w:p w14:paraId="7865B70E" w14:textId="77777777" w:rsidR="00525BD5" w:rsidRPr="00525BD5" w:rsidRDefault="00000000" w:rsidP="00525BD5">
      <w:pPr>
        <w:pStyle w:val="ListParagraph"/>
        <w:numPr>
          <w:ilvl w:val="0"/>
          <w:numId w:val="6"/>
        </w:numPr>
        <w:spacing w:line="360" w:lineRule="auto"/>
        <w:ind w:left="1080" w:right="121"/>
        <w:jc w:val="thaiDistribute"/>
        <w:rPr>
          <w:sz w:val="28"/>
          <w:szCs w:val="28"/>
        </w:rPr>
      </w:pPr>
      <w:r w:rsidRPr="00525BD5">
        <w:rPr>
          <w:sz w:val="28"/>
          <w:szCs w:val="28"/>
        </w:rPr>
        <w:t xml:space="preserve">Erythromycin should not be given to patients with electrolyte disturbances </w:t>
      </w:r>
      <w:r w:rsidR="00525BD5" w:rsidRPr="00525BD5">
        <w:rPr>
          <w:rFonts w:cs="Times New Roman"/>
          <w:sz w:val="28"/>
          <w:szCs w:val="28"/>
        </w:rPr>
        <w:t xml:space="preserve">(hypokalaemia, hypomagnesaemia due to the risk of prolongation of QT interval). </w:t>
      </w:r>
    </w:p>
    <w:p w14:paraId="65EB2931" w14:textId="77777777" w:rsidR="00525BD5" w:rsidRPr="00525BD5" w:rsidRDefault="00525BD5" w:rsidP="00525BD5">
      <w:pPr>
        <w:pStyle w:val="ListParagraph"/>
        <w:numPr>
          <w:ilvl w:val="0"/>
          <w:numId w:val="6"/>
        </w:numPr>
        <w:spacing w:line="360" w:lineRule="auto"/>
        <w:ind w:left="1080" w:right="121"/>
        <w:jc w:val="thaiDistribute"/>
        <w:rPr>
          <w:sz w:val="28"/>
          <w:szCs w:val="28"/>
        </w:rPr>
      </w:pPr>
      <w:r w:rsidRPr="00525BD5">
        <w:rPr>
          <w:rFonts w:cs="Times New Roman"/>
          <w:sz w:val="28"/>
          <w:szCs w:val="28"/>
        </w:rPr>
        <w:lastRenderedPageBreak/>
        <w:t>Erythromycin is contraindicated with ergotamine and dihydroergotamine.</w:t>
      </w:r>
    </w:p>
    <w:p w14:paraId="32BE39AD" w14:textId="3110A087" w:rsidR="000324BA" w:rsidRPr="00525BD5" w:rsidRDefault="00525BD5" w:rsidP="00525BD5">
      <w:pPr>
        <w:pStyle w:val="ListParagraph"/>
        <w:numPr>
          <w:ilvl w:val="0"/>
          <w:numId w:val="6"/>
        </w:numPr>
        <w:spacing w:after="240" w:line="360" w:lineRule="auto"/>
        <w:ind w:left="1077" w:right="119" w:hanging="357"/>
        <w:contextualSpacing w:val="0"/>
        <w:jc w:val="thaiDistribute"/>
        <w:rPr>
          <w:sz w:val="28"/>
          <w:szCs w:val="28"/>
        </w:rPr>
      </w:pPr>
      <w:r w:rsidRPr="00525BD5">
        <w:rPr>
          <w:rFonts w:cs="Times New Roman"/>
          <w:sz w:val="28"/>
          <w:szCs w:val="28"/>
        </w:rPr>
        <w:t xml:space="preserve">Concomitant administration of erythromycin and lomitapide is contraindicated (see section 4.5)  </w:t>
      </w:r>
    </w:p>
    <w:p w14:paraId="5CEE51B9" w14:textId="04785D32" w:rsidR="000324BA" w:rsidRPr="00525BD5" w:rsidRDefault="00000000" w:rsidP="00525BD5">
      <w:pPr>
        <w:pStyle w:val="Heading2"/>
        <w:numPr>
          <w:ilvl w:val="1"/>
          <w:numId w:val="3"/>
        </w:numPr>
        <w:tabs>
          <w:tab w:val="center" w:pos="2763"/>
        </w:tabs>
        <w:spacing w:after="240"/>
        <w:ind w:left="788" w:hanging="431"/>
        <w:rPr>
          <w:sz w:val="28"/>
          <w:szCs w:val="28"/>
        </w:rPr>
      </w:pPr>
      <w:r w:rsidRPr="00525BD5">
        <w:rPr>
          <w:b/>
          <w:sz w:val="28"/>
          <w:szCs w:val="28"/>
          <w:u w:val="none"/>
        </w:rPr>
        <w:t xml:space="preserve">Special warnings and precautions for use  </w:t>
      </w:r>
    </w:p>
    <w:p w14:paraId="5B56E6AE" w14:textId="77777777" w:rsidR="000324BA" w:rsidRPr="00525BD5" w:rsidRDefault="00000000" w:rsidP="00525BD5">
      <w:pPr>
        <w:spacing w:after="240" w:line="360" w:lineRule="auto"/>
        <w:ind w:left="788" w:right="119" w:firstLine="0"/>
        <w:jc w:val="thaiDistribute"/>
        <w:rPr>
          <w:sz w:val="28"/>
          <w:szCs w:val="28"/>
        </w:rPr>
      </w:pPr>
      <w:r w:rsidRPr="00525BD5">
        <w:rPr>
          <w:sz w:val="28"/>
          <w:szCs w:val="28"/>
        </w:rPr>
        <w:t xml:space="preserve">Erythromycin is excreted principally by the liver, so caution should be exercised in administering the antibiotic to patients with impaired hepatic function or concomitantly receiving potentially hepatotoxic agents. </w:t>
      </w:r>
      <w:r w:rsidRPr="00525BD5">
        <w:rPr>
          <w:i/>
          <w:sz w:val="28"/>
          <w:szCs w:val="28"/>
        </w:rPr>
        <w:t xml:space="preserve"> </w:t>
      </w:r>
      <w:r w:rsidRPr="00525BD5">
        <w:rPr>
          <w:sz w:val="28"/>
          <w:szCs w:val="28"/>
        </w:rPr>
        <w:t xml:space="preserve">Hepatic dysfunction including increased liver enzymes and/or cholestatic hepatitis, with or without jaundice, has been infrequently reported with erythromycin.  </w:t>
      </w:r>
    </w:p>
    <w:p w14:paraId="56233E6C" w14:textId="7E504C7D" w:rsidR="000324BA" w:rsidRPr="00525BD5" w:rsidRDefault="00000000" w:rsidP="00525BD5">
      <w:pPr>
        <w:spacing w:after="240" w:line="360" w:lineRule="auto"/>
        <w:ind w:left="788" w:right="119" w:firstLine="0"/>
        <w:jc w:val="thaiDistribute"/>
        <w:rPr>
          <w:sz w:val="28"/>
          <w:szCs w:val="28"/>
        </w:rPr>
      </w:pPr>
      <w:r w:rsidRPr="00525BD5">
        <w:rPr>
          <w:sz w:val="28"/>
          <w:szCs w:val="28"/>
        </w:rPr>
        <w:t xml:space="preserve">Pseudomembranous colitis has been reported with nearly all antibacterial agents, including macrolides, and may range in severity from mild to life-threatening (see section.4.8).  Clostridium difficile-associated diarrhoea (CDAD) has been reported with use of nearly all antibacterial agents including erythromycin, and may range in severity from mild diarrhoea to fatal colitis. Treatment with antibacterial agents alters the normal flora of the colon, which may lead to overgrowth of C. difficile.  CDAD must be considered in all patients who present with diarrhoea following antibiotic use.  Careful medical history is necessary since CDAD has been reported to occur over two months after the administration of antibacterial agents.  </w:t>
      </w:r>
    </w:p>
    <w:p w14:paraId="03AC84E4" w14:textId="77777777" w:rsidR="00525BD5" w:rsidRDefault="00000000" w:rsidP="00525BD5">
      <w:pPr>
        <w:spacing w:after="240" w:line="360" w:lineRule="auto"/>
        <w:ind w:left="720" w:right="119" w:firstLine="68"/>
        <w:jc w:val="thaiDistribute"/>
        <w:rPr>
          <w:sz w:val="28"/>
          <w:szCs w:val="28"/>
        </w:rPr>
      </w:pPr>
      <w:r w:rsidRPr="00525BD5">
        <w:rPr>
          <w:sz w:val="28"/>
          <w:szCs w:val="28"/>
        </w:rPr>
        <w:t xml:space="preserve">As with other macrolides, rare serious allergic reactions, including acute generalised exanthematous pustulosis (AGEP) have been reported. If an allergic reaction occurs, the drug should be discontinued </w:t>
      </w:r>
      <w:r w:rsidRPr="00525BD5">
        <w:rPr>
          <w:sz w:val="28"/>
          <w:szCs w:val="28"/>
        </w:rPr>
        <w:lastRenderedPageBreak/>
        <w:t xml:space="preserve">and appropriate therapy should be instituted. Physicians should be aware that reappearance of the allergic symptoms may occur when symptomatic therapy is discontinued. </w:t>
      </w:r>
    </w:p>
    <w:p w14:paraId="3912FD7B" w14:textId="73183B6C" w:rsidR="000324BA" w:rsidRPr="00525BD5" w:rsidRDefault="00000000" w:rsidP="00525BD5">
      <w:pPr>
        <w:spacing w:after="240" w:line="360" w:lineRule="auto"/>
        <w:ind w:left="714" w:right="119" w:hanging="11"/>
        <w:jc w:val="thaiDistribute"/>
        <w:rPr>
          <w:sz w:val="28"/>
          <w:szCs w:val="28"/>
          <w:u w:val="single"/>
        </w:rPr>
      </w:pPr>
      <w:r w:rsidRPr="00525BD5">
        <w:rPr>
          <w:sz w:val="28"/>
          <w:szCs w:val="28"/>
          <w:u w:val="single"/>
        </w:rPr>
        <w:t xml:space="preserve">Cardiovascular Events  </w:t>
      </w:r>
    </w:p>
    <w:p w14:paraId="2EDD5603" w14:textId="6DC1C75D"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Prolongation of the QT interval, reflecting effects on cardiac repolarisation imparting a risk of developing cardiac arrhythmia and torsades de pointes, have been seen in patients treated with macrolides including erythromycin (see sections 4.3, 4.5 and 4.8). Fatalities have been reported.  </w:t>
      </w:r>
    </w:p>
    <w:p w14:paraId="7C398262" w14:textId="77777777" w:rsidR="000324BA" w:rsidRPr="00525BD5" w:rsidRDefault="00000000" w:rsidP="00525BD5">
      <w:pPr>
        <w:pStyle w:val="Heading2"/>
        <w:spacing w:after="240" w:line="360" w:lineRule="auto"/>
        <w:ind w:left="697" w:hanging="11"/>
        <w:rPr>
          <w:sz w:val="28"/>
          <w:szCs w:val="28"/>
        </w:rPr>
      </w:pPr>
      <w:r w:rsidRPr="00525BD5">
        <w:rPr>
          <w:sz w:val="28"/>
          <w:szCs w:val="28"/>
        </w:rPr>
        <w:t>Erythromycin should be used with caution in the following;</w:t>
      </w:r>
      <w:r w:rsidRPr="00525BD5">
        <w:rPr>
          <w:sz w:val="28"/>
          <w:szCs w:val="28"/>
          <w:u w:val="none"/>
        </w:rPr>
        <w:t xml:space="preserve">  </w:t>
      </w:r>
    </w:p>
    <w:p w14:paraId="454BECE0" w14:textId="77777777" w:rsidR="000324BA" w:rsidRPr="00525BD5" w:rsidRDefault="00000000" w:rsidP="00525BD5">
      <w:pPr>
        <w:pStyle w:val="ListParagraph"/>
        <w:numPr>
          <w:ilvl w:val="0"/>
          <w:numId w:val="7"/>
        </w:numPr>
        <w:spacing w:line="360" w:lineRule="auto"/>
        <w:ind w:right="121"/>
        <w:jc w:val="thaiDistribute"/>
        <w:rPr>
          <w:sz w:val="28"/>
          <w:szCs w:val="28"/>
        </w:rPr>
      </w:pPr>
      <w:r w:rsidRPr="00525BD5">
        <w:rPr>
          <w:sz w:val="28"/>
          <w:szCs w:val="28"/>
        </w:rPr>
        <w:t xml:space="preserve">Patients with coronary artery disease, severe cardiac insufficiency, conduction disturbances or clinically relevant bradycardia.  </w:t>
      </w:r>
    </w:p>
    <w:p w14:paraId="0CCB3035" w14:textId="77777777" w:rsidR="000324BA" w:rsidRPr="00525BD5" w:rsidRDefault="00000000" w:rsidP="00525BD5">
      <w:pPr>
        <w:pStyle w:val="ListParagraph"/>
        <w:numPr>
          <w:ilvl w:val="0"/>
          <w:numId w:val="7"/>
        </w:numPr>
        <w:spacing w:line="360" w:lineRule="auto"/>
        <w:ind w:right="121"/>
        <w:jc w:val="thaiDistribute"/>
        <w:rPr>
          <w:sz w:val="28"/>
          <w:szCs w:val="28"/>
        </w:rPr>
      </w:pPr>
      <w:r w:rsidRPr="00525BD5">
        <w:rPr>
          <w:sz w:val="28"/>
          <w:szCs w:val="28"/>
        </w:rPr>
        <w:t xml:space="preserve">Patients concomitantly taking other medicinal products associated with QT prolongation (see section 4.3 and 4.5).  </w:t>
      </w:r>
    </w:p>
    <w:p w14:paraId="635494EF" w14:textId="3493BB6C" w:rsidR="000324BA" w:rsidRPr="00525BD5" w:rsidRDefault="00000000" w:rsidP="00525BD5">
      <w:pPr>
        <w:pStyle w:val="ListParagraph"/>
        <w:numPr>
          <w:ilvl w:val="0"/>
          <w:numId w:val="7"/>
        </w:numPr>
        <w:spacing w:after="240" w:line="360" w:lineRule="auto"/>
        <w:ind w:left="1412" w:right="119" w:hanging="357"/>
        <w:contextualSpacing w:val="0"/>
        <w:jc w:val="thaiDistribute"/>
        <w:rPr>
          <w:sz w:val="28"/>
          <w:szCs w:val="28"/>
        </w:rPr>
      </w:pPr>
      <w:r w:rsidRPr="00525BD5">
        <w:rPr>
          <w:sz w:val="28"/>
          <w:szCs w:val="28"/>
        </w:rPr>
        <w:t xml:space="preserve">Elderly patients may be more susceptible to drug- associated effects on the QT interval (see section 4.8).  </w:t>
      </w:r>
    </w:p>
    <w:p w14:paraId="14BB67E2" w14:textId="5479197C" w:rsidR="000324BA" w:rsidRPr="00525BD5" w:rsidRDefault="00000000" w:rsidP="00525BD5">
      <w:pPr>
        <w:spacing w:line="360" w:lineRule="auto"/>
        <w:ind w:left="706" w:right="121"/>
        <w:jc w:val="thaiDistribute"/>
        <w:rPr>
          <w:sz w:val="28"/>
          <w:szCs w:val="28"/>
        </w:rPr>
      </w:pPr>
      <w:r w:rsidRPr="00525BD5">
        <w:rPr>
          <w:sz w:val="28"/>
          <w:szCs w:val="28"/>
        </w:rPr>
        <w:t xml:space="preserve">Epidemiological studies investigating the risk of adverse cardiovascular outcomes with macrolides have shown variable results. Some observational studies have identified a rare short term risk of arrhythmia, myocardial infarction and cardiovascular mortality associated with macrolides including erythromycin. Consideration of these findings should be balanced with treatment benefits when prescribing erythromycin.  </w:t>
      </w:r>
    </w:p>
    <w:p w14:paraId="60D39F26" w14:textId="6B6C99CD" w:rsidR="000324BA" w:rsidRPr="00525BD5" w:rsidRDefault="00000000" w:rsidP="00525BD5">
      <w:pPr>
        <w:spacing w:after="240" w:line="360" w:lineRule="auto"/>
        <w:ind w:left="708" w:right="119" w:hanging="11"/>
        <w:jc w:val="thaiDistribute"/>
        <w:rPr>
          <w:sz w:val="28"/>
          <w:szCs w:val="28"/>
        </w:rPr>
      </w:pPr>
      <w:r w:rsidRPr="00525BD5">
        <w:rPr>
          <w:sz w:val="28"/>
          <w:szCs w:val="28"/>
        </w:rPr>
        <w:lastRenderedPageBreak/>
        <w:t xml:space="preserve">Carefully consider the balance of benefits and risks before prescribing erythromycin for any patients taking hydroxychloroquine or chloroquine, because of the potential for an increased risk of cardiovascular events and cardiovascular mortality (see section 4.5).  </w:t>
      </w:r>
    </w:p>
    <w:p w14:paraId="19926DA0" w14:textId="367094BB"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There have been reports suggesting erythromycin does not reach the foetus in adequate concentrations to prevent congenital syphilis.  Infants born to women treated during pregnancy with oral erythromycin for early syphilis should be treated with an appropriate penicillin regimen.  </w:t>
      </w:r>
    </w:p>
    <w:p w14:paraId="21846579"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There have been reports that erythromycin may aggravate the weakness of patients with myasthenia gravis.    </w:t>
      </w:r>
    </w:p>
    <w:p w14:paraId="770818BD"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Erythromycin interferes with the fluorometric determination of urinary catecholamines.  </w:t>
      </w:r>
    </w:p>
    <w:p w14:paraId="70D76465"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Rhabdomyolysis with or without renal impairment has been reported in seriously ill patients receiving erythromycin concomitantly with statins.  </w:t>
      </w:r>
    </w:p>
    <w:p w14:paraId="58150703" w14:textId="77777777" w:rsidR="000324BA" w:rsidRPr="00525BD5" w:rsidRDefault="00000000" w:rsidP="00525BD5">
      <w:pPr>
        <w:pStyle w:val="Heading2"/>
        <w:spacing w:after="240"/>
        <w:ind w:left="697" w:hanging="11"/>
        <w:rPr>
          <w:sz w:val="28"/>
          <w:szCs w:val="28"/>
        </w:rPr>
      </w:pPr>
      <w:r w:rsidRPr="00525BD5">
        <w:rPr>
          <w:sz w:val="28"/>
          <w:szCs w:val="28"/>
        </w:rPr>
        <w:t>Paediatric population</w:t>
      </w:r>
      <w:r w:rsidRPr="00525BD5">
        <w:rPr>
          <w:sz w:val="28"/>
          <w:szCs w:val="28"/>
          <w:u w:val="none"/>
        </w:rPr>
        <w:t xml:space="preserve">  </w:t>
      </w:r>
    </w:p>
    <w:p w14:paraId="39BAF1EE"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There have been reports of infantile hypertrophic pyloric stenosis (IHPS) occurring in infants following erythromycin therapy. Epidemiological studies including data from metaanalyses suggest a 2-3-fold increase in the risk of IHPS following exposure to erythromycin in infancy. This risk is highest following exposure to erythromycin during the first 14 days of life. Available data suggests a risk of 2.6% (95% CI: 1.5 -4.2%) following exposure to erythromycin during this </w:t>
      </w:r>
      <w:r w:rsidRPr="00525BD5">
        <w:rPr>
          <w:sz w:val="28"/>
          <w:szCs w:val="28"/>
        </w:rPr>
        <w:lastRenderedPageBreak/>
        <w:t xml:space="preserve">time period. The risk of IHPS in the general population is 0.1-0.2%. Since erythromycin may be used in the treatment of conditions in infants which are associated with significant mortality or morbidity (such as pertussis or chlamydia), the benefit of erythromycin therapy needs to be weighed against the potential risk of developing IHPS.  Parents should be informed to contact their physician if vomiting or irritability with feeding occurs.  </w:t>
      </w:r>
    </w:p>
    <w:p w14:paraId="54F654CD" w14:textId="318EAEE2" w:rsidR="000324BA" w:rsidRPr="00525BD5" w:rsidRDefault="00000000" w:rsidP="00525BD5">
      <w:pPr>
        <w:pStyle w:val="Heading3"/>
        <w:numPr>
          <w:ilvl w:val="1"/>
          <w:numId w:val="3"/>
        </w:numPr>
        <w:tabs>
          <w:tab w:val="center" w:pos="4342"/>
        </w:tabs>
        <w:spacing w:line="360" w:lineRule="auto"/>
        <w:rPr>
          <w:sz w:val="28"/>
          <w:szCs w:val="28"/>
        </w:rPr>
      </w:pPr>
      <w:r w:rsidRPr="00525BD5">
        <w:rPr>
          <w:sz w:val="28"/>
          <w:szCs w:val="28"/>
        </w:rPr>
        <w:t xml:space="preserve">Interaction with other medicinal products and other forms of interaction  </w:t>
      </w:r>
    </w:p>
    <w:p w14:paraId="344AE0C3" w14:textId="77777777" w:rsidR="00525BD5" w:rsidRDefault="00000000" w:rsidP="00525BD5">
      <w:pPr>
        <w:spacing w:after="240" w:line="360" w:lineRule="auto"/>
        <w:ind w:left="794" w:right="119" w:firstLine="0"/>
        <w:jc w:val="thaiDistribute"/>
        <w:rPr>
          <w:sz w:val="28"/>
          <w:szCs w:val="28"/>
        </w:rPr>
      </w:pPr>
      <w:r w:rsidRPr="00525BD5">
        <w:rPr>
          <w:sz w:val="28"/>
          <w:szCs w:val="28"/>
        </w:rPr>
        <w:t>Increases in serum concentrations of the following drugs metabolised by the cytochrome P450 system may occur : when administered concurrently with erythromycin:  acenocoumarol, alfentanil, astemizole, bromocriptine, carbamazepine, cilostazol, cyclosporin, digoxin, dihydroergotamine, disopyramide, ergotamine, hexobarbitone, methylprednisolone, midazolam, omeprazole, phenytoin, quinidine, rifabutin</w:t>
      </w:r>
      <w:r w:rsidRPr="00525BD5">
        <w:rPr>
          <w:i/>
          <w:sz w:val="28"/>
          <w:szCs w:val="28"/>
          <w:u w:val="single" w:color="000000"/>
        </w:rPr>
        <w:t>,</w:t>
      </w:r>
      <w:r w:rsidRPr="00525BD5">
        <w:rPr>
          <w:sz w:val="28"/>
          <w:szCs w:val="28"/>
        </w:rPr>
        <w:t xml:space="preserve"> sildenafil, tacrolimus, terfenadine, domperidone, theophylline, triazolam, valproate, vinblastine, and antifungals e.g fluconazole, ketoconazole and itraconazole.  Appropriate monitoring should be undertaken and dosage should be adjusted as necessary.  Particular care should be taken with medications known to prolong the QTc interval of the electrocardiogram. </w:t>
      </w:r>
    </w:p>
    <w:p w14:paraId="6FF812B0" w14:textId="77777777" w:rsidR="00525BD5" w:rsidRDefault="00000000" w:rsidP="00525BD5">
      <w:pPr>
        <w:spacing w:after="240" w:line="360" w:lineRule="auto"/>
        <w:ind w:left="794" w:right="119" w:firstLine="0"/>
        <w:jc w:val="thaiDistribute"/>
        <w:rPr>
          <w:sz w:val="28"/>
          <w:szCs w:val="28"/>
        </w:rPr>
      </w:pPr>
      <w:r w:rsidRPr="00525BD5">
        <w:rPr>
          <w:sz w:val="28"/>
          <w:szCs w:val="28"/>
        </w:rPr>
        <w:t xml:space="preserve">Drugs that induce CYP3A4 (such as rifampicin, phenytoin, carbamazepine, phenobarbital, St John’s Wort) may induce the metabolism of erythromycin. This may lead to subtherapeutic levels </w:t>
      </w:r>
      <w:r w:rsidRPr="00525BD5">
        <w:rPr>
          <w:sz w:val="28"/>
          <w:szCs w:val="28"/>
        </w:rPr>
        <w:lastRenderedPageBreak/>
        <w:t xml:space="preserve">of erythromycin and a decreased effect. The induction decreases gradually during two weeks after discontinued treatment with CYP3A4 inducers.  Erythromycin should not be used during and two weeks after treatment with CYP3A4 inducers. </w:t>
      </w:r>
    </w:p>
    <w:p w14:paraId="4AEA036F" w14:textId="77777777" w:rsidR="00525BD5" w:rsidRDefault="00525BD5" w:rsidP="00525BD5">
      <w:pPr>
        <w:spacing w:after="240" w:line="360" w:lineRule="auto"/>
        <w:ind w:left="794" w:right="119" w:firstLine="0"/>
        <w:jc w:val="thaiDistribute"/>
        <w:rPr>
          <w:sz w:val="28"/>
          <w:szCs w:val="28"/>
        </w:rPr>
      </w:pPr>
      <w:r w:rsidRPr="00525BD5">
        <w:rPr>
          <w:sz w:val="28"/>
          <w:szCs w:val="28"/>
        </w:rPr>
        <w:t>HMG-CoA Reductase Inhibitors: erythromycin has been reported to increase concentrations of HMG-CoA reductase inhibitors (e.g. lovastatin and simvastatin).  Rare reports of rhabdomyolysis have been reported in patients taking these drugs concomitantly.</w:t>
      </w:r>
    </w:p>
    <w:p w14:paraId="39D347B2" w14:textId="77777777" w:rsidR="00525BD5" w:rsidRDefault="00525BD5" w:rsidP="00525BD5">
      <w:pPr>
        <w:spacing w:after="240" w:line="360" w:lineRule="auto"/>
        <w:ind w:left="794" w:right="119" w:firstLine="0"/>
        <w:jc w:val="thaiDistribute"/>
        <w:rPr>
          <w:sz w:val="28"/>
          <w:szCs w:val="28"/>
        </w:rPr>
      </w:pPr>
      <w:r w:rsidRPr="00525BD5">
        <w:rPr>
          <w:sz w:val="28"/>
          <w:szCs w:val="28"/>
        </w:rPr>
        <w:t>Concomitant administration of erythromycin with lomitapide is contraindicated due the potential for markedly increased transaminases (see section 4.3).</w:t>
      </w:r>
    </w:p>
    <w:p w14:paraId="39D1C254" w14:textId="77777777" w:rsidR="00525BD5" w:rsidRDefault="00525BD5" w:rsidP="00525BD5">
      <w:pPr>
        <w:spacing w:after="240" w:line="360" w:lineRule="auto"/>
        <w:ind w:left="794" w:right="119" w:firstLine="0"/>
        <w:jc w:val="thaiDistribute"/>
      </w:pPr>
      <w:r w:rsidRPr="00525BD5">
        <w:rPr>
          <w:sz w:val="28"/>
          <w:szCs w:val="28"/>
        </w:rPr>
        <w:t>Contraceptives: some antibiotics may in rare cases decrease the effect of contraceptive pills by interfering with the bacterial hydrolysis of steroid conjugates in the intestine and thereby reabsorption of unconjugated steroid. As a result of this plasma levels of active steroid may decrease.</w:t>
      </w:r>
    </w:p>
    <w:p w14:paraId="0B02B829" w14:textId="77777777" w:rsidR="00525BD5" w:rsidRDefault="00525BD5" w:rsidP="00525BD5">
      <w:pPr>
        <w:spacing w:after="240" w:line="360" w:lineRule="auto"/>
        <w:ind w:left="794" w:right="119" w:firstLine="0"/>
        <w:jc w:val="thaiDistribute"/>
        <w:rPr>
          <w:sz w:val="28"/>
          <w:szCs w:val="28"/>
        </w:rPr>
      </w:pPr>
      <w:r w:rsidRPr="00525BD5">
        <w:rPr>
          <w:sz w:val="28"/>
          <w:szCs w:val="28"/>
        </w:rPr>
        <w:t xml:space="preserve">Antihistamine H1 antagonists: care should be taken in the coadministration of erythromycin with H1 antagonists such as terfenadine, astemizole and mizolastine due to the alteration of their metabolism by erythromycin. </w:t>
      </w:r>
    </w:p>
    <w:p w14:paraId="213A6835" w14:textId="77777777" w:rsidR="00525BD5" w:rsidRDefault="00525BD5" w:rsidP="00525BD5">
      <w:pPr>
        <w:spacing w:after="240" w:line="360" w:lineRule="auto"/>
        <w:ind w:left="794" w:right="119" w:firstLine="0"/>
        <w:jc w:val="thaiDistribute"/>
      </w:pPr>
      <w:r w:rsidRPr="00525BD5">
        <w:rPr>
          <w:sz w:val="28"/>
          <w:szCs w:val="28"/>
        </w:rPr>
        <w:t xml:space="preserve">Erythromycin significantly alters the metabolism of terfenadine, astemizole and pimozide when taken concomitantly.  Rare cases of serious, potentially fatal, cardiovascular events including cardiac </w:t>
      </w:r>
      <w:r w:rsidRPr="00525BD5">
        <w:rPr>
          <w:sz w:val="28"/>
          <w:szCs w:val="28"/>
        </w:rPr>
        <w:lastRenderedPageBreak/>
        <w:t>arrest, torsade de pointes and other ventricular arrhythmias have been observed (see sections 4.3 and 4.8).</w:t>
      </w:r>
      <w:r w:rsidRPr="00525BD5">
        <w:t xml:space="preserve"> </w:t>
      </w:r>
    </w:p>
    <w:p w14:paraId="651AC346" w14:textId="77777777" w:rsidR="00525BD5" w:rsidRDefault="00525BD5" w:rsidP="00525BD5">
      <w:pPr>
        <w:spacing w:after="240" w:line="360" w:lineRule="auto"/>
        <w:ind w:left="794" w:right="119" w:firstLine="0"/>
        <w:jc w:val="thaiDistribute"/>
      </w:pPr>
      <w:r w:rsidRPr="00525BD5">
        <w:rPr>
          <w:sz w:val="28"/>
          <w:szCs w:val="28"/>
        </w:rPr>
        <w:t>Anti-bacterial agents: an in vitro antagonism exists between erythromycin and the bactericidal beta-lactam antibiotics (e.g. penicillin, cephalosporin). Erythromycin antagonises the action of clindamycin, lincomycin and chloramphenicol. The same applies for streptomycin, tetracyclines and colistin.</w:t>
      </w:r>
      <w:r w:rsidRPr="00525BD5">
        <w:t xml:space="preserve"> </w:t>
      </w:r>
    </w:p>
    <w:p w14:paraId="21363367" w14:textId="77777777" w:rsidR="00525BD5" w:rsidRDefault="00525BD5" w:rsidP="00525BD5">
      <w:pPr>
        <w:spacing w:after="240" w:line="360" w:lineRule="auto"/>
        <w:ind w:left="794" w:right="119" w:firstLine="0"/>
        <w:jc w:val="thaiDistribute"/>
        <w:rPr>
          <w:sz w:val="28"/>
          <w:szCs w:val="28"/>
        </w:rPr>
      </w:pPr>
      <w:r w:rsidRPr="00525BD5">
        <w:rPr>
          <w:sz w:val="28"/>
          <w:szCs w:val="28"/>
        </w:rPr>
        <w:t>Protease inhibitors: in concomitant administration of erythromycin and protease inhibitors, an inhibition of the decomposition of erythromycin has been observed.</w:t>
      </w:r>
    </w:p>
    <w:p w14:paraId="4369174F" w14:textId="77777777" w:rsidR="00525BD5" w:rsidRDefault="00525BD5" w:rsidP="00525BD5">
      <w:pPr>
        <w:spacing w:after="240" w:line="360" w:lineRule="auto"/>
        <w:ind w:left="794" w:right="119" w:firstLine="0"/>
        <w:jc w:val="thaiDistribute"/>
        <w:rPr>
          <w:sz w:val="28"/>
          <w:szCs w:val="28"/>
        </w:rPr>
      </w:pPr>
      <w:r w:rsidRPr="00525BD5">
        <w:rPr>
          <w:sz w:val="28"/>
          <w:szCs w:val="28"/>
        </w:rPr>
        <w:t>Oral anticoagulants: there have been reports of increased anticoagulant effects when erythromycin and oral anticoagulants (e.g. warfarin, rivaroxaban) are used concomitantly.</w:t>
      </w:r>
    </w:p>
    <w:p w14:paraId="121D6767" w14:textId="77777777" w:rsidR="00525BD5" w:rsidRDefault="00525BD5" w:rsidP="00525BD5">
      <w:pPr>
        <w:spacing w:after="240" w:line="360" w:lineRule="auto"/>
        <w:ind w:left="794" w:right="119" w:firstLine="0"/>
        <w:jc w:val="thaiDistribute"/>
        <w:rPr>
          <w:sz w:val="28"/>
          <w:szCs w:val="28"/>
        </w:rPr>
      </w:pPr>
      <w:r w:rsidRPr="00525BD5">
        <w:rPr>
          <w:sz w:val="28"/>
          <w:szCs w:val="28"/>
        </w:rPr>
        <w:t>Triazolobenzodiazepines (such as triazolam and alprazolam) and related benzodiazepines: erythromycin has been reported to decrease the clearance of triazolam, midazolam, and related benzodiazepines, and thus may increase the pharmacological effect of these benzodiazepines.</w:t>
      </w:r>
    </w:p>
    <w:p w14:paraId="46E738A8" w14:textId="46F0C7E0" w:rsidR="000324BA" w:rsidRPr="00525BD5" w:rsidRDefault="00525BD5" w:rsidP="00525BD5">
      <w:pPr>
        <w:spacing w:after="240" w:line="360" w:lineRule="auto"/>
        <w:ind w:left="794" w:right="119" w:firstLine="0"/>
        <w:jc w:val="thaiDistribute"/>
        <w:rPr>
          <w:sz w:val="28"/>
          <w:szCs w:val="28"/>
        </w:rPr>
      </w:pPr>
      <w:r w:rsidRPr="00525BD5">
        <w:rPr>
          <w:sz w:val="28"/>
          <w:szCs w:val="28"/>
        </w:rPr>
        <w:t xml:space="preserve">Corticosteroids: Caution should be exercised in concomitant use of erythromycin with systemic and inhaled corticosteroids that are primarily metabolised by CYP3A due to the potential for increased systemic exposure to corticosteroids. If concomitant use occurs, patients should be closely monitored for systemic corticosteroid undesirable effects. </w:t>
      </w:r>
    </w:p>
    <w:p w14:paraId="46595A73" w14:textId="77777777" w:rsidR="00525BD5" w:rsidRDefault="00000000" w:rsidP="00525BD5">
      <w:pPr>
        <w:spacing w:after="240" w:line="360" w:lineRule="auto"/>
        <w:ind w:left="708" w:right="119" w:hanging="11"/>
        <w:jc w:val="thaiDistribute"/>
        <w:rPr>
          <w:sz w:val="28"/>
          <w:szCs w:val="28"/>
        </w:rPr>
      </w:pPr>
      <w:r w:rsidRPr="00525BD5">
        <w:rPr>
          <w:sz w:val="28"/>
          <w:szCs w:val="28"/>
        </w:rPr>
        <w:lastRenderedPageBreak/>
        <w:t>Hydroxychloroquine and chloroquine: Erythromycin should be used with caution in patients receiving these medicines known to prolong the QT interval due to the potential to induce cardiac arrhythmia and serious adverse cardiovascular events</w:t>
      </w:r>
      <w:r w:rsidR="00525BD5">
        <w:rPr>
          <w:sz w:val="28"/>
          <w:szCs w:val="28"/>
        </w:rPr>
        <w:t>.</w:t>
      </w:r>
      <w:r w:rsidRPr="00525BD5">
        <w:rPr>
          <w:sz w:val="28"/>
          <w:szCs w:val="28"/>
        </w:rPr>
        <w:t xml:space="preserve"> </w:t>
      </w:r>
    </w:p>
    <w:p w14:paraId="6E8E55DD" w14:textId="77777777" w:rsidR="00525BD5" w:rsidRDefault="00525BD5" w:rsidP="00525BD5">
      <w:pPr>
        <w:spacing w:after="240" w:line="360" w:lineRule="auto"/>
        <w:ind w:left="708" w:right="119" w:hanging="11"/>
        <w:jc w:val="thaiDistribute"/>
      </w:pPr>
      <w:r w:rsidRPr="00525BD5">
        <w:rPr>
          <w:sz w:val="28"/>
          <w:szCs w:val="28"/>
        </w:rPr>
        <w:t>Post-marketing reports indicate that co-administration of erythromycin with ergotamine or dihydroergotamine has been associated with acute ergot toxicity characterised by vasospasm and ischaemia of the central nervous system, extremities and other tissues (see section 4.3).</w:t>
      </w:r>
      <w:r w:rsidRPr="00525BD5">
        <w:t xml:space="preserve"> </w:t>
      </w:r>
    </w:p>
    <w:p w14:paraId="615B4887" w14:textId="33DFC2A1" w:rsidR="00525BD5" w:rsidRPr="00525BD5" w:rsidRDefault="00525BD5" w:rsidP="00525BD5">
      <w:pPr>
        <w:spacing w:after="240" w:line="360" w:lineRule="auto"/>
        <w:ind w:left="703" w:right="119" w:firstLine="0"/>
        <w:jc w:val="thaiDistribute"/>
        <w:rPr>
          <w:sz w:val="28"/>
          <w:szCs w:val="28"/>
        </w:rPr>
      </w:pPr>
      <w:r w:rsidRPr="00525BD5">
        <w:rPr>
          <w:sz w:val="28"/>
          <w:szCs w:val="28"/>
        </w:rPr>
        <w:t xml:space="preserve">Elevated cisapride levels have been reported in patients receiving erythromycin and cisapride concomitantly.  This may result in QTc prolongation and cardiac arrhythmias including ventricular tachycardia, ventricular fibrillation and torsades de pointes.Similar  effects have been observed with concomitant administration of pimozide and clarithromycin, another macrolide antibiotic.  </w:t>
      </w:r>
    </w:p>
    <w:p w14:paraId="7CEAAEC1" w14:textId="77777777" w:rsidR="000324BA" w:rsidRPr="00525BD5" w:rsidRDefault="00000000" w:rsidP="00525BD5">
      <w:pPr>
        <w:spacing w:line="360" w:lineRule="auto"/>
        <w:ind w:right="121"/>
        <w:jc w:val="thaiDistribute"/>
        <w:rPr>
          <w:sz w:val="28"/>
          <w:szCs w:val="28"/>
        </w:rPr>
      </w:pPr>
      <w:r w:rsidRPr="00525BD5">
        <w:rPr>
          <w:sz w:val="28"/>
          <w:szCs w:val="28"/>
        </w:rPr>
        <w:t xml:space="preserve">Erythromycin use in patients who are receiving high doses of theophylline may be associated with an increase in serum theophylline levels and potential theophylline toxicity. In case of theophylline toxicity and/or elevated serum theophylline levels, the dose of theophylline should be reduced while the patient is receiving concomitant erythromycin therapy. There have been published reports suggesting when oral erythromycin is given concurrently with theophylline there is a significant decrease in erythromycin serum concentrations. This decrease could result in sub-therapeutic concentrations of erythromycin.  </w:t>
      </w:r>
    </w:p>
    <w:p w14:paraId="523F1C8C" w14:textId="77777777" w:rsidR="000324BA" w:rsidRPr="00525BD5" w:rsidRDefault="00000000" w:rsidP="00525BD5">
      <w:pPr>
        <w:spacing w:after="0" w:line="360" w:lineRule="auto"/>
        <w:ind w:left="716" w:firstLine="0"/>
        <w:jc w:val="thaiDistribute"/>
        <w:rPr>
          <w:sz w:val="28"/>
          <w:szCs w:val="28"/>
        </w:rPr>
      </w:pPr>
      <w:r w:rsidRPr="00525BD5">
        <w:rPr>
          <w:sz w:val="28"/>
          <w:szCs w:val="28"/>
        </w:rPr>
        <w:t xml:space="preserve">  </w:t>
      </w:r>
    </w:p>
    <w:p w14:paraId="5A36F90E"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lastRenderedPageBreak/>
        <w:t xml:space="preserve">There have been post-marketing reports of colchicine toxicity with concomitant use of erythromycin and colchicine.  </w:t>
      </w:r>
    </w:p>
    <w:p w14:paraId="38ED226A" w14:textId="44B94F7A"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Hypotension, bradyarrhythmias and lactic acidosis have been observed in patients receiving concurrent verapamil, a calcium channel blocker.  </w:t>
      </w:r>
    </w:p>
    <w:p w14:paraId="5AB66643" w14:textId="493641CA"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Cimetidine may inhibit the metabolism of erythromycin which may lead to an increased plasma concentration.  </w:t>
      </w:r>
    </w:p>
    <w:p w14:paraId="55EB92EF" w14:textId="309D3D10"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Erythromycin has been reported to decrease the clearance of zopiclone and thus may increase the pharmacodynamic effects of this drug.  </w:t>
      </w:r>
    </w:p>
    <w:p w14:paraId="4970AD9F"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Observational data have shown that co-administration of azithromycin with hydroxychloroquine in patients with rheumatoid arthritis is associated with an increased risk of cardiovascular events and cardiovascular mortality.  Because of the potential for a similar risk with other macrolides when used in combination with hydroxychloroquine or chloroquine, careful consideration should be given to the balance of benefits and risks before prescribing erythromycin for any patients taking hydroxychloroquine or chloroquine.    </w:t>
      </w:r>
    </w:p>
    <w:p w14:paraId="7C9E1FDC" w14:textId="4AEF3FF6" w:rsidR="000324BA" w:rsidRPr="00525BD5" w:rsidRDefault="00000000" w:rsidP="00525BD5">
      <w:pPr>
        <w:pStyle w:val="ListParagraph"/>
        <w:numPr>
          <w:ilvl w:val="1"/>
          <w:numId w:val="3"/>
        </w:numPr>
        <w:tabs>
          <w:tab w:val="center" w:pos="2390"/>
        </w:tabs>
        <w:spacing w:after="240" w:line="259" w:lineRule="auto"/>
        <w:ind w:left="788" w:hanging="431"/>
        <w:contextualSpacing w:val="0"/>
        <w:rPr>
          <w:sz w:val="28"/>
          <w:szCs w:val="28"/>
        </w:rPr>
      </w:pPr>
      <w:r w:rsidRPr="00525BD5">
        <w:rPr>
          <w:b/>
          <w:sz w:val="28"/>
          <w:szCs w:val="28"/>
        </w:rPr>
        <w:t xml:space="preserve">Fertility, pregnancy and lactation  </w:t>
      </w:r>
    </w:p>
    <w:p w14:paraId="02D1F57C" w14:textId="77777777" w:rsidR="000324BA" w:rsidRPr="00525BD5" w:rsidRDefault="00000000" w:rsidP="00525BD5">
      <w:pPr>
        <w:pStyle w:val="Heading2"/>
        <w:spacing w:after="240"/>
        <w:ind w:left="697" w:hanging="11"/>
        <w:rPr>
          <w:sz w:val="28"/>
          <w:szCs w:val="28"/>
        </w:rPr>
      </w:pPr>
      <w:r w:rsidRPr="00525BD5">
        <w:rPr>
          <w:sz w:val="28"/>
          <w:szCs w:val="28"/>
        </w:rPr>
        <w:t>Pregnancy</w:t>
      </w:r>
      <w:r w:rsidRPr="00525BD5">
        <w:rPr>
          <w:sz w:val="28"/>
          <w:szCs w:val="28"/>
          <w:u w:val="none"/>
        </w:rPr>
        <w:t xml:space="preserve">  </w:t>
      </w:r>
    </w:p>
    <w:p w14:paraId="1BB224D5" w14:textId="136A47AE" w:rsidR="000324BA" w:rsidRPr="00525BD5" w:rsidRDefault="00000000" w:rsidP="00525BD5">
      <w:pPr>
        <w:spacing w:line="360" w:lineRule="auto"/>
        <w:ind w:left="706" w:right="121"/>
        <w:jc w:val="thaiDistribute"/>
        <w:rPr>
          <w:sz w:val="28"/>
          <w:szCs w:val="28"/>
        </w:rPr>
      </w:pPr>
      <w:r w:rsidRPr="00525BD5">
        <w:rPr>
          <w:sz w:val="28"/>
          <w:szCs w:val="28"/>
        </w:rPr>
        <w:t xml:space="preserve">The available epidemiological studies on the risk of major congenital malformations with use of macrolides including erythromycin during pregnancy provide conflicting results.  Some observational studies in humans have reported cardiovascular malformations after exposure to medicinal products containing erythromycin during early pregnancy.  </w:t>
      </w:r>
    </w:p>
    <w:p w14:paraId="1C3BCFA1"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lastRenderedPageBreak/>
        <w:t xml:space="preserve">There is a large amount of data from observational studies performed in several countries on exposure to erythromycin during pregnancy, compared to no antibiotic use or use of another antibiotic during the same period (&gt;24,000 first trimester exposures). While most studies do not suggest an association with adverse fetal effects such as major congenital malformations, cardiovascular malformations or miscarriage, there is limited epidemiological evidence of a small increased risk of major congenital malformations, specifically cardiovascular malformations following first trimester exposure to erythromycin.  </w:t>
      </w:r>
    </w:p>
    <w:p w14:paraId="35C37FD7"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Erythromycin has been reported to cross the placental barrier in humans, but foetal plasma levels are generally low.  </w:t>
      </w:r>
    </w:p>
    <w:p w14:paraId="1D37B9D4" w14:textId="47A5B881"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Therefore, erythromycin should only be used during pregnancy if clinically needed and the benefit of treatment is expected to outweigh any small increased risks which may exist.  </w:t>
      </w:r>
    </w:p>
    <w:p w14:paraId="7DE0AAF1" w14:textId="77777777" w:rsidR="000324BA" w:rsidRPr="00525BD5" w:rsidRDefault="00000000" w:rsidP="00525BD5">
      <w:pPr>
        <w:pStyle w:val="Heading2"/>
        <w:spacing w:after="240" w:line="360" w:lineRule="auto"/>
        <w:ind w:left="697" w:hanging="11"/>
        <w:jc w:val="thaiDistribute"/>
        <w:rPr>
          <w:sz w:val="28"/>
          <w:szCs w:val="28"/>
        </w:rPr>
      </w:pPr>
      <w:r w:rsidRPr="00525BD5">
        <w:rPr>
          <w:sz w:val="28"/>
          <w:szCs w:val="28"/>
        </w:rPr>
        <w:t>Breast-feeding</w:t>
      </w:r>
      <w:r w:rsidRPr="00525BD5">
        <w:rPr>
          <w:sz w:val="28"/>
          <w:szCs w:val="28"/>
          <w:u w:val="none"/>
        </w:rPr>
        <w:t xml:space="preserve">  </w:t>
      </w:r>
    </w:p>
    <w:p w14:paraId="2F0AD0D8"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Erythromycin can be excreted into breast-milk. Caution should be exercised when administering erythromycin to lactating mothers due to reports of infantile hypertrophic pyloric stenosis in breast-fed infants.   </w:t>
      </w:r>
    </w:p>
    <w:p w14:paraId="4CFABA85" w14:textId="77777777" w:rsidR="000324BA" w:rsidRPr="00525BD5" w:rsidRDefault="00000000" w:rsidP="00525BD5">
      <w:pPr>
        <w:spacing w:after="240" w:line="360" w:lineRule="auto"/>
        <w:ind w:left="708" w:right="119" w:hanging="11"/>
        <w:jc w:val="thaiDistribute"/>
        <w:rPr>
          <w:sz w:val="28"/>
          <w:szCs w:val="28"/>
        </w:rPr>
      </w:pPr>
      <w:r w:rsidRPr="00525BD5">
        <w:rPr>
          <w:sz w:val="28"/>
          <w:szCs w:val="28"/>
        </w:rPr>
        <w:t xml:space="preserve">There have been reports that maternal macrolide antibiotics exposure within 7 weeks of delivery may be associated with a higher risk of infantile hypertrophic pyloric stenosis (IHPS).  </w:t>
      </w:r>
    </w:p>
    <w:p w14:paraId="27F30A05" w14:textId="77777777" w:rsidR="000324BA" w:rsidRPr="00525BD5" w:rsidRDefault="00000000" w:rsidP="00525BD5">
      <w:pPr>
        <w:pStyle w:val="Heading2"/>
        <w:spacing w:after="240" w:line="360" w:lineRule="auto"/>
        <w:ind w:left="697" w:hanging="11"/>
        <w:jc w:val="thaiDistribute"/>
        <w:rPr>
          <w:sz w:val="28"/>
          <w:szCs w:val="28"/>
        </w:rPr>
      </w:pPr>
      <w:r w:rsidRPr="00525BD5">
        <w:rPr>
          <w:sz w:val="28"/>
          <w:szCs w:val="28"/>
        </w:rPr>
        <w:lastRenderedPageBreak/>
        <w:t>Fertility</w:t>
      </w:r>
      <w:r w:rsidRPr="00525BD5">
        <w:rPr>
          <w:sz w:val="28"/>
          <w:szCs w:val="28"/>
          <w:u w:val="none"/>
        </w:rPr>
        <w:t xml:space="preserve">  </w:t>
      </w:r>
    </w:p>
    <w:p w14:paraId="31D437D6" w14:textId="77777777" w:rsidR="000324BA" w:rsidRPr="00525BD5" w:rsidRDefault="00000000" w:rsidP="00525BD5">
      <w:pPr>
        <w:spacing w:line="360" w:lineRule="auto"/>
        <w:ind w:left="706" w:right="121"/>
        <w:jc w:val="thaiDistribute"/>
        <w:rPr>
          <w:sz w:val="28"/>
          <w:szCs w:val="28"/>
        </w:rPr>
      </w:pPr>
      <w:r w:rsidRPr="00525BD5">
        <w:rPr>
          <w:sz w:val="28"/>
          <w:szCs w:val="28"/>
        </w:rPr>
        <w:t xml:space="preserve">No data available  </w:t>
      </w:r>
    </w:p>
    <w:p w14:paraId="1AC0A8BD" w14:textId="77777777" w:rsidR="00525BD5" w:rsidRPr="00525BD5" w:rsidRDefault="00000000" w:rsidP="00525BD5">
      <w:pPr>
        <w:pStyle w:val="ListParagraph"/>
        <w:numPr>
          <w:ilvl w:val="1"/>
          <w:numId w:val="3"/>
        </w:numPr>
        <w:tabs>
          <w:tab w:val="center" w:pos="2879"/>
        </w:tabs>
        <w:spacing w:after="240" w:line="259" w:lineRule="auto"/>
        <w:ind w:left="788" w:hanging="431"/>
        <w:contextualSpacing w:val="0"/>
        <w:rPr>
          <w:sz w:val="28"/>
          <w:szCs w:val="28"/>
        </w:rPr>
      </w:pPr>
      <w:r w:rsidRPr="00525BD5">
        <w:rPr>
          <w:b/>
          <w:sz w:val="28"/>
          <w:szCs w:val="28"/>
        </w:rPr>
        <w:t>Effects on ability to drive and use machines</w:t>
      </w:r>
    </w:p>
    <w:p w14:paraId="227A1B2E" w14:textId="639D0B20" w:rsidR="000324BA" w:rsidRPr="00525BD5" w:rsidRDefault="00000000" w:rsidP="00525BD5">
      <w:pPr>
        <w:pStyle w:val="ListParagraph"/>
        <w:tabs>
          <w:tab w:val="center" w:pos="2879"/>
        </w:tabs>
        <w:spacing w:after="240" w:line="259" w:lineRule="auto"/>
        <w:ind w:left="794" w:firstLine="0"/>
        <w:contextualSpacing w:val="0"/>
        <w:rPr>
          <w:sz w:val="28"/>
          <w:szCs w:val="28"/>
        </w:rPr>
      </w:pPr>
      <w:r w:rsidRPr="00525BD5">
        <w:rPr>
          <w:sz w:val="28"/>
          <w:szCs w:val="28"/>
        </w:rPr>
        <w:t xml:space="preserve">Erythrocin has no influence on the ability to drive and use machines.   </w:t>
      </w:r>
    </w:p>
    <w:p w14:paraId="3BA69386" w14:textId="40A42FFE" w:rsidR="000324BA" w:rsidRPr="00525BD5" w:rsidRDefault="00000000" w:rsidP="00525BD5">
      <w:pPr>
        <w:pStyle w:val="Heading3"/>
        <w:numPr>
          <w:ilvl w:val="1"/>
          <w:numId w:val="3"/>
        </w:numPr>
        <w:spacing w:after="240"/>
        <w:ind w:left="788" w:hanging="431"/>
        <w:rPr>
          <w:sz w:val="28"/>
          <w:szCs w:val="28"/>
        </w:rPr>
      </w:pPr>
      <w:r w:rsidRPr="00525BD5">
        <w:rPr>
          <w:sz w:val="28"/>
          <w:szCs w:val="28"/>
        </w:rPr>
        <w:t xml:space="preserve">Undesirable effects  </w:t>
      </w:r>
    </w:p>
    <w:p w14:paraId="33A77A6F" w14:textId="77777777" w:rsidR="00525BD5" w:rsidRDefault="00000000" w:rsidP="00525BD5">
      <w:pPr>
        <w:spacing w:line="360" w:lineRule="auto"/>
        <w:ind w:right="121"/>
        <w:jc w:val="thaiDistribute"/>
        <w:rPr>
          <w:sz w:val="28"/>
          <w:szCs w:val="28"/>
        </w:rPr>
      </w:pPr>
      <w:r w:rsidRPr="00525BD5">
        <w:rPr>
          <w:sz w:val="28"/>
          <w:szCs w:val="28"/>
        </w:rPr>
        <w:t xml:space="preserve">The list of undesirable effects shown below is presented by system organ class, MedDRA preferred term, and frequency using the following frequency conventions: </w:t>
      </w:r>
    </w:p>
    <w:p w14:paraId="2AB42C87" w14:textId="78C1EFDA" w:rsidR="000324BA" w:rsidRPr="00525BD5" w:rsidRDefault="00000000" w:rsidP="00525BD5">
      <w:pPr>
        <w:spacing w:line="360" w:lineRule="auto"/>
        <w:ind w:right="121"/>
        <w:jc w:val="thaiDistribute"/>
        <w:rPr>
          <w:sz w:val="28"/>
          <w:szCs w:val="28"/>
        </w:rPr>
      </w:pPr>
      <w:r w:rsidRPr="00525BD5">
        <w:rPr>
          <w:sz w:val="28"/>
          <w:szCs w:val="28"/>
        </w:rPr>
        <w:t>Rare (</w:t>
      </w:r>
      <w:r w:rsidRPr="00525BD5">
        <w:rPr>
          <w:rFonts w:eastAsia="Calibri"/>
          <w:sz w:val="28"/>
          <w:szCs w:val="28"/>
        </w:rPr>
        <w:t>≥</w:t>
      </w:r>
      <w:r w:rsidRPr="00525BD5">
        <w:rPr>
          <w:sz w:val="28"/>
          <w:szCs w:val="28"/>
        </w:rPr>
        <w:t>1/10,000 to &lt;1/1,000)</w:t>
      </w:r>
      <w:r w:rsidR="00525BD5">
        <w:rPr>
          <w:sz w:val="28"/>
          <w:szCs w:val="28"/>
        </w:rPr>
        <w:t xml:space="preserve">, </w:t>
      </w:r>
      <w:r w:rsidRPr="00525BD5">
        <w:rPr>
          <w:sz w:val="28"/>
          <w:szCs w:val="28"/>
        </w:rPr>
        <w:t xml:space="preserve">Not known (cannot be estimated from the available data)  </w:t>
      </w:r>
    </w:p>
    <w:tbl>
      <w:tblPr>
        <w:tblStyle w:val="TableGrid"/>
        <w:tblW w:w="8150" w:type="dxa"/>
        <w:tblInd w:w="721" w:type="dxa"/>
        <w:tblCellMar>
          <w:top w:w="63" w:type="dxa"/>
          <w:left w:w="101" w:type="dxa"/>
          <w:bottom w:w="0" w:type="dxa"/>
          <w:right w:w="2" w:type="dxa"/>
        </w:tblCellMar>
        <w:tblLook w:val="04A0" w:firstRow="1" w:lastRow="0" w:firstColumn="1" w:lastColumn="0" w:noHBand="0" w:noVBand="1"/>
      </w:tblPr>
      <w:tblGrid>
        <w:gridCol w:w="1877"/>
        <w:gridCol w:w="2113"/>
        <w:gridCol w:w="4160"/>
      </w:tblGrid>
      <w:tr w:rsidR="000324BA" w:rsidRPr="00525BD5" w14:paraId="64E3C1EE" w14:textId="77777777" w:rsidTr="00525BD5">
        <w:trPr>
          <w:cantSplit/>
          <w:trHeight w:val="744"/>
          <w:tblHeader/>
        </w:trPr>
        <w:tc>
          <w:tcPr>
            <w:tcW w:w="1877" w:type="dxa"/>
            <w:tcBorders>
              <w:top w:val="single" w:sz="4" w:space="0" w:color="000000"/>
              <w:left w:val="single" w:sz="4" w:space="0" w:color="000000"/>
              <w:bottom w:val="single" w:sz="4" w:space="0" w:color="000000"/>
              <w:right w:val="single" w:sz="4" w:space="0" w:color="000000"/>
            </w:tcBorders>
            <w:vAlign w:val="center"/>
          </w:tcPr>
          <w:p w14:paraId="5D1CEE1D" w14:textId="431B673F" w:rsidR="000324BA" w:rsidRPr="00525BD5" w:rsidRDefault="00000000" w:rsidP="00525BD5">
            <w:pPr>
              <w:spacing w:after="0" w:line="259" w:lineRule="auto"/>
              <w:ind w:left="0" w:firstLine="0"/>
              <w:jc w:val="center"/>
              <w:rPr>
                <w:sz w:val="28"/>
                <w:szCs w:val="28"/>
              </w:rPr>
            </w:pPr>
            <w:r w:rsidRPr="00525BD5">
              <w:rPr>
                <w:b/>
                <w:sz w:val="28"/>
                <w:szCs w:val="28"/>
              </w:rPr>
              <w:t>System Organ Class</w:t>
            </w:r>
          </w:p>
        </w:tc>
        <w:tc>
          <w:tcPr>
            <w:tcW w:w="2113" w:type="dxa"/>
            <w:tcBorders>
              <w:top w:val="single" w:sz="4" w:space="0" w:color="000000"/>
              <w:left w:val="single" w:sz="4" w:space="0" w:color="000000"/>
              <w:bottom w:val="single" w:sz="4" w:space="0" w:color="000000"/>
              <w:right w:val="single" w:sz="4" w:space="0" w:color="000000"/>
            </w:tcBorders>
            <w:vAlign w:val="center"/>
          </w:tcPr>
          <w:p w14:paraId="39E7BBC8" w14:textId="0D54A8B1" w:rsidR="000324BA" w:rsidRPr="00525BD5" w:rsidRDefault="00000000" w:rsidP="00525BD5">
            <w:pPr>
              <w:spacing w:after="0" w:line="259" w:lineRule="auto"/>
              <w:ind w:left="0" w:right="101" w:firstLine="0"/>
              <w:jc w:val="center"/>
              <w:rPr>
                <w:sz w:val="28"/>
                <w:szCs w:val="28"/>
              </w:rPr>
            </w:pPr>
            <w:r w:rsidRPr="00525BD5">
              <w:rPr>
                <w:b/>
                <w:sz w:val="28"/>
                <w:szCs w:val="28"/>
              </w:rPr>
              <w:t>Frequency</w:t>
            </w:r>
          </w:p>
        </w:tc>
        <w:tc>
          <w:tcPr>
            <w:tcW w:w="4160" w:type="dxa"/>
            <w:tcBorders>
              <w:top w:val="single" w:sz="4" w:space="0" w:color="000000"/>
              <w:left w:val="single" w:sz="4" w:space="0" w:color="000000"/>
              <w:bottom w:val="single" w:sz="4" w:space="0" w:color="000000"/>
              <w:right w:val="single" w:sz="4" w:space="0" w:color="000000"/>
            </w:tcBorders>
            <w:vAlign w:val="center"/>
          </w:tcPr>
          <w:p w14:paraId="0A1BBB0E" w14:textId="03D848C0" w:rsidR="000324BA" w:rsidRPr="00525BD5" w:rsidRDefault="00000000" w:rsidP="00525BD5">
            <w:pPr>
              <w:spacing w:after="0" w:line="259" w:lineRule="auto"/>
              <w:ind w:left="0" w:right="100" w:firstLine="0"/>
              <w:jc w:val="center"/>
              <w:rPr>
                <w:sz w:val="28"/>
                <w:szCs w:val="28"/>
              </w:rPr>
            </w:pPr>
            <w:r w:rsidRPr="00525BD5">
              <w:rPr>
                <w:b/>
                <w:sz w:val="28"/>
                <w:szCs w:val="28"/>
              </w:rPr>
              <w:t>Adverse reactions</w:t>
            </w:r>
          </w:p>
        </w:tc>
      </w:tr>
      <w:tr w:rsidR="000324BA" w:rsidRPr="00525BD5" w14:paraId="0C1EE1A1" w14:textId="77777777" w:rsidTr="00525BD5">
        <w:trPr>
          <w:trHeight w:val="629"/>
        </w:trPr>
        <w:tc>
          <w:tcPr>
            <w:tcW w:w="1877" w:type="dxa"/>
            <w:tcBorders>
              <w:top w:val="single" w:sz="4" w:space="0" w:color="000000"/>
              <w:left w:val="single" w:sz="4" w:space="0" w:color="000000"/>
              <w:bottom w:val="single" w:sz="4" w:space="0" w:color="000000"/>
              <w:right w:val="single" w:sz="4" w:space="0" w:color="000000"/>
            </w:tcBorders>
          </w:tcPr>
          <w:p w14:paraId="1093A9FF" w14:textId="77777777" w:rsidR="000324BA" w:rsidRPr="00525BD5" w:rsidRDefault="00000000">
            <w:pPr>
              <w:spacing w:after="0" w:line="259" w:lineRule="auto"/>
              <w:ind w:left="1" w:firstLine="0"/>
              <w:rPr>
                <w:sz w:val="28"/>
                <w:szCs w:val="28"/>
              </w:rPr>
            </w:pPr>
            <w:r w:rsidRPr="00525BD5">
              <w:rPr>
                <w:sz w:val="28"/>
                <w:szCs w:val="28"/>
              </w:rPr>
              <w:t xml:space="preserve">Infections and infestations   </w:t>
            </w:r>
          </w:p>
        </w:tc>
        <w:tc>
          <w:tcPr>
            <w:tcW w:w="2113" w:type="dxa"/>
            <w:tcBorders>
              <w:top w:val="single" w:sz="4" w:space="0" w:color="000000"/>
              <w:left w:val="single" w:sz="4" w:space="0" w:color="000000"/>
              <w:bottom w:val="single" w:sz="4" w:space="0" w:color="000000"/>
              <w:right w:val="single" w:sz="4" w:space="0" w:color="000000"/>
            </w:tcBorders>
          </w:tcPr>
          <w:p w14:paraId="0BED49A5" w14:textId="77777777" w:rsidR="000324BA" w:rsidRPr="00525BD5" w:rsidRDefault="00000000">
            <w:pPr>
              <w:spacing w:after="0" w:line="259" w:lineRule="auto"/>
              <w:ind w:left="1" w:firstLine="0"/>
              <w:rPr>
                <w:sz w:val="28"/>
                <w:szCs w:val="28"/>
              </w:rPr>
            </w:pPr>
            <w:r w:rsidRPr="00525BD5">
              <w:rPr>
                <w:sz w:val="28"/>
                <w:szCs w:val="28"/>
              </w:rPr>
              <w:t>Rare</w:t>
            </w:r>
            <w:r w:rsidRPr="00525BD5">
              <w:rPr>
                <w:b/>
                <w:sz w:val="28"/>
                <w:szCs w:val="28"/>
              </w:rPr>
              <w:t xml:space="preserve"> </w:t>
            </w:r>
            <w:r w:rsidRPr="00525BD5">
              <w:rPr>
                <w:sz w:val="28"/>
                <w:szCs w:val="28"/>
              </w:rPr>
              <w:t xml:space="preserve"> </w:t>
            </w:r>
          </w:p>
        </w:tc>
        <w:tc>
          <w:tcPr>
            <w:tcW w:w="4160" w:type="dxa"/>
            <w:tcBorders>
              <w:top w:val="single" w:sz="4" w:space="0" w:color="000000"/>
              <w:left w:val="single" w:sz="4" w:space="0" w:color="000000"/>
              <w:bottom w:val="single" w:sz="4" w:space="0" w:color="000000"/>
              <w:right w:val="single" w:sz="4" w:space="0" w:color="000000"/>
            </w:tcBorders>
          </w:tcPr>
          <w:p w14:paraId="292F06A6" w14:textId="77777777" w:rsidR="000324BA" w:rsidRPr="00525BD5" w:rsidRDefault="00000000">
            <w:pPr>
              <w:spacing w:after="0" w:line="259" w:lineRule="auto"/>
              <w:ind w:left="1" w:firstLine="0"/>
              <w:rPr>
                <w:sz w:val="28"/>
                <w:szCs w:val="28"/>
              </w:rPr>
            </w:pPr>
            <w:r w:rsidRPr="00525BD5">
              <w:rPr>
                <w:sz w:val="28"/>
                <w:szCs w:val="28"/>
              </w:rPr>
              <w:t>*Pseudomembranous colitis</w:t>
            </w:r>
            <w:r w:rsidRPr="00525BD5">
              <w:rPr>
                <w:b/>
                <w:sz w:val="28"/>
                <w:szCs w:val="28"/>
              </w:rPr>
              <w:t xml:space="preserve"> </w:t>
            </w:r>
            <w:r w:rsidRPr="00525BD5">
              <w:rPr>
                <w:sz w:val="28"/>
                <w:szCs w:val="28"/>
              </w:rPr>
              <w:t xml:space="preserve"> </w:t>
            </w:r>
          </w:p>
        </w:tc>
      </w:tr>
      <w:tr w:rsidR="000324BA" w:rsidRPr="00525BD5" w14:paraId="5BD94E66" w14:textId="77777777" w:rsidTr="00525BD5">
        <w:trPr>
          <w:trHeight w:val="1205"/>
        </w:trPr>
        <w:tc>
          <w:tcPr>
            <w:tcW w:w="1877" w:type="dxa"/>
            <w:tcBorders>
              <w:top w:val="single" w:sz="4" w:space="0" w:color="000000"/>
              <w:left w:val="single" w:sz="4" w:space="0" w:color="000000"/>
              <w:bottom w:val="single" w:sz="4" w:space="0" w:color="000000"/>
              <w:right w:val="single" w:sz="4" w:space="0" w:color="000000"/>
            </w:tcBorders>
          </w:tcPr>
          <w:p w14:paraId="17C2905E" w14:textId="77777777" w:rsidR="000324BA" w:rsidRPr="00525BD5" w:rsidRDefault="00000000">
            <w:pPr>
              <w:spacing w:after="0" w:line="259" w:lineRule="auto"/>
              <w:ind w:left="1" w:right="38" w:firstLine="0"/>
              <w:rPr>
                <w:sz w:val="28"/>
                <w:szCs w:val="28"/>
              </w:rPr>
            </w:pPr>
            <w:r w:rsidRPr="00525BD5">
              <w:rPr>
                <w:sz w:val="28"/>
                <w:szCs w:val="28"/>
              </w:rPr>
              <w:t xml:space="preserve">Blood and lymphatic system disorders  </w:t>
            </w:r>
          </w:p>
        </w:tc>
        <w:tc>
          <w:tcPr>
            <w:tcW w:w="2113" w:type="dxa"/>
            <w:tcBorders>
              <w:top w:val="single" w:sz="4" w:space="0" w:color="000000"/>
              <w:left w:val="single" w:sz="4" w:space="0" w:color="000000"/>
              <w:bottom w:val="single" w:sz="4" w:space="0" w:color="000000"/>
              <w:right w:val="single" w:sz="4" w:space="0" w:color="000000"/>
            </w:tcBorders>
          </w:tcPr>
          <w:p w14:paraId="1E292670"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2BB46AAF" w14:textId="77777777" w:rsidR="000324BA" w:rsidRPr="00525BD5" w:rsidRDefault="00000000">
            <w:pPr>
              <w:spacing w:after="0" w:line="259" w:lineRule="auto"/>
              <w:ind w:left="2" w:firstLine="0"/>
              <w:rPr>
                <w:sz w:val="28"/>
                <w:szCs w:val="28"/>
              </w:rPr>
            </w:pPr>
            <w:r w:rsidRPr="00525BD5">
              <w:rPr>
                <w:sz w:val="28"/>
                <w:szCs w:val="28"/>
              </w:rPr>
              <w:t xml:space="preserve">Eosinophilia.  </w:t>
            </w:r>
          </w:p>
          <w:p w14:paraId="436D86CD" w14:textId="77777777" w:rsidR="000324BA" w:rsidRPr="00525BD5" w:rsidRDefault="00000000">
            <w:pPr>
              <w:spacing w:after="0" w:line="259" w:lineRule="auto"/>
              <w:ind w:left="1" w:firstLine="0"/>
              <w:rPr>
                <w:sz w:val="28"/>
                <w:szCs w:val="28"/>
              </w:rPr>
            </w:pPr>
            <w:r w:rsidRPr="00525BD5">
              <w:rPr>
                <w:sz w:val="28"/>
                <w:szCs w:val="28"/>
              </w:rPr>
              <w:t xml:space="preserve">  </w:t>
            </w:r>
          </w:p>
        </w:tc>
      </w:tr>
      <w:tr w:rsidR="000324BA" w:rsidRPr="00525BD5" w14:paraId="2230617B" w14:textId="77777777" w:rsidTr="00525BD5">
        <w:trPr>
          <w:trHeight w:val="1142"/>
        </w:trPr>
        <w:tc>
          <w:tcPr>
            <w:tcW w:w="1877" w:type="dxa"/>
            <w:tcBorders>
              <w:top w:val="single" w:sz="4" w:space="0" w:color="000000"/>
              <w:left w:val="single" w:sz="4" w:space="0" w:color="000000"/>
              <w:bottom w:val="single" w:sz="4" w:space="0" w:color="000000"/>
              <w:right w:val="single" w:sz="4" w:space="0" w:color="000000"/>
            </w:tcBorders>
          </w:tcPr>
          <w:p w14:paraId="5F48DF21" w14:textId="2B923C88" w:rsidR="000324BA" w:rsidRPr="00525BD5" w:rsidRDefault="00000000" w:rsidP="00525BD5">
            <w:pPr>
              <w:spacing w:after="19" w:line="237" w:lineRule="auto"/>
              <w:ind w:left="1" w:firstLine="0"/>
              <w:rPr>
                <w:sz w:val="28"/>
                <w:szCs w:val="28"/>
              </w:rPr>
            </w:pPr>
            <w:r w:rsidRPr="00525BD5">
              <w:rPr>
                <w:sz w:val="28"/>
                <w:szCs w:val="28"/>
              </w:rPr>
              <w:t xml:space="preserve">Immune system  disorders  </w:t>
            </w:r>
          </w:p>
        </w:tc>
        <w:tc>
          <w:tcPr>
            <w:tcW w:w="2113" w:type="dxa"/>
            <w:tcBorders>
              <w:top w:val="single" w:sz="4" w:space="0" w:color="000000"/>
              <w:left w:val="single" w:sz="4" w:space="0" w:color="000000"/>
              <w:bottom w:val="single" w:sz="4" w:space="0" w:color="000000"/>
              <w:right w:val="single" w:sz="4" w:space="0" w:color="000000"/>
            </w:tcBorders>
          </w:tcPr>
          <w:p w14:paraId="09A4E349"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15B02962" w14:textId="77777777" w:rsidR="000324BA" w:rsidRPr="00525BD5" w:rsidRDefault="00000000">
            <w:pPr>
              <w:spacing w:after="0" w:line="259" w:lineRule="auto"/>
              <w:ind w:left="1" w:hanging="1"/>
              <w:rPr>
                <w:sz w:val="28"/>
                <w:szCs w:val="28"/>
              </w:rPr>
            </w:pPr>
            <w:r w:rsidRPr="00525BD5">
              <w:rPr>
                <w:sz w:val="28"/>
                <w:szCs w:val="28"/>
              </w:rPr>
              <w:t xml:space="preserve">Allergic reactions ranging from urticaria and mild skin eruptions to anaphylaxis have occurred.   </w:t>
            </w:r>
          </w:p>
        </w:tc>
      </w:tr>
      <w:tr w:rsidR="000324BA" w:rsidRPr="00525BD5" w14:paraId="2A3C651E" w14:textId="77777777" w:rsidTr="00525BD5">
        <w:trPr>
          <w:trHeight w:val="629"/>
        </w:trPr>
        <w:tc>
          <w:tcPr>
            <w:tcW w:w="1877" w:type="dxa"/>
            <w:tcBorders>
              <w:top w:val="single" w:sz="4" w:space="0" w:color="000000"/>
              <w:left w:val="single" w:sz="4" w:space="0" w:color="000000"/>
              <w:bottom w:val="single" w:sz="4" w:space="0" w:color="000000"/>
              <w:right w:val="single" w:sz="4" w:space="0" w:color="000000"/>
            </w:tcBorders>
          </w:tcPr>
          <w:p w14:paraId="35186D19" w14:textId="77777777" w:rsidR="000324BA" w:rsidRPr="00525BD5" w:rsidRDefault="00000000">
            <w:pPr>
              <w:spacing w:after="0" w:line="259" w:lineRule="auto"/>
              <w:ind w:left="1" w:firstLine="0"/>
              <w:rPr>
                <w:sz w:val="28"/>
                <w:szCs w:val="28"/>
              </w:rPr>
            </w:pPr>
            <w:r w:rsidRPr="00525BD5">
              <w:rPr>
                <w:sz w:val="28"/>
                <w:szCs w:val="28"/>
              </w:rPr>
              <w:t xml:space="preserve">Psychiatric disorders  </w:t>
            </w:r>
          </w:p>
        </w:tc>
        <w:tc>
          <w:tcPr>
            <w:tcW w:w="2113" w:type="dxa"/>
            <w:tcBorders>
              <w:top w:val="single" w:sz="4" w:space="0" w:color="000000"/>
              <w:left w:val="single" w:sz="4" w:space="0" w:color="000000"/>
              <w:bottom w:val="single" w:sz="4" w:space="0" w:color="000000"/>
              <w:right w:val="single" w:sz="4" w:space="0" w:color="000000"/>
            </w:tcBorders>
          </w:tcPr>
          <w:p w14:paraId="051E2184"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6FF878BA" w14:textId="77777777" w:rsidR="000324BA" w:rsidRPr="00525BD5" w:rsidRDefault="00000000">
            <w:pPr>
              <w:spacing w:after="0" w:line="259" w:lineRule="auto"/>
              <w:ind w:left="1" w:firstLine="0"/>
              <w:rPr>
                <w:sz w:val="28"/>
                <w:szCs w:val="28"/>
              </w:rPr>
            </w:pPr>
            <w:r w:rsidRPr="00525BD5">
              <w:rPr>
                <w:sz w:val="28"/>
                <w:szCs w:val="28"/>
              </w:rPr>
              <w:t xml:space="preserve">Hallucinations  </w:t>
            </w:r>
          </w:p>
        </w:tc>
      </w:tr>
      <w:tr w:rsidR="000324BA" w:rsidRPr="00525BD5" w14:paraId="69314677" w14:textId="77777777" w:rsidTr="00525BD5">
        <w:trPr>
          <w:trHeight w:val="874"/>
        </w:trPr>
        <w:tc>
          <w:tcPr>
            <w:tcW w:w="1877" w:type="dxa"/>
            <w:tcBorders>
              <w:top w:val="single" w:sz="4" w:space="0" w:color="000000"/>
              <w:left w:val="single" w:sz="4" w:space="0" w:color="000000"/>
              <w:bottom w:val="single" w:sz="4" w:space="0" w:color="000000"/>
              <w:right w:val="single" w:sz="4" w:space="0" w:color="000000"/>
            </w:tcBorders>
          </w:tcPr>
          <w:p w14:paraId="69FFF8CD" w14:textId="77777777" w:rsidR="000324BA" w:rsidRPr="00525BD5" w:rsidRDefault="00000000">
            <w:pPr>
              <w:spacing w:after="0" w:line="259" w:lineRule="auto"/>
              <w:ind w:left="1" w:firstLine="0"/>
              <w:rPr>
                <w:sz w:val="28"/>
                <w:szCs w:val="28"/>
              </w:rPr>
            </w:pPr>
            <w:r w:rsidRPr="00525BD5">
              <w:rPr>
                <w:sz w:val="28"/>
                <w:szCs w:val="28"/>
              </w:rPr>
              <w:t xml:space="preserve">Nervous system disorders  </w:t>
            </w:r>
          </w:p>
        </w:tc>
        <w:tc>
          <w:tcPr>
            <w:tcW w:w="2113" w:type="dxa"/>
            <w:tcBorders>
              <w:top w:val="single" w:sz="4" w:space="0" w:color="000000"/>
              <w:left w:val="single" w:sz="4" w:space="0" w:color="000000"/>
              <w:bottom w:val="single" w:sz="4" w:space="0" w:color="000000"/>
              <w:right w:val="single" w:sz="4" w:space="0" w:color="000000"/>
            </w:tcBorders>
          </w:tcPr>
          <w:p w14:paraId="1BF8C690"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31E63FFB" w14:textId="77777777" w:rsidR="000324BA" w:rsidRPr="00525BD5" w:rsidRDefault="00000000">
            <w:pPr>
              <w:spacing w:after="0" w:line="259" w:lineRule="auto"/>
              <w:ind w:left="2" w:firstLine="0"/>
              <w:rPr>
                <w:sz w:val="28"/>
                <w:szCs w:val="28"/>
              </w:rPr>
            </w:pPr>
            <w:r w:rsidRPr="00525BD5">
              <w:rPr>
                <w:sz w:val="28"/>
                <w:szCs w:val="28"/>
              </w:rPr>
              <w:t xml:space="preserve">**Seizures, confusion and vertigo  </w:t>
            </w:r>
          </w:p>
        </w:tc>
      </w:tr>
      <w:tr w:rsidR="000324BA" w:rsidRPr="00525BD5" w14:paraId="6E9BA449" w14:textId="77777777" w:rsidTr="00525BD5">
        <w:trPr>
          <w:trHeight w:val="346"/>
        </w:trPr>
        <w:tc>
          <w:tcPr>
            <w:tcW w:w="1877" w:type="dxa"/>
            <w:tcBorders>
              <w:top w:val="single" w:sz="4" w:space="0" w:color="000000"/>
              <w:left w:val="single" w:sz="4" w:space="0" w:color="000000"/>
              <w:bottom w:val="single" w:sz="4" w:space="0" w:color="000000"/>
              <w:right w:val="single" w:sz="4" w:space="0" w:color="000000"/>
            </w:tcBorders>
          </w:tcPr>
          <w:p w14:paraId="22692B9C" w14:textId="77777777" w:rsidR="000324BA" w:rsidRPr="00525BD5" w:rsidRDefault="00000000">
            <w:pPr>
              <w:spacing w:after="0" w:line="259" w:lineRule="auto"/>
              <w:ind w:left="1" w:firstLine="0"/>
              <w:rPr>
                <w:sz w:val="28"/>
                <w:szCs w:val="28"/>
              </w:rPr>
            </w:pPr>
            <w:r w:rsidRPr="00525BD5">
              <w:rPr>
                <w:sz w:val="28"/>
                <w:szCs w:val="28"/>
              </w:rPr>
              <w:t xml:space="preserve">Eye disorders  </w:t>
            </w:r>
          </w:p>
        </w:tc>
        <w:tc>
          <w:tcPr>
            <w:tcW w:w="2113" w:type="dxa"/>
            <w:tcBorders>
              <w:top w:val="single" w:sz="4" w:space="0" w:color="000000"/>
              <w:left w:val="single" w:sz="4" w:space="0" w:color="000000"/>
              <w:bottom w:val="single" w:sz="4" w:space="0" w:color="000000"/>
              <w:right w:val="single" w:sz="4" w:space="0" w:color="000000"/>
            </w:tcBorders>
          </w:tcPr>
          <w:p w14:paraId="37BAB41F" w14:textId="77777777" w:rsidR="000324BA" w:rsidRPr="00525BD5" w:rsidRDefault="00000000">
            <w:pPr>
              <w:spacing w:after="0" w:line="259" w:lineRule="auto"/>
              <w:ind w:left="0"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109CE8CC" w14:textId="77777777" w:rsidR="000324BA" w:rsidRPr="00525BD5" w:rsidRDefault="00000000">
            <w:pPr>
              <w:spacing w:after="0" w:line="259" w:lineRule="auto"/>
              <w:ind w:left="2" w:firstLine="0"/>
              <w:rPr>
                <w:sz w:val="28"/>
                <w:szCs w:val="28"/>
              </w:rPr>
            </w:pPr>
            <w:r w:rsidRPr="00525BD5">
              <w:rPr>
                <w:sz w:val="28"/>
                <w:szCs w:val="28"/>
              </w:rPr>
              <w:t xml:space="preserve">Mitochondrial Optic Neuropathy  </w:t>
            </w:r>
          </w:p>
        </w:tc>
      </w:tr>
      <w:tr w:rsidR="000324BA" w:rsidRPr="00525BD5" w14:paraId="5E580351" w14:textId="77777777" w:rsidTr="00525BD5">
        <w:trPr>
          <w:trHeight w:val="817"/>
        </w:trPr>
        <w:tc>
          <w:tcPr>
            <w:tcW w:w="1877" w:type="dxa"/>
            <w:tcBorders>
              <w:top w:val="single" w:sz="4" w:space="0" w:color="000000"/>
              <w:left w:val="single" w:sz="4" w:space="0" w:color="000000"/>
              <w:bottom w:val="single" w:sz="4" w:space="0" w:color="000000"/>
              <w:right w:val="single" w:sz="4" w:space="0" w:color="000000"/>
            </w:tcBorders>
          </w:tcPr>
          <w:p w14:paraId="1BBFCA98" w14:textId="44951C1A" w:rsidR="000324BA" w:rsidRPr="00525BD5" w:rsidRDefault="00000000" w:rsidP="00525BD5">
            <w:pPr>
              <w:spacing w:after="26" w:line="235" w:lineRule="auto"/>
              <w:ind w:left="1" w:firstLine="0"/>
              <w:rPr>
                <w:sz w:val="28"/>
                <w:szCs w:val="28"/>
              </w:rPr>
            </w:pPr>
            <w:r w:rsidRPr="00525BD5">
              <w:rPr>
                <w:sz w:val="28"/>
                <w:szCs w:val="28"/>
              </w:rPr>
              <w:lastRenderedPageBreak/>
              <w:t>Ear and labyrinth  disorders</w:t>
            </w:r>
            <w:r w:rsidRPr="00525BD5">
              <w:rPr>
                <w:b/>
                <w:sz w:val="28"/>
                <w:szCs w:val="28"/>
              </w:rPr>
              <w:t xml:space="preserve">  </w:t>
            </w:r>
            <w:r w:rsidRPr="00525BD5">
              <w:rPr>
                <w:sz w:val="28"/>
                <w:szCs w:val="28"/>
              </w:rPr>
              <w:t xml:space="preserve"> </w:t>
            </w:r>
          </w:p>
        </w:tc>
        <w:tc>
          <w:tcPr>
            <w:tcW w:w="2113" w:type="dxa"/>
            <w:tcBorders>
              <w:top w:val="single" w:sz="4" w:space="0" w:color="000000"/>
              <w:left w:val="single" w:sz="4" w:space="0" w:color="000000"/>
              <w:bottom w:val="single" w:sz="4" w:space="0" w:color="000000"/>
              <w:right w:val="single" w:sz="4" w:space="0" w:color="000000"/>
            </w:tcBorders>
          </w:tcPr>
          <w:p w14:paraId="27CBFCD7"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57AF92DB" w14:textId="77777777" w:rsidR="000324BA" w:rsidRPr="00525BD5" w:rsidRDefault="00000000">
            <w:pPr>
              <w:spacing w:after="0" w:line="259" w:lineRule="auto"/>
              <w:ind w:left="1" w:firstLine="0"/>
              <w:rPr>
                <w:sz w:val="28"/>
                <w:szCs w:val="28"/>
              </w:rPr>
            </w:pPr>
            <w:r w:rsidRPr="00525BD5">
              <w:rPr>
                <w:sz w:val="28"/>
                <w:szCs w:val="28"/>
              </w:rPr>
              <w:t xml:space="preserve">Deafness, tinnitus  </w:t>
            </w:r>
          </w:p>
          <w:p w14:paraId="05A1B1BB" w14:textId="77777777" w:rsidR="000324BA" w:rsidRPr="00525BD5" w:rsidRDefault="00000000">
            <w:pPr>
              <w:spacing w:after="0" w:line="259" w:lineRule="auto"/>
              <w:ind w:left="1" w:firstLine="0"/>
              <w:rPr>
                <w:sz w:val="28"/>
                <w:szCs w:val="28"/>
              </w:rPr>
            </w:pPr>
            <w:r w:rsidRPr="00525BD5">
              <w:rPr>
                <w:sz w:val="28"/>
                <w:szCs w:val="28"/>
              </w:rPr>
              <w:t xml:space="preserve">***Reversible hearing loss  </w:t>
            </w:r>
          </w:p>
          <w:p w14:paraId="272C0211" w14:textId="77777777" w:rsidR="000324BA" w:rsidRPr="00525BD5" w:rsidRDefault="00000000">
            <w:pPr>
              <w:spacing w:after="0" w:line="259" w:lineRule="auto"/>
              <w:ind w:left="1" w:firstLine="0"/>
              <w:rPr>
                <w:sz w:val="28"/>
                <w:szCs w:val="28"/>
              </w:rPr>
            </w:pPr>
            <w:r w:rsidRPr="00525BD5">
              <w:rPr>
                <w:sz w:val="28"/>
                <w:szCs w:val="28"/>
              </w:rPr>
              <w:t xml:space="preserve">  </w:t>
            </w:r>
          </w:p>
        </w:tc>
      </w:tr>
      <w:tr w:rsidR="000324BA" w:rsidRPr="00525BD5" w14:paraId="62314F69" w14:textId="77777777" w:rsidTr="00525BD5">
        <w:trPr>
          <w:trHeight w:val="1416"/>
        </w:trPr>
        <w:tc>
          <w:tcPr>
            <w:tcW w:w="1877" w:type="dxa"/>
            <w:tcBorders>
              <w:top w:val="single" w:sz="4" w:space="0" w:color="000000"/>
              <w:left w:val="single" w:sz="4" w:space="0" w:color="000000"/>
              <w:bottom w:val="single" w:sz="4" w:space="0" w:color="000000"/>
              <w:right w:val="single" w:sz="4" w:space="0" w:color="000000"/>
            </w:tcBorders>
          </w:tcPr>
          <w:p w14:paraId="71841CA7" w14:textId="77777777" w:rsidR="000324BA" w:rsidRPr="00525BD5" w:rsidRDefault="00000000">
            <w:pPr>
              <w:spacing w:after="0" w:line="259" w:lineRule="auto"/>
              <w:ind w:left="1" w:firstLine="0"/>
              <w:rPr>
                <w:sz w:val="28"/>
                <w:szCs w:val="28"/>
              </w:rPr>
            </w:pPr>
            <w:r w:rsidRPr="00525BD5">
              <w:rPr>
                <w:sz w:val="28"/>
                <w:szCs w:val="28"/>
              </w:rPr>
              <w:t xml:space="preserve">Cardiac disorders  </w:t>
            </w:r>
          </w:p>
        </w:tc>
        <w:tc>
          <w:tcPr>
            <w:tcW w:w="2113" w:type="dxa"/>
            <w:tcBorders>
              <w:top w:val="single" w:sz="4" w:space="0" w:color="000000"/>
              <w:left w:val="single" w:sz="4" w:space="0" w:color="000000"/>
              <w:bottom w:val="single" w:sz="4" w:space="0" w:color="000000"/>
              <w:right w:val="single" w:sz="4" w:space="0" w:color="000000"/>
            </w:tcBorders>
          </w:tcPr>
          <w:p w14:paraId="744C37E3"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2B08FE05" w14:textId="77777777" w:rsidR="000324BA" w:rsidRPr="00525BD5" w:rsidRDefault="00000000">
            <w:pPr>
              <w:spacing w:after="2" w:line="236" w:lineRule="auto"/>
              <w:ind w:left="1" w:firstLine="0"/>
              <w:rPr>
                <w:sz w:val="28"/>
                <w:szCs w:val="28"/>
              </w:rPr>
            </w:pPr>
            <w:r w:rsidRPr="00525BD5">
              <w:rPr>
                <w:sz w:val="28"/>
                <w:szCs w:val="28"/>
              </w:rPr>
              <w:t xml:space="preserve">QTc interval prolongation, torsades de pointes, palpitations, and cardiac rhythm disorders including ventricular tachyarrhythmias.   </w:t>
            </w:r>
          </w:p>
          <w:p w14:paraId="1305D7B7" w14:textId="77777777" w:rsidR="000324BA" w:rsidRPr="00525BD5" w:rsidRDefault="00000000">
            <w:pPr>
              <w:spacing w:after="0" w:line="259" w:lineRule="auto"/>
              <w:ind w:left="1" w:firstLine="0"/>
              <w:rPr>
                <w:sz w:val="28"/>
                <w:szCs w:val="28"/>
              </w:rPr>
            </w:pPr>
            <w:r w:rsidRPr="00525BD5">
              <w:rPr>
                <w:sz w:val="28"/>
                <w:szCs w:val="28"/>
              </w:rPr>
              <w:t xml:space="preserve">Cardiac arrest, ventricular fibrillation.  </w:t>
            </w:r>
          </w:p>
        </w:tc>
      </w:tr>
      <w:tr w:rsidR="000324BA" w:rsidRPr="00525BD5" w14:paraId="7BE3AF73" w14:textId="77777777" w:rsidTr="00525BD5">
        <w:trPr>
          <w:trHeight w:val="634"/>
        </w:trPr>
        <w:tc>
          <w:tcPr>
            <w:tcW w:w="1877" w:type="dxa"/>
            <w:tcBorders>
              <w:top w:val="single" w:sz="4" w:space="0" w:color="000000"/>
              <w:left w:val="single" w:sz="4" w:space="0" w:color="000000"/>
              <w:bottom w:val="single" w:sz="4" w:space="0" w:color="000000"/>
              <w:right w:val="single" w:sz="4" w:space="0" w:color="000000"/>
            </w:tcBorders>
          </w:tcPr>
          <w:p w14:paraId="18C0575F" w14:textId="77777777" w:rsidR="000324BA" w:rsidRPr="00525BD5" w:rsidRDefault="00000000">
            <w:pPr>
              <w:spacing w:after="0" w:line="259" w:lineRule="auto"/>
              <w:ind w:left="1" w:firstLine="0"/>
              <w:rPr>
                <w:sz w:val="28"/>
                <w:szCs w:val="28"/>
              </w:rPr>
            </w:pPr>
            <w:r w:rsidRPr="00525BD5">
              <w:rPr>
                <w:sz w:val="28"/>
                <w:szCs w:val="28"/>
              </w:rPr>
              <w:t xml:space="preserve">Vascular disorders  </w:t>
            </w:r>
          </w:p>
        </w:tc>
        <w:tc>
          <w:tcPr>
            <w:tcW w:w="2113" w:type="dxa"/>
            <w:tcBorders>
              <w:top w:val="single" w:sz="4" w:space="0" w:color="000000"/>
              <w:left w:val="single" w:sz="4" w:space="0" w:color="000000"/>
              <w:bottom w:val="single" w:sz="4" w:space="0" w:color="000000"/>
              <w:right w:val="single" w:sz="4" w:space="0" w:color="000000"/>
            </w:tcBorders>
          </w:tcPr>
          <w:p w14:paraId="25E4A464"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4F8351BD" w14:textId="77777777" w:rsidR="000324BA" w:rsidRPr="00525BD5" w:rsidRDefault="00000000">
            <w:pPr>
              <w:spacing w:after="0" w:line="259" w:lineRule="auto"/>
              <w:ind w:left="2" w:firstLine="0"/>
              <w:rPr>
                <w:sz w:val="28"/>
                <w:szCs w:val="28"/>
              </w:rPr>
            </w:pPr>
            <w:r w:rsidRPr="00525BD5">
              <w:rPr>
                <w:sz w:val="28"/>
                <w:szCs w:val="28"/>
              </w:rPr>
              <w:t xml:space="preserve">Hypotension.  </w:t>
            </w:r>
          </w:p>
        </w:tc>
      </w:tr>
      <w:tr w:rsidR="000324BA" w:rsidRPr="00525BD5" w14:paraId="4C440934" w14:textId="77777777" w:rsidTr="00525BD5">
        <w:trPr>
          <w:trHeight w:val="1138"/>
        </w:trPr>
        <w:tc>
          <w:tcPr>
            <w:tcW w:w="1877" w:type="dxa"/>
            <w:tcBorders>
              <w:top w:val="single" w:sz="4" w:space="0" w:color="000000"/>
              <w:left w:val="single" w:sz="4" w:space="0" w:color="000000"/>
              <w:bottom w:val="single" w:sz="4" w:space="0" w:color="000000"/>
              <w:right w:val="single" w:sz="4" w:space="0" w:color="000000"/>
            </w:tcBorders>
          </w:tcPr>
          <w:p w14:paraId="68CECF47" w14:textId="77777777" w:rsidR="000324BA" w:rsidRPr="00525BD5" w:rsidRDefault="00000000">
            <w:pPr>
              <w:spacing w:after="0" w:line="259" w:lineRule="auto"/>
              <w:ind w:left="1" w:firstLine="0"/>
              <w:rPr>
                <w:sz w:val="28"/>
                <w:szCs w:val="28"/>
              </w:rPr>
            </w:pPr>
            <w:r w:rsidRPr="00525BD5">
              <w:rPr>
                <w:sz w:val="28"/>
                <w:szCs w:val="28"/>
              </w:rPr>
              <w:t xml:space="preserve">Gastrointestinal disorders  </w:t>
            </w:r>
          </w:p>
        </w:tc>
        <w:tc>
          <w:tcPr>
            <w:tcW w:w="2113" w:type="dxa"/>
            <w:tcBorders>
              <w:top w:val="single" w:sz="4" w:space="0" w:color="000000"/>
              <w:left w:val="single" w:sz="4" w:space="0" w:color="000000"/>
              <w:bottom w:val="single" w:sz="4" w:space="0" w:color="000000"/>
              <w:right w:val="single" w:sz="4" w:space="0" w:color="000000"/>
            </w:tcBorders>
          </w:tcPr>
          <w:p w14:paraId="60F2C469"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5C65E661" w14:textId="77777777" w:rsidR="000324BA" w:rsidRPr="00525BD5" w:rsidRDefault="00000000">
            <w:pPr>
              <w:spacing w:after="0" w:line="259" w:lineRule="auto"/>
              <w:ind w:left="1" w:hanging="1"/>
              <w:rPr>
                <w:sz w:val="28"/>
                <w:szCs w:val="28"/>
              </w:rPr>
            </w:pPr>
            <w:r w:rsidRPr="00525BD5">
              <w:rPr>
                <w:sz w:val="28"/>
                <w:szCs w:val="28"/>
              </w:rPr>
              <w:t xml:space="preserve">Infantile hypertrophic pyloric stenosis. ****Pancreatitis, diarrhoea, anorexia,  upper abdominal discomfort, nausea, vomiting  </w:t>
            </w:r>
          </w:p>
        </w:tc>
      </w:tr>
      <w:tr w:rsidR="000324BA" w:rsidRPr="00525BD5" w14:paraId="1C9A10D8" w14:textId="77777777" w:rsidTr="00525BD5">
        <w:trPr>
          <w:trHeight w:val="917"/>
        </w:trPr>
        <w:tc>
          <w:tcPr>
            <w:tcW w:w="1877" w:type="dxa"/>
            <w:tcBorders>
              <w:top w:val="single" w:sz="4" w:space="0" w:color="000000"/>
              <w:left w:val="single" w:sz="4" w:space="0" w:color="000000"/>
              <w:bottom w:val="single" w:sz="4" w:space="0" w:color="000000"/>
              <w:right w:val="single" w:sz="4" w:space="0" w:color="000000"/>
            </w:tcBorders>
          </w:tcPr>
          <w:p w14:paraId="6921F44B" w14:textId="77777777" w:rsidR="000324BA" w:rsidRPr="00525BD5" w:rsidRDefault="00000000">
            <w:pPr>
              <w:spacing w:after="0" w:line="259" w:lineRule="auto"/>
              <w:ind w:left="1" w:firstLine="0"/>
              <w:rPr>
                <w:sz w:val="28"/>
                <w:szCs w:val="28"/>
              </w:rPr>
            </w:pPr>
            <w:r w:rsidRPr="00525BD5">
              <w:rPr>
                <w:sz w:val="28"/>
                <w:szCs w:val="28"/>
              </w:rPr>
              <w:t xml:space="preserve">Hepatobiliary disorders  </w:t>
            </w:r>
          </w:p>
        </w:tc>
        <w:tc>
          <w:tcPr>
            <w:tcW w:w="2113" w:type="dxa"/>
            <w:tcBorders>
              <w:top w:val="single" w:sz="4" w:space="0" w:color="000000"/>
              <w:left w:val="single" w:sz="4" w:space="0" w:color="000000"/>
              <w:bottom w:val="single" w:sz="4" w:space="0" w:color="000000"/>
              <w:right w:val="single" w:sz="4" w:space="0" w:color="000000"/>
            </w:tcBorders>
          </w:tcPr>
          <w:p w14:paraId="56A5CA5F"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31517248" w14:textId="77777777" w:rsidR="000324BA" w:rsidRPr="00525BD5" w:rsidRDefault="00000000">
            <w:pPr>
              <w:spacing w:after="0" w:line="259" w:lineRule="auto"/>
              <w:ind w:left="1" w:hanging="1"/>
              <w:rPr>
                <w:sz w:val="28"/>
                <w:szCs w:val="28"/>
              </w:rPr>
            </w:pPr>
            <w:r w:rsidRPr="00525BD5">
              <w:rPr>
                <w:sz w:val="28"/>
                <w:szCs w:val="28"/>
              </w:rPr>
              <w:t xml:space="preserve">Hepatic failure, hepatocellular hepatitis (see section 4.4), hepatomegaly, hepatic dysfunction, cholestatic hepatitis, jaundice.  </w:t>
            </w:r>
          </w:p>
        </w:tc>
      </w:tr>
      <w:tr w:rsidR="000324BA" w:rsidRPr="00525BD5" w14:paraId="7BC21C85" w14:textId="77777777" w:rsidTr="00525BD5">
        <w:trPr>
          <w:trHeight w:val="1723"/>
        </w:trPr>
        <w:tc>
          <w:tcPr>
            <w:tcW w:w="1877" w:type="dxa"/>
            <w:tcBorders>
              <w:top w:val="single" w:sz="4" w:space="0" w:color="000000"/>
              <w:left w:val="single" w:sz="4" w:space="0" w:color="000000"/>
              <w:bottom w:val="single" w:sz="4" w:space="0" w:color="000000"/>
              <w:right w:val="single" w:sz="4" w:space="0" w:color="000000"/>
            </w:tcBorders>
          </w:tcPr>
          <w:p w14:paraId="5D84FC65" w14:textId="77777777" w:rsidR="000324BA" w:rsidRPr="00525BD5" w:rsidRDefault="00000000">
            <w:pPr>
              <w:spacing w:after="0" w:line="259" w:lineRule="auto"/>
              <w:ind w:left="1" w:firstLine="0"/>
              <w:rPr>
                <w:sz w:val="28"/>
                <w:szCs w:val="28"/>
              </w:rPr>
            </w:pPr>
            <w:r w:rsidRPr="00525BD5">
              <w:rPr>
                <w:sz w:val="28"/>
                <w:szCs w:val="28"/>
              </w:rPr>
              <w:t xml:space="preserve">Skin and subcutaneous tissue disorders  </w:t>
            </w:r>
          </w:p>
        </w:tc>
        <w:tc>
          <w:tcPr>
            <w:tcW w:w="2113" w:type="dxa"/>
            <w:tcBorders>
              <w:top w:val="single" w:sz="4" w:space="0" w:color="000000"/>
              <w:left w:val="single" w:sz="4" w:space="0" w:color="000000"/>
              <w:bottom w:val="single" w:sz="4" w:space="0" w:color="000000"/>
              <w:right w:val="single" w:sz="4" w:space="0" w:color="000000"/>
            </w:tcBorders>
          </w:tcPr>
          <w:p w14:paraId="51D384EF"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3A9FA149" w14:textId="77777777" w:rsidR="000324BA" w:rsidRPr="00525BD5" w:rsidRDefault="00000000">
            <w:pPr>
              <w:spacing w:after="0" w:line="237" w:lineRule="auto"/>
              <w:ind w:left="1" w:firstLine="2"/>
              <w:rPr>
                <w:sz w:val="28"/>
                <w:szCs w:val="28"/>
              </w:rPr>
            </w:pPr>
            <w:r w:rsidRPr="00525BD5">
              <w:rPr>
                <w:sz w:val="28"/>
                <w:szCs w:val="28"/>
              </w:rPr>
              <w:t xml:space="preserve">Acute generalised exanthematous pustulosis (AGEP).  </w:t>
            </w:r>
          </w:p>
          <w:p w14:paraId="18FB4CE8" w14:textId="77777777" w:rsidR="000324BA" w:rsidRPr="00525BD5" w:rsidRDefault="00000000">
            <w:pPr>
              <w:spacing w:after="0" w:line="259" w:lineRule="auto"/>
              <w:ind w:left="1" w:firstLine="0"/>
              <w:rPr>
                <w:sz w:val="28"/>
                <w:szCs w:val="28"/>
              </w:rPr>
            </w:pPr>
            <w:r w:rsidRPr="00525BD5">
              <w:rPr>
                <w:sz w:val="28"/>
                <w:szCs w:val="28"/>
              </w:rPr>
              <w:t xml:space="preserve">Stevens-Johnson syndrome, toxic epidermal necrolysis, erythema multiforme, angioedema, skin eruptions, pruritus, urticaria, exanthema.  </w:t>
            </w:r>
          </w:p>
        </w:tc>
      </w:tr>
      <w:tr w:rsidR="000324BA" w:rsidRPr="00525BD5" w14:paraId="3EC25625" w14:textId="77777777" w:rsidTr="00525BD5">
        <w:trPr>
          <w:trHeight w:val="634"/>
        </w:trPr>
        <w:tc>
          <w:tcPr>
            <w:tcW w:w="1877" w:type="dxa"/>
            <w:tcBorders>
              <w:top w:val="single" w:sz="4" w:space="0" w:color="000000"/>
              <w:left w:val="single" w:sz="4" w:space="0" w:color="000000"/>
              <w:bottom w:val="single" w:sz="4" w:space="0" w:color="000000"/>
              <w:right w:val="single" w:sz="4" w:space="0" w:color="000000"/>
            </w:tcBorders>
          </w:tcPr>
          <w:p w14:paraId="60CD1C04" w14:textId="05E1CDAC" w:rsidR="000324BA" w:rsidRPr="00525BD5" w:rsidRDefault="00000000">
            <w:pPr>
              <w:spacing w:after="0" w:line="259" w:lineRule="auto"/>
              <w:ind w:left="1" w:firstLine="0"/>
              <w:rPr>
                <w:sz w:val="28"/>
                <w:szCs w:val="28"/>
              </w:rPr>
            </w:pPr>
            <w:r w:rsidRPr="00525BD5">
              <w:rPr>
                <w:sz w:val="28"/>
                <w:szCs w:val="28"/>
              </w:rPr>
              <w:t xml:space="preserve">Renal and urinary  </w:t>
            </w:r>
            <w:r w:rsidR="00525BD5" w:rsidRPr="00525BD5">
              <w:rPr>
                <w:sz w:val="28"/>
                <w:szCs w:val="28"/>
              </w:rPr>
              <w:t xml:space="preserve">disorders  </w:t>
            </w:r>
          </w:p>
        </w:tc>
        <w:tc>
          <w:tcPr>
            <w:tcW w:w="2113" w:type="dxa"/>
            <w:tcBorders>
              <w:top w:val="single" w:sz="4" w:space="0" w:color="000000"/>
              <w:left w:val="single" w:sz="4" w:space="0" w:color="000000"/>
              <w:bottom w:val="single" w:sz="4" w:space="0" w:color="000000"/>
              <w:right w:val="single" w:sz="4" w:space="0" w:color="000000"/>
            </w:tcBorders>
          </w:tcPr>
          <w:p w14:paraId="37B8AF7A"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4330B5FC" w14:textId="77777777" w:rsidR="000324BA" w:rsidRPr="00525BD5" w:rsidRDefault="00000000">
            <w:pPr>
              <w:spacing w:after="0" w:line="259" w:lineRule="auto"/>
              <w:ind w:left="1" w:firstLine="0"/>
              <w:rPr>
                <w:sz w:val="28"/>
                <w:szCs w:val="28"/>
              </w:rPr>
            </w:pPr>
            <w:r w:rsidRPr="00525BD5">
              <w:rPr>
                <w:sz w:val="28"/>
                <w:szCs w:val="28"/>
              </w:rPr>
              <w:t xml:space="preserve">Interstitial nephritis  </w:t>
            </w:r>
          </w:p>
        </w:tc>
      </w:tr>
      <w:tr w:rsidR="000324BA" w:rsidRPr="00525BD5" w14:paraId="2CFEA505" w14:textId="77777777" w:rsidTr="00525BD5">
        <w:trPr>
          <w:cantSplit/>
          <w:trHeight w:val="1205"/>
        </w:trPr>
        <w:tc>
          <w:tcPr>
            <w:tcW w:w="1877" w:type="dxa"/>
            <w:tcBorders>
              <w:top w:val="single" w:sz="4" w:space="0" w:color="000000"/>
              <w:left w:val="single" w:sz="4" w:space="0" w:color="000000"/>
              <w:bottom w:val="single" w:sz="4" w:space="0" w:color="000000"/>
              <w:right w:val="single" w:sz="4" w:space="0" w:color="000000"/>
            </w:tcBorders>
          </w:tcPr>
          <w:p w14:paraId="62F74B06" w14:textId="77777777" w:rsidR="000324BA" w:rsidRPr="00525BD5" w:rsidRDefault="00000000">
            <w:pPr>
              <w:spacing w:after="0" w:line="259" w:lineRule="auto"/>
              <w:ind w:left="1" w:firstLine="0"/>
              <w:rPr>
                <w:sz w:val="28"/>
                <w:szCs w:val="28"/>
              </w:rPr>
            </w:pPr>
            <w:r w:rsidRPr="00525BD5">
              <w:rPr>
                <w:sz w:val="28"/>
                <w:szCs w:val="28"/>
              </w:rPr>
              <w:lastRenderedPageBreak/>
              <w:t xml:space="preserve">General disorders and administration site conditions  </w:t>
            </w:r>
          </w:p>
        </w:tc>
        <w:tc>
          <w:tcPr>
            <w:tcW w:w="2113" w:type="dxa"/>
            <w:tcBorders>
              <w:top w:val="single" w:sz="4" w:space="0" w:color="000000"/>
              <w:left w:val="single" w:sz="4" w:space="0" w:color="000000"/>
              <w:bottom w:val="single" w:sz="4" w:space="0" w:color="000000"/>
              <w:right w:val="single" w:sz="4" w:space="0" w:color="000000"/>
            </w:tcBorders>
          </w:tcPr>
          <w:p w14:paraId="4405FEDE" w14:textId="77777777" w:rsidR="000324BA" w:rsidRPr="00525BD5" w:rsidRDefault="00000000">
            <w:pPr>
              <w:spacing w:after="0" w:line="259" w:lineRule="auto"/>
              <w:ind w:left="1"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4" w:space="0" w:color="000000"/>
              <w:right w:val="single" w:sz="4" w:space="0" w:color="000000"/>
            </w:tcBorders>
          </w:tcPr>
          <w:p w14:paraId="350F74BF" w14:textId="77777777" w:rsidR="000324BA" w:rsidRPr="00525BD5" w:rsidRDefault="00000000">
            <w:pPr>
              <w:spacing w:after="0" w:line="259" w:lineRule="auto"/>
              <w:ind w:left="0" w:firstLine="0"/>
              <w:rPr>
                <w:sz w:val="28"/>
                <w:szCs w:val="28"/>
              </w:rPr>
            </w:pPr>
            <w:r w:rsidRPr="00525BD5">
              <w:rPr>
                <w:sz w:val="28"/>
                <w:szCs w:val="28"/>
              </w:rPr>
              <w:t xml:space="preserve">Chest pain, fever, malaise.  </w:t>
            </w:r>
          </w:p>
        </w:tc>
      </w:tr>
      <w:tr w:rsidR="000324BA" w:rsidRPr="00525BD5" w14:paraId="330C7F6D" w14:textId="77777777" w:rsidTr="00525BD5">
        <w:trPr>
          <w:trHeight w:val="343"/>
        </w:trPr>
        <w:tc>
          <w:tcPr>
            <w:tcW w:w="1877" w:type="dxa"/>
            <w:tcBorders>
              <w:top w:val="single" w:sz="4" w:space="0" w:color="000000"/>
              <w:left w:val="single" w:sz="4" w:space="0" w:color="000000"/>
              <w:bottom w:val="single" w:sz="2" w:space="0" w:color="000000"/>
              <w:right w:val="single" w:sz="4" w:space="0" w:color="000000"/>
            </w:tcBorders>
          </w:tcPr>
          <w:p w14:paraId="400D7E4B" w14:textId="77777777" w:rsidR="000324BA" w:rsidRPr="00525BD5" w:rsidRDefault="00000000">
            <w:pPr>
              <w:spacing w:after="0" w:line="259" w:lineRule="auto"/>
              <w:ind w:left="1" w:firstLine="0"/>
              <w:rPr>
                <w:sz w:val="28"/>
                <w:szCs w:val="28"/>
              </w:rPr>
            </w:pPr>
            <w:r w:rsidRPr="00525BD5">
              <w:rPr>
                <w:sz w:val="28"/>
                <w:szCs w:val="28"/>
              </w:rPr>
              <w:t xml:space="preserve">Investigations  </w:t>
            </w:r>
          </w:p>
        </w:tc>
        <w:tc>
          <w:tcPr>
            <w:tcW w:w="2113" w:type="dxa"/>
            <w:tcBorders>
              <w:top w:val="single" w:sz="4" w:space="0" w:color="000000"/>
              <w:left w:val="single" w:sz="4" w:space="0" w:color="000000"/>
              <w:bottom w:val="single" w:sz="2" w:space="0" w:color="000000"/>
              <w:right w:val="single" w:sz="4" w:space="0" w:color="000000"/>
            </w:tcBorders>
          </w:tcPr>
          <w:p w14:paraId="60B2D60A" w14:textId="77777777" w:rsidR="000324BA" w:rsidRPr="00525BD5" w:rsidRDefault="00000000">
            <w:pPr>
              <w:spacing w:after="0" w:line="259" w:lineRule="auto"/>
              <w:ind w:left="2" w:firstLine="0"/>
              <w:rPr>
                <w:sz w:val="28"/>
                <w:szCs w:val="28"/>
              </w:rPr>
            </w:pPr>
            <w:r w:rsidRPr="00525BD5">
              <w:rPr>
                <w:sz w:val="28"/>
                <w:szCs w:val="28"/>
              </w:rPr>
              <w:t xml:space="preserve">Not known   </w:t>
            </w:r>
          </w:p>
        </w:tc>
        <w:tc>
          <w:tcPr>
            <w:tcW w:w="4160" w:type="dxa"/>
            <w:tcBorders>
              <w:top w:val="single" w:sz="4" w:space="0" w:color="000000"/>
              <w:left w:val="single" w:sz="4" w:space="0" w:color="000000"/>
              <w:bottom w:val="single" w:sz="2" w:space="0" w:color="000000"/>
              <w:right w:val="single" w:sz="4" w:space="0" w:color="000000"/>
            </w:tcBorders>
          </w:tcPr>
          <w:p w14:paraId="47CA32D2" w14:textId="77777777" w:rsidR="000324BA" w:rsidRPr="00525BD5" w:rsidRDefault="00000000">
            <w:pPr>
              <w:spacing w:after="0" w:line="259" w:lineRule="auto"/>
              <w:ind w:left="3" w:firstLine="0"/>
              <w:rPr>
                <w:sz w:val="28"/>
                <w:szCs w:val="28"/>
              </w:rPr>
            </w:pPr>
            <w:r w:rsidRPr="00525BD5">
              <w:rPr>
                <w:sz w:val="28"/>
                <w:szCs w:val="28"/>
              </w:rPr>
              <w:t xml:space="preserve">Increased liver enzyme values.  </w:t>
            </w:r>
          </w:p>
        </w:tc>
      </w:tr>
    </w:tbl>
    <w:p w14:paraId="6B027691" w14:textId="77777777" w:rsidR="007A5519" w:rsidRDefault="00000000" w:rsidP="007A5519">
      <w:pPr>
        <w:spacing w:before="240" w:after="0" w:line="360" w:lineRule="auto"/>
        <w:ind w:left="703" w:firstLine="0"/>
        <w:jc w:val="thaiDistribute"/>
        <w:rPr>
          <w:sz w:val="24"/>
          <w:szCs w:val="24"/>
        </w:rPr>
      </w:pPr>
      <w:r w:rsidRPr="007A5519">
        <w:rPr>
          <w:sz w:val="24"/>
          <w:szCs w:val="24"/>
        </w:rPr>
        <w:t xml:space="preserve">* Has been rarely reported in association with erythromycin therapy (see section 4.4).  </w:t>
      </w:r>
    </w:p>
    <w:p w14:paraId="57FF92F9" w14:textId="4CA4D815" w:rsidR="000324BA" w:rsidRPr="007A5519" w:rsidRDefault="00000000" w:rsidP="007A5519">
      <w:pPr>
        <w:spacing w:line="360" w:lineRule="auto"/>
        <w:ind w:left="703" w:firstLine="0"/>
        <w:jc w:val="thaiDistribute"/>
        <w:rPr>
          <w:sz w:val="24"/>
          <w:szCs w:val="24"/>
        </w:rPr>
      </w:pPr>
      <w:r w:rsidRPr="007A5519">
        <w:rPr>
          <w:sz w:val="24"/>
          <w:szCs w:val="24"/>
        </w:rPr>
        <w:t xml:space="preserve">** There have been isolated reports of transient central nervous system side effects, however, a cause and effect relationship has not been established.  </w:t>
      </w:r>
    </w:p>
    <w:p w14:paraId="02B6392C" w14:textId="77777777" w:rsidR="000324BA" w:rsidRPr="007A5519" w:rsidRDefault="00000000" w:rsidP="007A5519">
      <w:pPr>
        <w:spacing w:line="360" w:lineRule="auto"/>
        <w:ind w:left="701" w:firstLine="0"/>
        <w:jc w:val="thaiDistribute"/>
        <w:rPr>
          <w:sz w:val="24"/>
          <w:szCs w:val="24"/>
        </w:rPr>
      </w:pPr>
      <w:r w:rsidRPr="007A5519">
        <w:rPr>
          <w:sz w:val="24"/>
          <w:szCs w:val="24"/>
        </w:rPr>
        <w:t xml:space="preserve">*** There have been isolated reports, occurring chiefly in patients with renal insufficiency or high doses.  </w:t>
      </w:r>
    </w:p>
    <w:p w14:paraId="4A33FFF9" w14:textId="77777777" w:rsidR="007A5519" w:rsidRDefault="00000000" w:rsidP="007A5519">
      <w:pPr>
        <w:spacing w:after="240" w:line="360" w:lineRule="auto"/>
        <w:ind w:left="703" w:firstLine="0"/>
        <w:jc w:val="thaiDistribute"/>
        <w:rPr>
          <w:sz w:val="24"/>
          <w:szCs w:val="24"/>
        </w:rPr>
      </w:pPr>
      <w:r w:rsidRPr="007A5519">
        <w:rPr>
          <w:sz w:val="24"/>
          <w:szCs w:val="24"/>
        </w:rPr>
        <w:t xml:space="preserve">**** The most frequent side effects of oral erythromycin preparations are gastrointestinal and are dose-related. </w:t>
      </w:r>
    </w:p>
    <w:p w14:paraId="25B15E8A" w14:textId="62A760A8" w:rsidR="000324BA" w:rsidRPr="007A5519" w:rsidRDefault="00000000" w:rsidP="007A5519">
      <w:pPr>
        <w:spacing w:line="360" w:lineRule="auto"/>
        <w:ind w:left="701" w:firstLine="0"/>
        <w:jc w:val="thaiDistribute"/>
        <w:rPr>
          <w:sz w:val="28"/>
          <w:szCs w:val="28"/>
          <w:u w:val="single"/>
        </w:rPr>
      </w:pPr>
      <w:r w:rsidRPr="007A5519">
        <w:rPr>
          <w:sz w:val="28"/>
          <w:szCs w:val="28"/>
          <w:u w:val="single"/>
        </w:rPr>
        <w:t xml:space="preserve">Paediatric population  </w:t>
      </w:r>
    </w:p>
    <w:p w14:paraId="1CA5C00C" w14:textId="4DA31435" w:rsidR="000324BA" w:rsidRPr="007A5519" w:rsidRDefault="00000000" w:rsidP="007A5519">
      <w:pPr>
        <w:spacing w:after="240" w:line="360" w:lineRule="auto"/>
        <w:ind w:left="708" w:right="119" w:hanging="11"/>
        <w:jc w:val="thaiDistribute"/>
        <w:rPr>
          <w:sz w:val="28"/>
          <w:szCs w:val="28"/>
        </w:rPr>
      </w:pPr>
      <w:r w:rsidRPr="007A5519">
        <w:rPr>
          <w:sz w:val="28"/>
          <w:szCs w:val="28"/>
        </w:rPr>
        <w:t xml:space="preserve">Frequency, type and severity of adverse reactions in children are expected to be the same as in adults.  </w:t>
      </w:r>
    </w:p>
    <w:p w14:paraId="1DC54289" w14:textId="77777777" w:rsidR="000324BA" w:rsidRPr="007A5519" w:rsidRDefault="00000000" w:rsidP="007A5519">
      <w:pPr>
        <w:pStyle w:val="Heading2"/>
        <w:spacing w:line="360" w:lineRule="auto"/>
        <w:ind w:left="696"/>
        <w:jc w:val="thaiDistribute"/>
        <w:rPr>
          <w:sz w:val="28"/>
          <w:szCs w:val="28"/>
        </w:rPr>
      </w:pPr>
      <w:r w:rsidRPr="007A5519">
        <w:rPr>
          <w:sz w:val="28"/>
          <w:szCs w:val="28"/>
        </w:rPr>
        <w:t>Reporting of suspected adverse reactions</w:t>
      </w:r>
      <w:r w:rsidRPr="007A5519">
        <w:rPr>
          <w:sz w:val="28"/>
          <w:szCs w:val="28"/>
          <w:u w:val="none"/>
        </w:rPr>
        <w:t xml:space="preserve">  </w:t>
      </w:r>
    </w:p>
    <w:p w14:paraId="339641C2" w14:textId="0E1F5779" w:rsidR="007A5519" w:rsidRPr="00525BD5" w:rsidRDefault="00000000" w:rsidP="007A5519">
      <w:pPr>
        <w:spacing w:after="240" w:line="360" w:lineRule="auto"/>
        <w:ind w:left="708" w:right="119" w:hanging="11"/>
        <w:jc w:val="thaiDistribute"/>
        <w:rPr>
          <w:sz w:val="28"/>
          <w:szCs w:val="28"/>
        </w:rPr>
      </w:pPr>
      <w:r w:rsidRPr="007A5519">
        <w:rPr>
          <w:sz w:val="28"/>
          <w:szCs w:val="28"/>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Health Product </w:t>
      </w:r>
    </w:p>
    <w:p w14:paraId="218DB8D1" w14:textId="77777777" w:rsidR="007A5519" w:rsidRDefault="00000000" w:rsidP="007A5519">
      <w:pPr>
        <w:pStyle w:val="Heading3"/>
        <w:numPr>
          <w:ilvl w:val="1"/>
          <w:numId w:val="3"/>
        </w:numPr>
        <w:tabs>
          <w:tab w:val="center" w:pos="1190"/>
        </w:tabs>
        <w:spacing w:after="240" w:line="360" w:lineRule="auto"/>
        <w:ind w:left="788" w:hanging="431"/>
        <w:rPr>
          <w:sz w:val="28"/>
          <w:szCs w:val="28"/>
        </w:rPr>
      </w:pPr>
      <w:r w:rsidRPr="00525BD5">
        <w:rPr>
          <w:sz w:val="28"/>
          <w:szCs w:val="28"/>
        </w:rPr>
        <w:lastRenderedPageBreak/>
        <w:t>Overdose</w:t>
      </w:r>
    </w:p>
    <w:p w14:paraId="69F6B9B1" w14:textId="77777777" w:rsidR="007A5519" w:rsidRPr="007A5519" w:rsidRDefault="00000000" w:rsidP="007A5519">
      <w:pPr>
        <w:pStyle w:val="Heading3"/>
        <w:tabs>
          <w:tab w:val="center" w:pos="1190"/>
        </w:tabs>
        <w:spacing w:line="360" w:lineRule="auto"/>
        <w:ind w:left="792" w:firstLine="0"/>
        <w:rPr>
          <w:b w:val="0"/>
          <w:bCs/>
          <w:sz w:val="28"/>
          <w:szCs w:val="28"/>
          <w:u w:val="single"/>
        </w:rPr>
      </w:pPr>
      <w:r w:rsidRPr="007A5519">
        <w:rPr>
          <w:b w:val="0"/>
          <w:bCs/>
          <w:sz w:val="28"/>
          <w:szCs w:val="28"/>
          <w:u w:val="single"/>
        </w:rPr>
        <w:t>Symptoms</w:t>
      </w:r>
    </w:p>
    <w:p w14:paraId="79F8FB5B" w14:textId="77777777" w:rsidR="007A5519" w:rsidRPr="007A5519" w:rsidRDefault="00000000" w:rsidP="007A5519">
      <w:pPr>
        <w:pStyle w:val="Heading3"/>
        <w:tabs>
          <w:tab w:val="center" w:pos="1190"/>
        </w:tabs>
        <w:spacing w:after="240" w:line="360" w:lineRule="auto"/>
        <w:ind w:left="794" w:firstLine="0"/>
        <w:rPr>
          <w:b w:val="0"/>
          <w:bCs/>
          <w:sz w:val="28"/>
          <w:szCs w:val="28"/>
        </w:rPr>
      </w:pPr>
      <w:r w:rsidRPr="007A5519">
        <w:rPr>
          <w:b w:val="0"/>
          <w:bCs/>
          <w:sz w:val="28"/>
          <w:szCs w:val="28"/>
        </w:rPr>
        <w:t xml:space="preserve">Hearing loss, severe nausea, vomiting and diarrhoea. </w:t>
      </w:r>
    </w:p>
    <w:p w14:paraId="31C271CB" w14:textId="77777777" w:rsidR="007A5519" w:rsidRPr="007A5519" w:rsidRDefault="00000000" w:rsidP="007A5519">
      <w:pPr>
        <w:pStyle w:val="Heading3"/>
        <w:tabs>
          <w:tab w:val="center" w:pos="1190"/>
        </w:tabs>
        <w:spacing w:line="360" w:lineRule="auto"/>
        <w:ind w:left="792" w:firstLine="0"/>
        <w:rPr>
          <w:b w:val="0"/>
          <w:bCs/>
          <w:sz w:val="28"/>
          <w:szCs w:val="28"/>
          <w:u w:val="single"/>
        </w:rPr>
      </w:pPr>
      <w:r w:rsidRPr="007A5519">
        <w:rPr>
          <w:b w:val="0"/>
          <w:bCs/>
          <w:sz w:val="28"/>
          <w:szCs w:val="28"/>
          <w:u w:val="single"/>
        </w:rPr>
        <w:t>Management</w:t>
      </w:r>
    </w:p>
    <w:p w14:paraId="24F05149" w14:textId="63182EA6" w:rsidR="000324BA" w:rsidRPr="007A5519" w:rsidRDefault="00000000" w:rsidP="007A5519">
      <w:pPr>
        <w:pStyle w:val="Heading3"/>
        <w:tabs>
          <w:tab w:val="center" w:pos="1190"/>
        </w:tabs>
        <w:spacing w:after="240" w:line="360" w:lineRule="auto"/>
        <w:ind w:left="794" w:firstLine="0"/>
        <w:rPr>
          <w:b w:val="0"/>
          <w:bCs/>
          <w:sz w:val="28"/>
          <w:szCs w:val="28"/>
        </w:rPr>
      </w:pPr>
      <w:r w:rsidRPr="007A5519">
        <w:rPr>
          <w:b w:val="0"/>
          <w:bCs/>
          <w:sz w:val="28"/>
          <w:szCs w:val="28"/>
        </w:rPr>
        <w:t xml:space="preserve">Gastric lavage, general supportive measures.  </w:t>
      </w:r>
    </w:p>
    <w:p w14:paraId="03EB580A" w14:textId="77777777" w:rsidR="007A5519" w:rsidRDefault="00000000" w:rsidP="007A5519">
      <w:pPr>
        <w:pStyle w:val="Heading1"/>
        <w:numPr>
          <w:ilvl w:val="0"/>
          <w:numId w:val="3"/>
        </w:numPr>
        <w:tabs>
          <w:tab w:val="center" w:pos="3070"/>
        </w:tabs>
        <w:spacing w:line="360" w:lineRule="auto"/>
        <w:rPr>
          <w:sz w:val="28"/>
          <w:szCs w:val="28"/>
        </w:rPr>
      </w:pPr>
      <w:r w:rsidRPr="00525BD5">
        <w:rPr>
          <w:sz w:val="28"/>
          <w:szCs w:val="28"/>
        </w:rPr>
        <w:t xml:space="preserve">PHARMACOLOGICAL PROPERTIES  </w:t>
      </w:r>
    </w:p>
    <w:p w14:paraId="7ABED0BA" w14:textId="3850842C" w:rsidR="000324BA" w:rsidRPr="007A5519" w:rsidRDefault="00000000" w:rsidP="007A5519">
      <w:pPr>
        <w:pStyle w:val="Heading1"/>
        <w:numPr>
          <w:ilvl w:val="1"/>
          <w:numId w:val="3"/>
        </w:numPr>
        <w:tabs>
          <w:tab w:val="center" w:pos="3070"/>
        </w:tabs>
        <w:spacing w:after="240" w:line="360" w:lineRule="auto"/>
        <w:ind w:left="788" w:hanging="431"/>
        <w:rPr>
          <w:sz w:val="28"/>
          <w:szCs w:val="28"/>
        </w:rPr>
      </w:pPr>
      <w:r w:rsidRPr="007A5519">
        <w:rPr>
          <w:sz w:val="28"/>
          <w:szCs w:val="28"/>
          <w:u w:color="000000"/>
        </w:rPr>
        <w:t xml:space="preserve">Pharmacodynamic properties  </w:t>
      </w:r>
    </w:p>
    <w:p w14:paraId="5984F63B" w14:textId="77777777" w:rsidR="007A5519" w:rsidRDefault="00000000" w:rsidP="007A5519">
      <w:pPr>
        <w:spacing w:after="7" w:line="360" w:lineRule="auto"/>
        <w:ind w:left="701" w:right="72" w:firstLine="0"/>
        <w:rPr>
          <w:sz w:val="28"/>
          <w:szCs w:val="28"/>
        </w:rPr>
      </w:pPr>
      <w:r w:rsidRPr="00525BD5">
        <w:rPr>
          <w:sz w:val="28"/>
          <w:szCs w:val="28"/>
        </w:rPr>
        <w:t>Pharmacotherapeutic group: Antibacterials for systemic use</w:t>
      </w:r>
    </w:p>
    <w:p w14:paraId="59DD6BFD" w14:textId="76A85C47" w:rsidR="000324BA" w:rsidRPr="00525BD5" w:rsidRDefault="00000000" w:rsidP="007A5519">
      <w:pPr>
        <w:spacing w:after="240" w:line="360" w:lineRule="auto"/>
        <w:ind w:left="703" w:right="74" w:firstLine="0"/>
        <w:rPr>
          <w:sz w:val="28"/>
          <w:szCs w:val="28"/>
        </w:rPr>
      </w:pPr>
      <w:r w:rsidRPr="00525BD5">
        <w:rPr>
          <w:sz w:val="28"/>
          <w:szCs w:val="28"/>
        </w:rPr>
        <w:t xml:space="preserve">ATC code: J01FA01  </w:t>
      </w:r>
    </w:p>
    <w:p w14:paraId="1E84A8F8" w14:textId="77777777" w:rsidR="000324BA" w:rsidRPr="00525BD5" w:rsidRDefault="00000000" w:rsidP="007A5519">
      <w:pPr>
        <w:spacing w:after="240" w:line="360" w:lineRule="auto"/>
        <w:ind w:left="714" w:hanging="11"/>
        <w:jc w:val="thaiDistribute"/>
        <w:rPr>
          <w:sz w:val="28"/>
          <w:szCs w:val="28"/>
        </w:rPr>
      </w:pPr>
      <w:r w:rsidRPr="00525BD5">
        <w:rPr>
          <w:sz w:val="28"/>
          <w:szCs w:val="28"/>
          <w:u w:val="single" w:color="000000"/>
        </w:rPr>
        <w:t>Mechanism of action</w:t>
      </w:r>
      <w:r w:rsidRPr="00525BD5">
        <w:rPr>
          <w:sz w:val="28"/>
          <w:szCs w:val="28"/>
        </w:rPr>
        <w:t xml:space="preserve">  </w:t>
      </w:r>
    </w:p>
    <w:p w14:paraId="625306B0" w14:textId="77777777" w:rsidR="000324BA" w:rsidRPr="00525BD5" w:rsidRDefault="00000000" w:rsidP="007A5519">
      <w:pPr>
        <w:spacing w:after="7" w:line="360" w:lineRule="auto"/>
        <w:ind w:left="706" w:right="72"/>
        <w:jc w:val="thaiDistribute"/>
        <w:rPr>
          <w:sz w:val="28"/>
          <w:szCs w:val="28"/>
        </w:rPr>
      </w:pPr>
      <w:r w:rsidRPr="00525BD5">
        <w:rPr>
          <w:sz w:val="28"/>
          <w:szCs w:val="28"/>
        </w:rPr>
        <w:t xml:space="preserve">Erythromycin exerts its antimicrobial action by binding to the 50S ribosomal sub-unit of susceptible microorganisms and suppresses protein synthesis.  Erythromycin is usually active against most strains of the following organisms both in vitro and in clinical infections:  </w:t>
      </w:r>
    </w:p>
    <w:p w14:paraId="51157485" w14:textId="77777777" w:rsidR="007A5519" w:rsidRDefault="00000000" w:rsidP="007A5519">
      <w:pPr>
        <w:pStyle w:val="ListParagraph"/>
        <w:numPr>
          <w:ilvl w:val="0"/>
          <w:numId w:val="8"/>
        </w:numPr>
        <w:spacing w:after="7" w:line="360" w:lineRule="auto"/>
        <w:ind w:right="72"/>
        <w:jc w:val="thaiDistribute"/>
        <w:rPr>
          <w:sz w:val="28"/>
          <w:szCs w:val="28"/>
        </w:rPr>
      </w:pPr>
      <w:r w:rsidRPr="007A5519">
        <w:rPr>
          <w:sz w:val="28"/>
          <w:szCs w:val="28"/>
        </w:rPr>
        <w:t xml:space="preserve">Gram positive bacteria - Listeria monocytogenes, Corynebacterium diphtheriae (as an adjunct to antitoxin), Staphylococci spp, Streptococci spp (including Enterococci).  </w:t>
      </w:r>
    </w:p>
    <w:p w14:paraId="5D4489F6" w14:textId="77777777" w:rsidR="007A5519" w:rsidRDefault="007A5519" w:rsidP="007A5519">
      <w:pPr>
        <w:pStyle w:val="ListParagraph"/>
        <w:numPr>
          <w:ilvl w:val="0"/>
          <w:numId w:val="8"/>
        </w:numPr>
        <w:spacing w:after="7" w:line="360" w:lineRule="auto"/>
        <w:ind w:right="72"/>
        <w:jc w:val="thaiDistribute"/>
        <w:rPr>
          <w:sz w:val="28"/>
          <w:szCs w:val="28"/>
        </w:rPr>
      </w:pPr>
      <w:r w:rsidRPr="007A5519">
        <w:rPr>
          <w:sz w:val="28"/>
          <w:szCs w:val="28"/>
        </w:rPr>
        <w:t>Gram negative bacteria - Haemophilus influenzae, Neisseria meningitidis, Neisseria gonorrhoeae, Legionella pneumophila, Moraxella (Branhamella) catarrhalis, Bordetella pertussis, Campylobacter spp.</w:t>
      </w:r>
    </w:p>
    <w:p w14:paraId="43A5A065" w14:textId="6892A804" w:rsidR="000324BA" w:rsidRPr="007A5519" w:rsidRDefault="00000000" w:rsidP="007A5519">
      <w:pPr>
        <w:pStyle w:val="ListParagraph"/>
        <w:numPr>
          <w:ilvl w:val="0"/>
          <w:numId w:val="8"/>
        </w:numPr>
        <w:spacing w:after="7" w:line="360" w:lineRule="auto"/>
        <w:ind w:right="72"/>
        <w:jc w:val="thaiDistribute"/>
        <w:rPr>
          <w:sz w:val="28"/>
          <w:szCs w:val="28"/>
        </w:rPr>
      </w:pPr>
      <w:r w:rsidRPr="007A5519">
        <w:rPr>
          <w:sz w:val="28"/>
          <w:szCs w:val="28"/>
        </w:rPr>
        <w:t xml:space="preserve">Mycoplasma - Mycoplasma pneumoniae, Ureaplasma urealyticum.  </w:t>
      </w:r>
    </w:p>
    <w:p w14:paraId="01932349" w14:textId="77777777" w:rsidR="007A5519" w:rsidRDefault="00000000" w:rsidP="007A5519">
      <w:pPr>
        <w:pStyle w:val="ListParagraph"/>
        <w:numPr>
          <w:ilvl w:val="0"/>
          <w:numId w:val="8"/>
        </w:numPr>
        <w:spacing w:after="7" w:line="360" w:lineRule="auto"/>
        <w:ind w:right="72"/>
        <w:jc w:val="thaiDistribute"/>
        <w:rPr>
          <w:sz w:val="28"/>
          <w:szCs w:val="28"/>
        </w:rPr>
      </w:pPr>
      <w:r w:rsidRPr="007A5519">
        <w:rPr>
          <w:sz w:val="28"/>
          <w:szCs w:val="28"/>
        </w:rPr>
        <w:lastRenderedPageBreak/>
        <w:t>Other organisms - Treponema pallidum, Chlamydia spp, Clostridia spp, L-forms, the agents causing trachoma and lymphogranuloma venereum.</w:t>
      </w:r>
    </w:p>
    <w:p w14:paraId="0B476642" w14:textId="77777777" w:rsidR="007A5519" w:rsidRDefault="007A5519" w:rsidP="007A5519">
      <w:pPr>
        <w:spacing w:after="240" w:line="360" w:lineRule="auto"/>
        <w:ind w:left="1055" w:right="74" w:firstLine="0"/>
        <w:jc w:val="thaiDistribute"/>
        <w:rPr>
          <w:sz w:val="28"/>
          <w:szCs w:val="28"/>
        </w:rPr>
      </w:pPr>
      <w:r w:rsidRPr="007A5519">
        <w:rPr>
          <w:sz w:val="28"/>
          <w:szCs w:val="28"/>
        </w:rPr>
        <w:t xml:space="preserve">Note: The majority of strains of Haemophilus influenzae are susceptible to the concentrations reached after ordinary doses.  </w:t>
      </w:r>
    </w:p>
    <w:p w14:paraId="74910AB5" w14:textId="3C4620B2" w:rsidR="000324BA" w:rsidRPr="00525BD5" w:rsidRDefault="00000000" w:rsidP="007A5519">
      <w:pPr>
        <w:spacing w:after="240" w:line="360" w:lineRule="auto"/>
        <w:ind w:left="714" w:right="74" w:hanging="11"/>
        <w:jc w:val="thaiDistribute"/>
        <w:rPr>
          <w:sz w:val="28"/>
          <w:szCs w:val="28"/>
        </w:rPr>
      </w:pPr>
      <w:r w:rsidRPr="00525BD5">
        <w:rPr>
          <w:sz w:val="28"/>
          <w:szCs w:val="28"/>
          <w:u w:val="single" w:color="000000"/>
        </w:rPr>
        <w:t>Susceptibility testing breakpoints:</w:t>
      </w:r>
      <w:r w:rsidRPr="00525BD5">
        <w:rPr>
          <w:sz w:val="28"/>
          <w:szCs w:val="28"/>
        </w:rPr>
        <w:t xml:space="preserve">  </w:t>
      </w:r>
    </w:p>
    <w:p w14:paraId="7B54C7F3" w14:textId="77777777" w:rsidR="000324BA" w:rsidRPr="007A5519" w:rsidRDefault="00000000">
      <w:pPr>
        <w:spacing w:after="0" w:line="259" w:lineRule="auto"/>
        <w:ind w:left="716" w:firstLine="0"/>
        <w:rPr>
          <w:sz w:val="28"/>
          <w:szCs w:val="28"/>
        </w:rPr>
      </w:pPr>
      <w:r w:rsidRPr="007A5519">
        <w:rPr>
          <w:b/>
          <w:i/>
          <w:sz w:val="28"/>
          <w:szCs w:val="28"/>
        </w:rPr>
        <w:t xml:space="preserve">EUCAST clinical MIC breakpoints for erythromycin (Version 11.0, valid from 2021-01-01): </w:t>
      </w:r>
      <w:r w:rsidRPr="007A5519">
        <w:rPr>
          <w:sz w:val="28"/>
          <w:szCs w:val="28"/>
        </w:rPr>
        <w:t xml:space="preserve"> </w:t>
      </w:r>
    </w:p>
    <w:p w14:paraId="3682F74F" w14:textId="77777777" w:rsidR="007A5519" w:rsidRPr="00525BD5" w:rsidRDefault="007A5519">
      <w:pPr>
        <w:spacing w:after="0" w:line="259" w:lineRule="auto"/>
        <w:ind w:left="716" w:firstLine="0"/>
        <w:rPr>
          <w:sz w:val="28"/>
          <w:szCs w:val="28"/>
        </w:rPr>
      </w:pPr>
    </w:p>
    <w:tbl>
      <w:tblPr>
        <w:tblStyle w:val="TableGrid"/>
        <w:tblW w:w="8743" w:type="dxa"/>
        <w:jc w:val="center"/>
        <w:tblInd w:w="0" w:type="dxa"/>
        <w:tblCellMar>
          <w:top w:w="54" w:type="dxa"/>
          <w:left w:w="23" w:type="dxa"/>
          <w:bottom w:w="0" w:type="dxa"/>
          <w:right w:w="15" w:type="dxa"/>
        </w:tblCellMar>
        <w:tblLook w:val="04A0" w:firstRow="1" w:lastRow="0" w:firstColumn="1" w:lastColumn="0" w:noHBand="0" w:noVBand="1"/>
      </w:tblPr>
      <w:tblGrid>
        <w:gridCol w:w="618"/>
        <w:gridCol w:w="2311"/>
        <w:gridCol w:w="2884"/>
        <w:gridCol w:w="2930"/>
      </w:tblGrid>
      <w:tr w:rsidR="000324BA" w:rsidRPr="007A5519" w14:paraId="14D8C106" w14:textId="77777777" w:rsidTr="007A5519">
        <w:trPr>
          <w:gridBefore w:val="1"/>
          <w:wBefore w:w="711" w:type="dxa"/>
          <w:trHeight w:val="382"/>
          <w:jc w:val="center"/>
        </w:trPr>
        <w:tc>
          <w:tcPr>
            <w:tcW w:w="2398" w:type="dxa"/>
            <w:tcBorders>
              <w:top w:val="single" w:sz="4" w:space="0" w:color="797979"/>
              <w:left w:val="single" w:sz="4" w:space="0" w:color="797979"/>
              <w:bottom w:val="single" w:sz="6" w:space="0" w:color="797979"/>
              <w:right w:val="single" w:sz="4" w:space="0" w:color="auto"/>
            </w:tcBorders>
          </w:tcPr>
          <w:p w14:paraId="7E87A6CA" w14:textId="77777777" w:rsidR="000324BA" w:rsidRPr="007A5519" w:rsidRDefault="00000000">
            <w:pPr>
              <w:spacing w:after="0" w:line="259" w:lineRule="auto"/>
              <w:ind w:left="0" w:right="11" w:firstLine="0"/>
              <w:jc w:val="center"/>
              <w:rPr>
                <w:sz w:val="28"/>
                <w:szCs w:val="28"/>
              </w:rPr>
            </w:pPr>
            <w:r w:rsidRPr="007A5519">
              <w:rPr>
                <w:b/>
                <w:sz w:val="28"/>
                <w:szCs w:val="28"/>
              </w:rPr>
              <w:t>Pathogen</w:t>
            </w:r>
            <w:r w:rsidRPr="007A5519">
              <w:rPr>
                <w:sz w:val="28"/>
                <w:szCs w:val="28"/>
              </w:rPr>
              <w:t xml:space="preserve">  </w:t>
            </w:r>
          </w:p>
        </w:tc>
        <w:tc>
          <w:tcPr>
            <w:tcW w:w="3125" w:type="dxa"/>
            <w:tcBorders>
              <w:top w:val="single" w:sz="4" w:space="0" w:color="auto"/>
              <w:left w:val="single" w:sz="4" w:space="0" w:color="auto"/>
              <w:bottom w:val="single" w:sz="4" w:space="0" w:color="auto"/>
              <w:right w:val="single" w:sz="4" w:space="0" w:color="auto"/>
            </w:tcBorders>
          </w:tcPr>
          <w:p w14:paraId="35169AC7" w14:textId="77777777" w:rsidR="000324BA" w:rsidRPr="007A5519" w:rsidRDefault="00000000">
            <w:pPr>
              <w:spacing w:after="0" w:line="259" w:lineRule="auto"/>
              <w:ind w:left="0" w:right="10" w:firstLine="0"/>
              <w:jc w:val="center"/>
              <w:rPr>
                <w:sz w:val="28"/>
                <w:szCs w:val="28"/>
              </w:rPr>
            </w:pPr>
            <w:r w:rsidRPr="007A5519">
              <w:rPr>
                <w:b/>
                <w:sz w:val="28"/>
                <w:szCs w:val="28"/>
              </w:rPr>
              <w:t>Susceptible (mg/L)</w:t>
            </w:r>
            <w:r w:rsidRPr="007A5519">
              <w:rPr>
                <w:sz w:val="28"/>
                <w:szCs w:val="28"/>
              </w:rPr>
              <w:t xml:space="preserve">  </w:t>
            </w:r>
          </w:p>
        </w:tc>
        <w:tc>
          <w:tcPr>
            <w:tcW w:w="3221" w:type="dxa"/>
            <w:tcBorders>
              <w:top w:val="single" w:sz="4" w:space="0" w:color="797979"/>
              <w:left w:val="single" w:sz="4" w:space="0" w:color="auto"/>
              <w:bottom w:val="single" w:sz="6" w:space="0" w:color="797979"/>
              <w:right w:val="single" w:sz="6" w:space="0" w:color="797979"/>
            </w:tcBorders>
          </w:tcPr>
          <w:p w14:paraId="3F3CA6D3" w14:textId="77777777" w:rsidR="000324BA" w:rsidRPr="007A5519" w:rsidRDefault="00000000">
            <w:pPr>
              <w:spacing w:after="0" w:line="259" w:lineRule="auto"/>
              <w:ind w:left="0" w:right="4" w:firstLine="0"/>
              <w:jc w:val="center"/>
              <w:rPr>
                <w:sz w:val="28"/>
                <w:szCs w:val="28"/>
              </w:rPr>
            </w:pPr>
            <w:r w:rsidRPr="007A5519">
              <w:rPr>
                <w:b/>
                <w:sz w:val="28"/>
                <w:szCs w:val="28"/>
              </w:rPr>
              <w:t>Resistant (mg/L)</w:t>
            </w:r>
            <w:r w:rsidRPr="007A5519">
              <w:rPr>
                <w:sz w:val="28"/>
                <w:szCs w:val="28"/>
              </w:rPr>
              <w:t xml:space="preserve">  </w:t>
            </w:r>
          </w:p>
        </w:tc>
      </w:tr>
      <w:tr w:rsidR="000324BA" w:rsidRPr="007A5519" w14:paraId="580DA3A1" w14:textId="77777777" w:rsidTr="007A5519">
        <w:trPr>
          <w:gridBefore w:val="1"/>
          <w:wBefore w:w="711" w:type="dxa"/>
          <w:trHeight w:val="374"/>
          <w:jc w:val="center"/>
        </w:trPr>
        <w:tc>
          <w:tcPr>
            <w:tcW w:w="2398" w:type="dxa"/>
            <w:tcBorders>
              <w:top w:val="single" w:sz="6" w:space="0" w:color="797979"/>
              <w:left w:val="single" w:sz="4" w:space="0" w:color="797979"/>
              <w:bottom w:val="single" w:sz="6" w:space="0" w:color="797979"/>
              <w:right w:val="single" w:sz="4" w:space="0" w:color="auto"/>
            </w:tcBorders>
          </w:tcPr>
          <w:p w14:paraId="5A71CAE3" w14:textId="77777777" w:rsidR="000324BA" w:rsidRPr="007A5519" w:rsidRDefault="00000000">
            <w:pPr>
              <w:spacing w:after="0" w:line="259" w:lineRule="auto"/>
              <w:ind w:left="0" w:firstLine="0"/>
              <w:rPr>
                <w:sz w:val="28"/>
                <w:szCs w:val="28"/>
              </w:rPr>
            </w:pPr>
            <w:r w:rsidRPr="007A5519">
              <w:rPr>
                <w:i/>
                <w:sz w:val="28"/>
                <w:szCs w:val="28"/>
              </w:rPr>
              <w:t>Staphylococcus spp.</w:t>
            </w:r>
            <w:r w:rsidRPr="007A5519">
              <w:rPr>
                <w:sz w:val="28"/>
                <w:szCs w:val="28"/>
              </w:rPr>
              <w:t xml:space="preserve">  </w:t>
            </w:r>
          </w:p>
        </w:tc>
        <w:tc>
          <w:tcPr>
            <w:tcW w:w="3125" w:type="dxa"/>
            <w:tcBorders>
              <w:top w:val="single" w:sz="4" w:space="0" w:color="auto"/>
              <w:left w:val="single" w:sz="4" w:space="0" w:color="auto"/>
              <w:bottom w:val="single" w:sz="4" w:space="0" w:color="auto"/>
              <w:right w:val="single" w:sz="4" w:space="0" w:color="auto"/>
            </w:tcBorders>
          </w:tcPr>
          <w:p w14:paraId="5A8139C9" w14:textId="77777777" w:rsidR="000324BA" w:rsidRPr="007A5519" w:rsidRDefault="00000000">
            <w:pPr>
              <w:spacing w:after="0" w:line="259" w:lineRule="auto"/>
              <w:ind w:left="0" w:right="7" w:firstLine="0"/>
              <w:jc w:val="center"/>
              <w:rPr>
                <w:sz w:val="28"/>
                <w:szCs w:val="28"/>
              </w:rPr>
            </w:pPr>
            <w:r w:rsidRPr="007A5519">
              <w:rPr>
                <w:rFonts w:eastAsia="Calibri"/>
                <w:sz w:val="28"/>
                <w:szCs w:val="28"/>
              </w:rPr>
              <w:t>≤</w:t>
            </w:r>
            <w:r w:rsidRPr="007A5519">
              <w:rPr>
                <w:sz w:val="28"/>
                <w:szCs w:val="28"/>
              </w:rPr>
              <w:t xml:space="preserve">1  </w:t>
            </w:r>
          </w:p>
        </w:tc>
        <w:tc>
          <w:tcPr>
            <w:tcW w:w="3221" w:type="dxa"/>
            <w:tcBorders>
              <w:top w:val="single" w:sz="6" w:space="0" w:color="797979"/>
              <w:left w:val="single" w:sz="4" w:space="0" w:color="auto"/>
              <w:bottom w:val="single" w:sz="6" w:space="0" w:color="797979"/>
              <w:right w:val="single" w:sz="6" w:space="0" w:color="797979"/>
            </w:tcBorders>
          </w:tcPr>
          <w:p w14:paraId="2A92AD43" w14:textId="77777777" w:rsidR="000324BA" w:rsidRPr="007A5519" w:rsidRDefault="00000000">
            <w:pPr>
              <w:spacing w:after="0" w:line="259" w:lineRule="auto"/>
              <w:ind w:left="0" w:right="6" w:firstLine="0"/>
              <w:jc w:val="center"/>
              <w:rPr>
                <w:sz w:val="28"/>
                <w:szCs w:val="28"/>
              </w:rPr>
            </w:pPr>
            <w:r w:rsidRPr="007A5519">
              <w:rPr>
                <w:sz w:val="28"/>
                <w:szCs w:val="28"/>
              </w:rPr>
              <w:t xml:space="preserve">&gt;2  </w:t>
            </w:r>
          </w:p>
        </w:tc>
      </w:tr>
      <w:tr w:rsidR="000324BA" w:rsidRPr="007A5519" w14:paraId="432A626D" w14:textId="77777777" w:rsidTr="007A5519">
        <w:trPr>
          <w:gridBefore w:val="1"/>
          <w:wBefore w:w="711" w:type="dxa"/>
          <w:trHeight w:val="629"/>
          <w:jc w:val="center"/>
        </w:trPr>
        <w:tc>
          <w:tcPr>
            <w:tcW w:w="2398" w:type="dxa"/>
            <w:tcBorders>
              <w:top w:val="single" w:sz="6" w:space="0" w:color="797979"/>
              <w:left w:val="single" w:sz="4" w:space="0" w:color="797979"/>
              <w:bottom w:val="single" w:sz="6" w:space="0" w:color="797979"/>
              <w:right w:val="single" w:sz="4" w:space="0" w:color="auto"/>
            </w:tcBorders>
          </w:tcPr>
          <w:p w14:paraId="1E4B2B7C" w14:textId="77777777" w:rsidR="000324BA" w:rsidRPr="007A5519" w:rsidRDefault="00000000">
            <w:pPr>
              <w:spacing w:after="0" w:line="259" w:lineRule="auto"/>
              <w:ind w:left="0" w:firstLine="0"/>
              <w:rPr>
                <w:sz w:val="28"/>
                <w:szCs w:val="28"/>
              </w:rPr>
            </w:pPr>
            <w:r w:rsidRPr="007A5519">
              <w:rPr>
                <w:i/>
                <w:sz w:val="28"/>
                <w:szCs w:val="28"/>
              </w:rPr>
              <w:t>Streptococcus groups A,B,C,G</w:t>
            </w:r>
            <w:r w:rsidRPr="007A5519">
              <w:rPr>
                <w:sz w:val="28"/>
                <w:szCs w:val="28"/>
              </w:rPr>
              <w:t xml:space="preserve">  </w:t>
            </w:r>
          </w:p>
        </w:tc>
        <w:tc>
          <w:tcPr>
            <w:tcW w:w="3125" w:type="dxa"/>
            <w:tcBorders>
              <w:top w:val="single" w:sz="4" w:space="0" w:color="auto"/>
              <w:left w:val="single" w:sz="4" w:space="0" w:color="auto"/>
              <w:bottom w:val="single" w:sz="4" w:space="0" w:color="auto"/>
              <w:right w:val="single" w:sz="4" w:space="0" w:color="auto"/>
            </w:tcBorders>
          </w:tcPr>
          <w:p w14:paraId="44CFFF46" w14:textId="77777777" w:rsidR="000324BA" w:rsidRPr="007A5519" w:rsidRDefault="00000000">
            <w:pPr>
              <w:spacing w:after="0" w:line="259" w:lineRule="auto"/>
              <w:ind w:left="0" w:right="9" w:firstLine="0"/>
              <w:jc w:val="center"/>
              <w:rPr>
                <w:sz w:val="28"/>
                <w:szCs w:val="28"/>
              </w:rPr>
            </w:pPr>
            <w:r w:rsidRPr="007A5519">
              <w:rPr>
                <w:rFonts w:eastAsia="Calibri"/>
                <w:sz w:val="28"/>
                <w:szCs w:val="28"/>
              </w:rPr>
              <w:t>≤</w:t>
            </w:r>
            <w:r w:rsidRPr="007A5519">
              <w:rPr>
                <w:sz w:val="28"/>
                <w:szCs w:val="28"/>
              </w:rPr>
              <w:t xml:space="preserve"> 0.25  </w:t>
            </w:r>
          </w:p>
        </w:tc>
        <w:tc>
          <w:tcPr>
            <w:tcW w:w="3221" w:type="dxa"/>
            <w:tcBorders>
              <w:top w:val="single" w:sz="6" w:space="0" w:color="797979"/>
              <w:left w:val="single" w:sz="4" w:space="0" w:color="auto"/>
              <w:bottom w:val="single" w:sz="6" w:space="0" w:color="797979"/>
              <w:right w:val="single" w:sz="6" w:space="0" w:color="797979"/>
            </w:tcBorders>
          </w:tcPr>
          <w:p w14:paraId="7A81085A" w14:textId="77777777" w:rsidR="000324BA" w:rsidRPr="007A5519" w:rsidRDefault="00000000">
            <w:pPr>
              <w:spacing w:after="0" w:line="259" w:lineRule="auto"/>
              <w:ind w:left="0" w:right="3" w:firstLine="0"/>
              <w:jc w:val="center"/>
              <w:rPr>
                <w:sz w:val="28"/>
                <w:szCs w:val="28"/>
              </w:rPr>
            </w:pPr>
            <w:r w:rsidRPr="007A5519">
              <w:rPr>
                <w:sz w:val="28"/>
                <w:szCs w:val="28"/>
              </w:rPr>
              <w:t xml:space="preserve">&gt; 0.5  </w:t>
            </w:r>
          </w:p>
        </w:tc>
      </w:tr>
      <w:tr w:rsidR="000324BA" w:rsidRPr="007A5519" w14:paraId="498D755E" w14:textId="77777777" w:rsidTr="007A5519">
        <w:trPr>
          <w:gridBefore w:val="1"/>
          <w:wBefore w:w="711" w:type="dxa"/>
          <w:trHeight w:val="379"/>
          <w:jc w:val="center"/>
        </w:trPr>
        <w:tc>
          <w:tcPr>
            <w:tcW w:w="2398" w:type="dxa"/>
            <w:tcBorders>
              <w:top w:val="single" w:sz="6" w:space="0" w:color="797979"/>
              <w:left w:val="single" w:sz="4" w:space="0" w:color="797979"/>
              <w:bottom w:val="single" w:sz="6" w:space="0" w:color="797979"/>
              <w:right w:val="single" w:sz="4" w:space="0" w:color="auto"/>
            </w:tcBorders>
          </w:tcPr>
          <w:p w14:paraId="4C0EC17E" w14:textId="77777777" w:rsidR="000324BA" w:rsidRPr="007A5519" w:rsidRDefault="00000000">
            <w:pPr>
              <w:spacing w:after="0" w:line="259" w:lineRule="auto"/>
              <w:ind w:left="0" w:firstLine="0"/>
              <w:jc w:val="both"/>
              <w:rPr>
                <w:sz w:val="28"/>
                <w:szCs w:val="28"/>
              </w:rPr>
            </w:pPr>
            <w:r w:rsidRPr="007A5519">
              <w:rPr>
                <w:i/>
                <w:sz w:val="28"/>
                <w:szCs w:val="28"/>
              </w:rPr>
              <w:t>Streptococcus pneumoniae</w:t>
            </w:r>
            <w:r w:rsidRPr="007A5519">
              <w:rPr>
                <w:sz w:val="28"/>
                <w:szCs w:val="28"/>
              </w:rPr>
              <w:t xml:space="preserve">  </w:t>
            </w:r>
          </w:p>
        </w:tc>
        <w:tc>
          <w:tcPr>
            <w:tcW w:w="3125" w:type="dxa"/>
            <w:tcBorders>
              <w:top w:val="single" w:sz="4" w:space="0" w:color="auto"/>
              <w:left w:val="single" w:sz="4" w:space="0" w:color="auto"/>
              <w:bottom w:val="single" w:sz="4" w:space="0" w:color="auto"/>
              <w:right w:val="single" w:sz="4" w:space="0" w:color="auto"/>
            </w:tcBorders>
          </w:tcPr>
          <w:p w14:paraId="6D21ED11" w14:textId="77777777" w:rsidR="000324BA" w:rsidRPr="007A5519" w:rsidRDefault="00000000">
            <w:pPr>
              <w:spacing w:after="0" w:line="259" w:lineRule="auto"/>
              <w:ind w:left="0" w:right="9" w:firstLine="0"/>
              <w:jc w:val="center"/>
              <w:rPr>
                <w:sz w:val="28"/>
                <w:szCs w:val="28"/>
              </w:rPr>
            </w:pPr>
            <w:r w:rsidRPr="007A5519">
              <w:rPr>
                <w:rFonts w:eastAsia="Calibri"/>
                <w:sz w:val="28"/>
                <w:szCs w:val="28"/>
              </w:rPr>
              <w:t>≤</w:t>
            </w:r>
            <w:r w:rsidRPr="007A5519">
              <w:rPr>
                <w:sz w:val="28"/>
                <w:szCs w:val="28"/>
              </w:rPr>
              <w:t xml:space="preserve"> 0.25  </w:t>
            </w:r>
          </w:p>
        </w:tc>
        <w:tc>
          <w:tcPr>
            <w:tcW w:w="3221" w:type="dxa"/>
            <w:tcBorders>
              <w:top w:val="single" w:sz="6" w:space="0" w:color="797979"/>
              <w:left w:val="single" w:sz="4" w:space="0" w:color="auto"/>
              <w:bottom w:val="single" w:sz="6" w:space="0" w:color="797979"/>
              <w:right w:val="single" w:sz="6" w:space="0" w:color="797979"/>
            </w:tcBorders>
          </w:tcPr>
          <w:p w14:paraId="49908D67" w14:textId="77777777" w:rsidR="000324BA" w:rsidRPr="007A5519" w:rsidRDefault="00000000">
            <w:pPr>
              <w:spacing w:after="0" w:line="259" w:lineRule="auto"/>
              <w:ind w:left="0" w:right="3" w:firstLine="0"/>
              <w:jc w:val="center"/>
              <w:rPr>
                <w:sz w:val="28"/>
                <w:szCs w:val="28"/>
              </w:rPr>
            </w:pPr>
            <w:r w:rsidRPr="007A5519">
              <w:rPr>
                <w:sz w:val="28"/>
                <w:szCs w:val="28"/>
              </w:rPr>
              <w:t xml:space="preserve">&gt; 0.5  </w:t>
            </w:r>
          </w:p>
        </w:tc>
      </w:tr>
      <w:tr w:rsidR="000324BA" w:rsidRPr="007A5519" w14:paraId="4173811D" w14:textId="77777777" w:rsidTr="007A5519">
        <w:trPr>
          <w:gridBefore w:val="1"/>
          <w:wBefore w:w="711" w:type="dxa"/>
          <w:trHeight w:val="377"/>
          <w:jc w:val="center"/>
        </w:trPr>
        <w:tc>
          <w:tcPr>
            <w:tcW w:w="2398" w:type="dxa"/>
            <w:tcBorders>
              <w:top w:val="single" w:sz="6" w:space="0" w:color="797979"/>
              <w:left w:val="single" w:sz="4" w:space="0" w:color="797979"/>
              <w:bottom w:val="single" w:sz="4" w:space="0" w:color="797979"/>
              <w:right w:val="single" w:sz="4" w:space="0" w:color="auto"/>
            </w:tcBorders>
          </w:tcPr>
          <w:p w14:paraId="52DC85E4" w14:textId="77777777" w:rsidR="000324BA" w:rsidRPr="007A5519" w:rsidRDefault="00000000">
            <w:pPr>
              <w:spacing w:after="0" w:line="259" w:lineRule="auto"/>
              <w:ind w:left="0" w:firstLine="0"/>
              <w:rPr>
                <w:sz w:val="28"/>
                <w:szCs w:val="28"/>
              </w:rPr>
            </w:pPr>
            <w:r w:rsidRPr="007A5519">
              <w:rPr>
                <w:i/>
                <w:sz w:val="28"/>
                <w:szCs w:val="28"/>
              </w:rPr>
              <w:t>Haemophilus influenzae</w:t>
            </w:r>
            <w:r w:rsidRPr="007A5519">
              <w:rPr>
                <w:sz w:val="28"/>
                <w:szCs w:val="28"/>
              </w:rPr>
              <w:t xml:space="preserve">  </w:t>
            </w:r>
          </w:p>
        </w:tc>
        <w:tc>
          <w:tcPr>
            <w:tcW w:w="3125" w:type="dxa"/>
            <w:tcBorders>
              <w:top w:val="single" w:sz="4" w:space="0" w:color="auto"/>
              <w:left w:val="single" w:sz="4" w:space="0" w:color="auto"/>
              <w:bottom w:val="single" w:sz="4" w:space="0" w:color="auto"/>
              <w:right w:val="single" w:sz="4" w:space="0" w:color="auto"/>
            </w:tcBorders>
          </w:tcPr>
          <w:p w14:paraId="7109677F" w14:textId="77777777" w:rsidR="000324BA" w:rsidRPr="007A5519" w:rsidRDefault="00000000">
            <w:pPr>
              <w:spacing w:after="0" w:line="259" w:lineRule="auto"/>
              <w:ind w:left="0" w:right="8" w:firstLine="0"/>
              <w:jc w:val="center"/>
              <w:rPr>
                <w:sz w:val="28"/>
                <w:szCs w:val="28"/>
              </w:rPr>
            </w:pPr>
            <w:r w:rsidRPr="007A5519">
              <w:rPr>
                <w:sz w:val="28"/>
                <w:szCs w:val="28"/>
              </w:rPr>
              <w:t>Note</w:t>
            </w:r>
            <w:r w:rsidRPr="007A5519">
              <w:rPr>
                <w:sz w:val="28"/>
                <w:szCs w:val="28"/>
                <w:vertAlign w:val="superscript"/>
              </w:rPr>
              <w:t>1)</w:t>
            </w:r>
            <w:r w:rsidRPr="007A5519">
              <w:rPr>
                <w:sz w:val="28"/>
                <w:szCs w:val="28"/>
              </w:rPr>
              <w:t xml:space="preserve">  </w:t>
            </w:r>
          </w:p>
        </w:tc>
        <w:tc>
          <w:tcPr>
            <w:tcW w:w="3221" w:type="dxa"/>
            <w:tcBorders>
              <w:top w:val="single" w:sz="6" w:space="0" w:color="797979"/>
              <w:left w:val="single" w:sz="4" w:space="0" w:color="auto"/>
              <w:bottom w:val="single" w:sz="4" w:space="0" w:color="797979"/>
              <w:right w:val="single" w:sz="6" w:space="0" w:color="797979"/>
            </w:tcBorders>
          </w:tcPr>
          <w:p w14:paraId="10D47404" w14:textId="77777777" w:rsidR="000324BA" w:rsidRPr="007A5519" w:rsidRDefault="00000000">
            <w:pPr>
              <w:spacing w:after="0" w:line="259" w:lineRule="auto"/>
              <w:ind w:left="0" w:right="7" w:firstLine="0"/>
              <w:jc w:val="center"/>
              <w:rPr>
                <w:sz w:val="28"/>
                <w:szCs w:val="28"/>
              </w:rPr>
            </w:pPr>
            <w:r w:rsidRPr="007A5519">
              <w:rPr>
                <w:sz w:val="28"/>
                <w:szCs w:val="28"/>
              </w:rPr>
              <w:t>Note</w:t>
            </w:r>
            <w:r w:rsidRPr="007A5519">
              <w:rPr>
                <w:sz w:val="28"/>
                <w:szCs w:val="28"/>
                <w:vertAlign w:val="superscript"/>
              </w:rPr>
              <w:t>1)</w:t>
            </w:r>
            <w:r w:rsidRPr="007A5519">
              <w:rPr>
                <w:sz w:val="28"/>
                <w:szCs w:val="28"/>
              </w:rPr>
              <w:t xml:space="preserve">  </w:t>
            </w:r>
          </w:p>
        </w:tc>
      </w:tr>
      <w:tr w:rsidR="000324BA" w:rsidRPr="007A5519" w14:paraId="0236BD23" w14:textId="77777777" w:rsidTr="007A5519">
        <w:tblPrEx>
          <w:tblCellMar>
            <w:top w:w="44" w:type="dxa"/>
            <w:left w:w="7" w:type="dxa"/>
            <w:right w:w="7" w:type="dxa"/>
          </w:tblCellMar>
        </w:tblPrEx>
        <w:trPr>
          <w:trHeight w:val="377"/>
          <w:jc w:val="center"/>
        </w:trPr>
        <w:tc>
          <w:tcPr>
            <w:tcW w:w="715" w:type="dxa"/>
            <w:vMerge w:val="restart"/>
            <w:tcBorders>
              <w:top w:val="nil"/>
              <w:left w:val="nil"/>
              <w:right w:val="single" w:sz="4" w:space="0" w:color="797979"/>
            </w:tcBorders>
          </w:tcPr>
          <w:p w14:paraId="072D1034" w14:textId="77777777" w:rsidR="000324BA" w:rsidRPr="007A5519" w:rsidRDefault="000324BA">
            <w:pPr>
              <w:spacing w:after="160" w:line="259" w:lineRule="auto"/>
              <w:ind w:left="0" w:firstLine="0"/>
              <w:rPr>
                <w:sz w:val="28"/>
                <w:szCs w:val="28"/>
              </w:rPr>
            </w:pPr>
          </w:p>
        </w:tc>
        <w:tc>
          <w:tcPr>
            <w:tcW w:w="2398" w:type="dxa"/>
            <w:tcBorders>
              <w:top w:val="single" w:sz="4" w:space="0" w:color="797979"/>
              <w:left w:val="single" w:sz="4" w:space="0" w:color="797979"/>
              <w:bottom w:val="single" w:sz="6" w:space="0" w:color="797979"/>
              <w:right w:val="single" w:sz="4" w:space="0" w:color="auto"/>
            </w:tcBorders>
          </w:tcPr>
          <w:p w14:paraId="66D3461F" w14:textId="77777777" w:rsidR="000324BA" w:rsidRPr="007A5519" w:rsidRDefault="00000000">
            <w:pPr>
              <w:spacing w:after="0" w:line="259" w:lineRule="auto"/>
              <w:ind w:left="16" w:firstLine="0"/>
              <w:rPr>
                <w:sz w:val="28"/>
                <w:szCs w:val="28"/>
              </w:rPr>
            </w:pPr>
            <w:r w:rsidRPr="007A5519">
              <w:rPr>
                <w:i/>
                <w:sz w:val="28"/>
                <w:szCs w:val="28"/>
              </w:rPr>
              <w:t>Moraxella catarrhalis</w:t>
            </w:r>
            <w:r w:rsidRPr="007A5519">
              <w:rPr>
                <w:sz w:val="28"/>
                <w:szCs w:val="28"/>
              </w:rPr>
              <w:t xml:space="preserve">  </w:t>
            </w:r>
          </w:p>
        </w:tc>
        <w:tc>
          <w:tcPr>
            <w:tcW w:w="3125" w:type="dxa"/>
            <w:tcBorders>
              <w:top w:val="single" w:sz="4" w:space="0" w:color="auto"/>
              <w:left w:val="single" w:sz="4" w:space="0" w:color="auto"/>
              <w:bottom w:val="single" w:sz="4" w:space="0" w:color="auto"/>
              <w:right w:val="single" w:sz="4" w:space="0" w:color="auto"/>
            </w:tcBorders>
          </w:tcPr>
          <w:p w14:paraId="52360C0C" w14:textId="505EA93C" w:rsidR="000324BA" w:rsidRPr="007A5519" w:rsidRDefault="007A5519" w:rsidP="007A5519">
            <w:pPr>
              <w:spacing w:after="0" w:line="259" w:lineRule="auto"/>
              <w:ind w:left="0" w:firstLine="0"/>
              <w:jc w:val="center"/>
              <w:rPr>
                <w:sz w:val="28"/>
                <w:szCs w:val="28"/>
              </w:rPr>
            </w:pPr>
            <w:r w:rsidRPr="007A5519">
              <w:rPr>
                <w:rFonts w:eastAsia="Calibri"/>
                <w:sz w:val="28"/>
                <w:szCs w:val="28"/>
              </w:rPr>
              <w:t>≤</w:t>
            </w:r>
            <w:r w:rsidRPr="007A5519">
              <w:rPr>
                <w:sz w:val="28"/>
                <w:szCs w:val="28"/>
              </w:rPr>
              <w:t xml:space="preserve"> 0.25</w:t>
            </w:r>
          </w:p>
        </w:tc>
        <w:tc>
          <w:tcPr>
            <w:tcW w:w="3221" w:type="dxa"/>
            <w:tcBorders>
              <w:top w:val="single" w:sz="4" w:space="0" w:color="797979"/>
              <w:left w:val="single" w:sz="4" w:space="0" w:color="auto"/>
              <w:bottom w:val="single" w:sz="6" w:space="0" w:color="797979"/>
              <w:right w:val="single" w:sz="6" w:space="0" w:color="797979"/>
            </w:tcBorders>
          </w:tcPr>
          <w:p w14:paraId="7E78FAB4" w14:textId="77777777" w:rsidR="000324BA" w:rsidRPr="007A5519" w:rsidRDefault="00000000">
            <w:pPr>
              <w:spacing w:after="0" w:line="259" w:lineRule="auto"/>
              <w:ind w:left="5" w:firstLine="0"/>
              <w:jc w:val="center"/>
              <w:rPr>
                <w:sz w:val="28"/>
                <w:szCs w:val="28"/>
              </w:rPr>
            </w:pPr>
            <w:r w:rsidRPr="007A5519">
              <w:rPr>
                <w:sz w:val="28"/>
                <w:szCs w:val="28"/>
              </w:rPr>
              <w:t xml:space="preserve">&gt; 0.5  </w:t>
            </w:r>
          </w:p>
        </w:tc>
      </w:tr>
      <w:tr w:rsidR="000324BA" w:rsidRPr="007A5519" w14:paraId="3C78BB07" w14:textId="77777777" w:rsidTr="007A5519">
        <w:tblPrEx>
          <w:tblCellMar>
            <w:top w:w="44" w:type="dxa"/>
            <w:left w:w="7" w:type="dxa"/>
            <w:right w:w="7" w:type="dxa"/>
          </w:tblCellMar>
        </w:tblPrEx>
        <w:trPr>
          <w:trHeight w:val="379"/>
          <w:jc w:val="center"/>
        </w:trPr>
        <w:tc>
          <w:tcPr>
            <w:tcW w:w="0" w:type="auto"/>
            <w:vMerge/>
            <w:tcBorders>
              <w:top w:val="single" w:sz="4" w:space="0" w:color="auto"/>
              <w:left w:val="nil"/>
              <w:right w:val="single" w:sz="4" w:space="0" w:color="797979"/>
            </w:tcBorders>
          </w:tcPr>
          <w:p w14:paraId="090290DB" w14:textId="77777777" w:rsidR="000324BA" w:rsidRPr="007A5519" w:rsidRDefault="000324BA">
            <w:pPr>
              <w:spacing w:after="160" w:line="259" w:lineRule="auto"/>
              <w:ind w:left="0" w:firstLine="0"/>
              <w:rPr>
                <w:sz w:val="28"/>
                <w:szCs w:val="28"/>
              </w:rPr>
            </w:pPr>
          </w:p>
        </w:tc>
        <w:tc>
          <w:tcPr>
            <w:tcW w:w="2398" w:type="dxa"/>
            <w:tcBorders>
              <w:top w:val="single" w:sz="6" w:space="0" w:color="797979"/>
              <w:left w:val="single" w:sz="4" w:space="0" w:color="797979"/>
              <w:bottom w:val="single" w:sz="6" w:space="0" w:color="797979"/>
              <w:right w:val="single" w:sz="4" w:space="0" w:color="auto"/>
            </w:tcBorders>
          </w:tcPr>
          <w:p w14:paraId="427BCA52" w14:textId="77777777" w:rsidR="000324BA" w:rsidRPr="007A5519" w:rsidRDefault="00000000">
            <w:pPr>
              <w:spacing w:after="0" w:line="259" w:lineRule="auto"/>
              <w:ind w:left="16" w:firstLine="0"/>
              <w:rPr>
                <w:sz w:val="28"/>
                <w:szCs w:val="28"/>
              </w:rPr>
            </w:pPr>
            <w:r w:rsidRPr="007A5519">
              <w:rPr>
                <w:i/>
                <w:sz w:val="28"/>
                <w:szCs w:val="28"/>
              </w:rPr>
              <w:t>Campylobacter jejuni</w:t>
            </w:r>
            <w:r w:rsidRPr="007A5519">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14:paraId="220D956E" w14:textId="78FE011D" w:rsidR="000324BA" w:rsidRPr="007A5519" w:rsidRDefault="007A5519" w:rsidP="007A5519">
            <w:pPr>
              <w:spacing w:after="160" w:line="259" w:lineRule="auto"/>
              <w:ind w:left="0" w:firstLine="0"/>
              <w:jc w:val="center"/>
              <w:rPr>
                <w:sz w:val="28"/>
                <w:szCs w:val="28"/>
              </w:rPr>
            </w:pPr>
            <w:r w:rsidRPr="007A5519">
              <w:rPr>
                <w:rFonts w:eastAsia="Calibri"/>
                <w:sz w:val="28"/>
                <w:szCs w:val="28"/>
              </w:rPr>
              <w:t>≤</w:t>
            </w:r>
            <w:r w:rsidRPr="007A5519">
              <w:rPr>
                <w:sz w:val="28"/>
                <w:szCs w:val="28"/>
              </w:rPr>
              <w:t xml:space="preserve"> </w:t>
            </w:r>
            <w:r>
              <w:rPr>
                <w:sz w:val="28"/>
                <w:szCs w:val="28"/>
              </w:rPr>
              <w:t>4</w:t>
            </w:r>
          </w:p>
        </w:tc>
        <w:tc>
          <w:tcPr>
            <w:tcW w:w="3221" w:type="dxa"/>
            <w:tcBorders>
              <w:top w:val="single" w:sz="6" w:space="0" w:color="797979"/>
              <w:left w:val="single" w:sz="4" w:space="0" w:color="auto"/>
              <w:bottom w:val="single" w:sz="6" w:space="0" w:color="797979"/>
              <w:right w:val="single" w:sz="6" w:space="0" w:color="797979"/>
            </w:tcBorders>
          </w:tcPr>
          <w:p w14:paraId="7E2A6BDB" w14:textId="77777777" w:rsidR="000324BA" w:rsidRPr="007A5519" w:rsidRDefault="00000000">
            <w:pPr>
              <w:spacing w:after="0" w:line="259" w:lineRule="auto"/>
              <w:ind w:left="8" w:firstLine="0"/>
              <w:jc w:val="center"/>
              <w:rPr>
                <w:sz w:val="28"/>
                <w:szCs w:val="28"/>
              </w:rPr>
            </w:pPr>
            <w:r w:rsidRPr="007A5519">
              <w:rPr>
                <w:sz w:val="28"/>
                <w:szCs w:val="28"/>
              </w:rPr>
              <w:t xml:space="preserve">&gt; 4  </w:t>
            </w:r>
          </w:p>
        </w:tc>
      </w:tr>
      <w:tr w:rsidR="000324BA" w:rsidRPr="007A5519" w14:paraId="612A9BB6" w14:textId="77777777" w:rsidTr="007A5519">
        <w:tblPrEx>
          <w:tblCellMar>
            <w:top w:w="44" w:type="dxa"/>
            <w:left w:w="7" w:type="dxa"/>
            <w:right w:w="7" w:type="dxa"/>
          </w:tblCellMar>
        </w:tblPrEx>
        <w:trPr>
          <w:trHeight w:val="377"/>
          <w:jc w:val="center"/>
        </w:trPr>
        <w:tc>
          <w:tcPr>
            <w:tcW w:w="0" w:type="auto"/>
            <w:vMerge/>
            <w:tcBorders>
              <w:top w:val="single" w:sz="4" w:space="0" w:color="auto"/>
              <w:left w:val="nil"/>
              <w:right w:val="single" w:sz="4" w:space="0" w:color="797979"/>
            </w:tcBorders>
          </w:tcPr>
          <w:p w14:paraId="7EABC8CA" w14:textId="77777777" w:rsidR="000324BA" w:rsidRPr="007A5519" w:rsidRDefault="000324BA">
            <w:pPr>
              <w:spacing w:after="160" w:line="259" w:lineRule="auto"/>
              <w:ind w:left="0" w:firstLine="0"/>
              <w:rPr>
                <w:sz w:val="28"/>
                <w:szCs w:val="28"/>
              </w:rPr>
            </w:pPr>
          </w:p>
        </w:tc>
        <w:tc>
          <w:tcPr>
            <w:tcW w:w="2398" w:type="dxa"/>
            <w:tcBorders>
              <w:top w:val="single" w:sz="6" w:space="0" w:color="797979"/>
              <w:left w:val="single" w:sz="4" w:space="0" w:color="797979"/>
              <w:bottom w:val="single" w:sz="4" w:space="0" w:color="797979"/>
              <w:right w:val="single" w:sz="4" w:space="0" w:color="auto"/>
            </w:tcBorders>
          </w:tcPr>
          <w:p w14:paraId="1F42F801" w14:textId="77777777" w:rsidR="000324BA" w:rsidRPr="007A5519" w:rsidRDefault="00000000">
            <w:pPr>
              <w:spacing w:after="0" w:line="259" w:lineRule="auto"/>
              <w:ind w:left="16" w:firstLine="0"/>
              <w:rPr>
                <w:sz w:val="28"/>
                <w:szCs w:val="28"/>
              </w:rPr>
            </w:pPr>
            <w:r w:rsidRPr="007A5519">
              <w:rPr>
                <w:i/>
                <w:sz w:val="28"/>
                <w:szCs w:val="28"/>
              </w:rPr>
              <w:t>Campylobacter coli</w:t>
            </w:r>
            <w:r w:rsidRPr="007A5519">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14:paraId="6730F330" w14:textId="0082EE57" w:rsidR="000324BA" w:rsidRPr="007A5519" w:rsidRDefault="007A5519" w:rsidP="007A5519">
            <w:pPr>
              <w:spacing w:after="160" w:line="259" w:lineRule="auto"/>
              <w:ind w:left="0" w:firstLine="0"/>
              <w:jc w:val="center"/>
              <w:rPr>
                <w:sz w:val="28"/>
                <w:szCs w:val="28"/>
              </w:rPr>
            </w:pPr>
            <w:r w:rsidRPr="007A5519">
              <w:rPr>
                <w:rFonts w:eastAsia="Calibri"/>
                <w:sz w:val="28"/>
                <w:szCs w:val="28"/>
              </w:rPr>
              <w:t>≤</w:t>
            </w:r>
            <w:r w:rsidRPr="007A5519">
              <w:rPr>
                <w:sz w:val="28"/>
                <w:szCs w:val="28"/>
              </w:rPr>
              <w:t xml:space="preserve"> </w:t>
            </w:r>
            <w:r>
              <w:rPr>
                <w:sz w:val="28"/>
                <w:szCs w:val="28"/>
              </w:rPr>
              <w:t>8</w:t>
            </w:r>
          </w:p>
        </w:tc>
        <w:tc>
          <w:tcPr>
            <w:tcW w:w="3221" w:type="dxa"/>
            <w:tcBorders>
              <w:top w:val="single" w:sz="6" w:space="0" w:color="797979"/>
              <w:left w:val="single" w:sz="4" w:space="0" w:color="auto"/>
              <w:bottom w:val="single" w:sz="4" w:space="0" w:color="797979"/>
              <w:right w:val="single" w:sz="6" w:space="0" w:color="797979"/>
            </w:tcBorders>
          </w:tcPr>
          <w:p w14:paraId="5BEE5473" w14:textId="77777777" w:rsidR="000324BA" w:rsidRPr="007A5519" w:rsidRDefault="00000000">
            <w:pPr>
              <w:spacing w:after="0" w:line="259" w:lineRule="auto"/>
              <w:ind w:left="8" w:firstLine="0"/>
              <w:jc w:val="center"/>
              <w:rPr>
                <w:sz w:val="28"/>
                <w:szCs w:val="28"/>
              </w:rPr>
            </w:pPr>
            <w:r w:rsidRPr="007A5519">
              <w:rPr>
                <w:sz w:val="28"/>
                <w:szCs w:val="28"/>
              </w:rPr>
              <w:t xml:space="preserve">&gt; 8  </w:t>
            </w:r>
          </w:p>
        </w:tc>
      </w:tr>
      <w:tr w:rsidR="000324BA" w:rsidRPr="007A5519" w14:paraId="0D2F85A9" w14:textId="77777777" w:rsidTr="007A5519">
        <w:tblPrEx>
          <w:tblCellMar>
            <w:top w:w="44" w:type="dxa"/>
            <w:left w:w="7" w:type="dxa"/>
            <w:right w:w="7" w:type="dxa"/>
          </w:tblCellMar>
        </w:tblPrEx>
        <w:trPr>
          <w:trHeight w:val="646"/>
          <w:jc w:val="center"/>
        </w:trPr>
        <w:tc>
          <w:tcPr>
            <w:tcW w:w="0" w:type="auto"/>
            <w:vMerge/>
            <w:tcBorders>
              <w:top w:val="single" w:sz="4" w:space="0" w:color="auto"/>
              <w:left w:val="nil"/>
              <w:right w:val="single" w:sz="4" w:space="0" w:color="797979"/>
            </w:tcBorders>
          </w:tcPr>
          <w:p w14:paraId="3AA49073" w14:textId="77777777" w:rsidR="000324BA" w:rsidRPr="007A5519" w:rsidRDefault="000324BA">
            <w:pPr>
              <w:spacing w:after="160" w:line="259" w:lineRule="auto"/>
              <w:ind w:left="0" w:firstLine="0"/>
              <w:rPr>
                <w:sz w:val="28"/>
                <w:szCs w:val="28"/>
              </w:rPr>
            </w:pPr>
          </w:p>
        </w:tc>
        <w:tc>
          <w:tcPr>
            <w:tcW w:w="2398" w:type="dxa"/>
            <w:tcBorders>
              <w:top w:val="single" w:sz="4" w:space="0" w:color="797979"/>
              <w:left w:val="single" w:sz="4" w:space="0" w:color="797979"/>
              <w:bottom w:val="single" w:sz="6" w:space="0" w:color="797979"/>
              <w:right w:val="single" w:sz="4" w:space="0" w:color="auto"/>
            </w:tcBorders>
          </w:tcPr>
          <w:p w14:paraId="564664DE" w14:textId="77777777" w:rsidR="000324BA" w:rsidRPr="007A5519" w:rsidRDefault="00000000">
            <w:pPr>
              <w:spacing w:after="0" w:line="259" w:lineRule="auto"/>
              <w:ind w:left="16" w:firstLine="0"/>
              <w:rPr>
                <w:sz w:val="28"/>
                <w:szCs w:val="28"/>
              </w:rPr>
            </w:pPr>
            <w:r w:rsidRPr="007A5519">
              <w:rPr>
                <w:i/>
                <w:sz w:val="28"/>
                <w:szCs w:val="28"/>
              </w:rPr>
              <w:t>Non species related breakpoints</w:t>
            </w:r>
            <w:r w:rsidRPr="007A5519">
              <w:rPr>
                <w:sz w:val="28"/>
                <w:szCs w:val="28"/>
              </w:rPr>
              <w:t xml:space="preserve">  </w:t>
            </w:r>
          </w:p>
        </w:tc>
        <w:tc>
          <w:tcPr>
            <w:tcW w:w="3125" w:type="dxa"/>
            <w:tcBorders>
              <w:top w:val="single" w:sz="4" w:space="0" w:color="auto"/>
              <w:left w:val="single" w:sz="4" w:space="0" w:color="auto"/>
              <w:bottom w:val="single" w:sz="4" w:space="0" w:color="auto"/>
              <w:right w:val="single" w:sz="4" w:space="0" w:color="auto"/>
            </w:tcBorders>
          </w:tcPr>
          <w:p w14:paraId="6598715D" w14:textId="77777777" w:rsidR="000324BA" w:rsidRPr="007A5519" w:rsidRDefault="00000000">
            <w:pPr>
              <w:spacing w:after="0" w:line="259" w:lineRule="auto"/>
              <w:ind w:left="3" w:firstLine="0"/>
              <w:jc w:val="center"/>
              <w:rPr>
                <w:sz w:val="28"/>
                <w:szCs w:val="28"/>
              </w:rPr>
            </w:pPr>
            <w:r w:rsidRPr="007A5519">
              <w:rPr>
                <w:sz w:val="28"/>
                <w:szCs w:val="28"/>
              </w:rPr>
              <w:t xml:space="preserve">IE*  </w:t>
            </w:r>
          </w:p>
        </w:tc>
        <w:tc>
          <w:tcPr>
            <w:tcW w:w="3221" w:type="dxa"/>
            <w:tcBorders>
              <w:top w:val="single" w:sz="4" w:space="0" w:color="797979"/>
              <w:left w:val="single" w:sz="4" w:space="0" w:color="auto"/>
              <w:bottom w:val="single" w:sz="6" w:space="0" w:color="797979"/>
              <w:right w:val="single" w:sz="6" w:space="0" w:color="797979"/>
            </w:tcBorders>
          </w:tcPr>
          <w:p w14:paraId="2441D906" w14:textId="77777777" w:rsidR="000324BA" w:rsidRPr="007A5519" w:rsidRDefault="00000000">
            <w:pPr>
              <w:spacing w:after="0" w:line="259" w:lineRule="auto"/>
              <w:ind w:left="7" w:firstLine="0"/>
              <w:jc w:val="center"/>
              <w:rPr>
                <w:sz w:val="28"/>
                <w:szCs w:val="28"/>
              </w:rPr>
            </w:pPr>
            <w:r w:rsidRPr="007A5519">
              <w:rPr>
                <w:sz w:val="28"/>
                <w:szCs w:val="28"/>
              </w:rPr>
              <w:t xml:space="preserve">IE*  </w:t>
            </w:r>
          </w:p>
        </w:tc>
      </w:tr>
    </w:tbl>
    <w:p w14:paraId="4A8D7337" w14:textId="76967624" w:rsidR="000324BA" w:rsidRPr="00525BD5" w:rsidRDefault="00000000" w:rsidP="007A5519">
      <w:pPr>
        <w:spacing w:before="240" w:after="240" w:line="360" w:lineRule="auto"/>
        <w:ind w:left="697" w:right="102" w:hanging="11"/>
        <w:jc w:val="thaiDistribute"/>
        <w:rPr>
          <w:sz w:val="28"/>
          <w:szCs w:val="28"/>
        </w:rPr>
      </w:pPr>
      <w:r w:rsidRPr="00525BD5">
        <w:rPr>
          <w:i/>
          <w:sz w:val="28"/>
          <w:szCs w:val="28"/>
        </w:rPr>
        <w:t xml:space="preserve">1) Clinical evidence for the efficacy of macrolides in H. influenza respiratory infections is conflicting due to high spontaneous cure rates. Should there be a need to test any macrolide against this species, the </w:t>
      </w:r>
      <w:r w:rsidRPr="00525BD5">
        <w:rPr>
          <w:i/>
          <w:sz w:val="28"/>
          <w:szCs w:val="28"/>
        </w:rPr>
        <w:lastRenderedPageBreak/>
        <w:t>epidemiological cut-offs (ECOFFS) should be used to detect strains with acquired resistance. The ECOFF for erythromycin is 16 mg/l.</w:t>
      </w:r>
      <w:r w:rsidRPr="00525BD5">
        <w:rPr>
          <w:sz w:val="28"/>
          <w:szCs w:val="28"/>
        </w:rPr>
        <w:t xml:space="preserve">  </w:t>
      </w:r>
    </w:p>
    <w:p w14:paraId="2F89D322" w14:textId="77777777" w:rsidR="000324BA" w:rsidRPr="00525BD5" w:rsidRDefault="00000000" w:rsidP="007A5519">
      <w:pPr>
        <w:spacing w:after="240" w:line="360" w:lineRule="auto"/>
        <w:ind w:left="697" w:right="102" w:hanging="11"/>
        <w:jc w:val="thaiDistribute"/>
        <w:rPr>
          <w:sz w:val="28"/>
          <w:szCs w:val="28"/>
        </w:rPr>
      </w:pPr>
      <w:r w:rsidRPr="00525BD5">
        <w:rPr>
          <w:i/>
          <w:sz w:val="28"/>
          <w:szCs w:val="28"/>
        </w:rPr>
        <w:t>*"IE" indicates that there is insufficient evidence that the species in question is a good target for therapy with the drug. A MIC with a comment but without an accompanying S, I or R categorisation may be reported.</w:t>
      </w:r>
      <w:r w:rsidRPr="00525BD5">
        <w:rPr>
          <w:sz w:val="28"/>
          <w:szCs w:val="28"/>
        </w:rPr>
        <w:t xml:space="preserve">  </w:t>
      </w:r>
    </w:p>
    <w:p w14:paraId="55758422" w14:textId="77777777" w:rsidR="000324BA" w:rsidRPr="00525BD5" w:rsidRDefault="00000000" w:rsidP="007A5519">
      <w:pPr>
        <w:spacing w:after="240" w:line="360" w:lineRule="auto"/>
        <w:ind w:left="708" w:right="74" w:hanging="11"/>
        <w:jc w:val="thaiDistribute"/>
        <w:rPr>
          <w:sz w:val="28"/>
          <w:szCs w:val="28"/>
        </w:rPr>
      </w:pPr>
      <w:r w:rsidRPr="00525BD5">
        <w:rPr>
          <w:sz w:val="28"/>
          <w:szCs w:val="28"/>
        </w:rPr>
        <w:t xml:space="preserve">The prevalence of acquired resistance may vary geographically and with time for selected species and local information on resistance is desirable, particularly when treating severe infections. As necessary, expert advice should be sought when the local prevalence of resistance is known and the utility of the agent in at least some types of infections is questionable.  </w:t>
      </w:r>
    </w:p>
    <w:p w14:paraId="5CFCCC49" w14:textId="77777777" w:rsidR="007A5519" w:rsidRPr="007A5519" w:rsidRDefault="00000000" w:rsidP="007A5519">
      <w:pPr>
        <w:pStyle w:val="Heading2"/>
        <w:numPr>
          <w:ilvl w:val="1"/>
          <w:numId w:val="3"/>
        </w:numPr>
        <w:tabs>
          <w:tab w:val="center" w:pos="2133"/>
        </w:tabs>
        <w:spacing w:after="240"/>
        <w:ind w:left="788" w:hanging="431"/>
        <w:rPr>
          <w:sz w:val="28"/>
          <w:szCs w:val="28"/>
        </w:rPr>
      </w:pPr>
      <w:r w:rsidRPr="00525BD5">
        <w:rPr>
          <w:b/>
          <w:sz w:val="28"/>
          <w:szCs w:val="28"/>
          <w:u w:val="none"/>
        </w:rPr>
        <w:t xml:space="preserve">Pharmacokinetic particulars </w:t>
      </w:r>
    </w:p>
    <w:p w14:paraId="04B98658" w14:textId="77777777" w:rsidR="007A5519" w:rsidRDefault="00000000" w:rsidP="007A5519">
      <w:pPr>
        <w:pStyle w:val="Heading2"/>
        <w:tabs>
          <w:tab w:val="center" w:pos="2133"/>
        </w:tabs>
        <w:spacing w:after="240"/>
        <w:ind w:left="794" w:firstLine="0"/>
        <w:rPr>
          <w:sz w:val="28"/>
          <w:szCs w:val="28"/>
        </w:rPr>
      </w:pPr>
      <w:r w:rsidRPr="007A5519">
        <w:rPr>
          <w:sz w:val="28"/>
          <w:szCs w:val="28"/>
        </w:rPr>
        <w:t>Absorption</w:t>
      </w:r>
    </w:p>
    <w:p w14:paraId="6394CC7A" w14:textId="77777777" w:rsidR="007A5519" w:rsidRDefault="00000000" w:rsidP="007A5519">
      <w:pPr>
        <w:pStyle w:val="Heading2"/>
        <w:tabs>
          <w:tab w:val="center" w:pos="2133"/>
        </w:tabs>
        <w:spacing w:after="240"/>
        <w:ind w:left="794" w:firstLine="0"/>
        <w:rPr>
          <w:sz w:val="28"/>
          <w:szCs w:val="28"/>
          <w:u w:val="none"/>
        </w:rPr>
      </w:pPr>
      <w:r w:rsidRPr="00525BD5">
        <w:rPr>
          <w:sz w:val="28"/>
          <w:szCs w:val="28"/>
        </w:rPr>
        <w:tab/>
      </w:r>
      <w:r w:rsidRPr="007A5519">
        <w:rPr>
          <w:sz w:val="28"/>
          <w:szCs w:val="28"/>
          <w:u w:val="none"/>
        </w:rPr>
        <w:t>It is absorbed from the small intestine.</w:t>
      </w:r>
    </w:p>
    <w:p w14:paraId="5B3F6E09" w14:textId="77777777" w:rsidR="007A5519" w:rsidRDefault="00000000" w:rsidP="007A5519">
      <w:pPr>
        <w:pStyle w:val="Heading2"/>
        <w:tabs>
          <w:tab w:val="center" w:pos="2133"/>
        </w:tabs>
        <w:spacing w:after="240"/>
        <w:ind w:left="794" w:firstLine="0"/>
        <w:rPr>
          <w:sz w:val="28"/>
          <w:szCs w:val="28"/>
        </w:rPr>
      </w:pPr>
      <w:r w:rsidRPr="00525BD5">
        <w:rPr>
          <w:sz w:val="28"/>
          <w:szCs w:val="28"/>
        </w:rPr>
        <w:t>Distribution</w:t>
      </w:r>
    </w:p>
    <w:p w14:paraId="1EF2F9E4" w14:textId="77777777" w:rsidR="007A5519" w:rsidRDefault="00000000" w:rsidP="007A5519">
      <w:pPr>
        <w:pStyle w:val="Heading2"/>
        <w:tabs>
          <w:tab w:val="center" w:pos="2133"/>
        </w:tabs>
        <w:spacing w:after="240"/>
        <w:ind w:left="794" w:firstLine="0"/>
        <w:rPr>
          <w:sz w:val="28"/>
          <w:szCs w:val="28"/>
          <w:u w:val="none"/>
        </w:rPr>
      </w:pPr>
      <w:r w:rsidRPr="007A5519">
        <w:rPr>
          <w:sz w:val="28"/>
          <w:szCs w:val="28"/>
          <w:u w:val="none"/>
        </w:rPr>
        <w:t>It is widely distributed throughout body tissues.</w:t>
      </w:r>
    </w:p>
    <w:p w14:paraId="51FAE7E4" w14:textId="77777777" w:rsidR="007A5519" w:rsidRDefault="00000000" w:rsidP="007A5519">
      <w:pPr>
        <w:pStyle w:val="Heading2"/>
        <w:tabs>
          <w:tab w:val="center" w:pos="2133"/>
        </w:tabs>
        <w:spacing w:after="240"/>
        <w:ind w:left="794" w:firstLine="0"/>
        <w:rPr>
          <w:sz w:val="28"/>
          <w:szCs w:val="28"/>
        </w:rPr>
      </w:pPr>
      <w:r w:rsidRPr="00525BD5">
        <w:rPr>
          <w:sz w:val="28"/>
          <w:szCs w:val="28"/>
        </w:rPr>
        <w:t>Biotransformation</w:t>
      </w:r>
    </w:p>
    <w:p w14:paraId="6E3346D3" w14:textId="77777777" w:rsidR="007A5519" w:rsidRDefault="00000000" w:rsidP="007A5519">
      <w:pPr>
        <w:pStyle w:val="Heading2"/>
        <w:tabs>
          <w:tab w:val="center" w:pos="2133"/>
        </w:tabs>
        <w:spacing w:after="240"/>
        <w:ind w:left="794" w:firstLine="0"/>
        <w:rPr>
          <w:sz w:val="28"/>
          <w:szCs w:val="28"/>
          <w:u w:val="none"/>
        </w:rPr>
      </w:pPr>
      <w:r w:rsidRPr="00525BD5">
        <w:rPr>
          <w:sz w:val="28"/>
          <w:szCs w:val="28"/>
        </w:rPr>
        <w:tab/>
      </w:r>
      <w:r w:rsidRPr="007A5519">
        <w:rPr>
          <w:sz w:val="28"/>
          <w:szCs w:val="28"/>
          <w:u w:val="none"/>
        </w:rPr>
        <w:t xml:space="preserve">Little metabolism occurs and only about 5% is excreted in the urine. </w:t>
      </w:r>
    </w:p>
    <w:p w14:paraId="1D493D92" w14:textId="77777777" w:rsidR="007A5519" w:rsidRDefault="007A5519">
      <w:pPr>
        <w:spacing w:after="160" w:line="278" w:lineRule="auto"/>
        <w:ind w:left="0" w:firstLine="0"/>
        <w:rPr>
          <w:sz w:val="28"/>
          <w:szCs w:val="28"/>
          <w:u w:val="single" w:color="000000"/>
        </w:rPr>
      </w:pPr>
      <w:r>
        <w:rPr>
          <w:sz w:val="28"/>
          <w:szCs w:val="28"/>
        </w:rPr>
        <w:br w:type="page"/>
      </w:r>
    </w:p>
    <w:p w14:paraId="2D435657" w14:textId="77777777" w:rsidR="007A5519" w:rsidRDefault="00000000" w:rsidP="007A5519">
      <w:pPr>
        <w:pStyle w:val="Heading2"/>
        <w:tabs>
          <w:tab w:val="center" w:pos="2133"/>
        </w:tabs>
        <w:spacing w:after="240"/>
        <w:ind w:left="794" w:firstLine="0"/>
        <w:rPr>
          <w:sz w:val="28"/>
          <w:szCs w:val="28"/>
        </w:rPr>
      </w:pPr>
      <w:r w:rsidRPr="00525BD5">
        <w:rPr>
          <w:sz w:val="28"/>
          <w:szCs w:val="28"/>
        </w:rPr>
        <w:lastRenderedPageBreak/>
        <w:t>Elimination</w:t>
      </w:r>
    </w:p>
    <w:p w14:paraId="1CC4AB69" w14:textId="1DCBC4A3" w:rsidR="000324BA" w:rsidRPr="007A5519" w:rsidRDefault="007A5519" w:rsidP="007A5519">
      <w:pPr>
        <w:pStyle w:val="Heading2"/>
        <w:tabs>
          <w:tab w:val="center" w:pos="2133"/>
        </w:tabs>
        <w:spacing w:after="240"/>
        <w:ind w:left="794" w:firstLine="0"/>
        <w:rPr>
          <w:sz w:val="28"/>
          <w:szCs w:val="28"/>
          <w:u w:val="none"/>
        </w:rPr>
      </w:pPr>
      <w:r w:rsidRPr="007A5519">
        <w:rPr>
          <w:sz w:val="28"/>
          <w:szCs w:val="28"/>
          <w:u w:val="none"/>
        </w:rPr>
        <w:t xml:space="preserve">The elimination half-life is approximately two hours. It is excreted principally by the liver.  </w:t>
      </w:r>
      <w:r w:rsidR="00000000" w:rsidRPr="007A5519">
        <w:rPr>
          <w:sz w:val="28"/>
          <w:szCs w:val="28"/>
          <w:u w:val="none"/>
        </w:rPr>
        <w:tab/>
        <w:t xml:space="preserve">  </w:t>
      </w:r>
    </w:p>
    <w:p w14:paraId="72EBBF17" w14:textId="77777777" w:rsidR="007A5519" w:rsidRPr="007A5519" w:rsidRDefault="00000000" w:rsidP="007A5519">
      <w:pPr>
        <w:pStyle w:val="Heading2"/>
        <w:numPr>
          <w:ilvl w:val="1"/>
          <w:numId w:val="3"/>
        </w:numPr>
        <w:tabs>
          <w:tab w:val="center" w:pos="1818"/>
        </w:tabs>
        <w:spacing w:after="240"/>
        <w:ind w:left="788" w:hanging="431"/>
        <w:rPr>
          <w:sz w:val="28"/>
          <w:szCs w:val="28"/>
        </w:rPr>
      </w:pPr>
      <w:r w:rsidRPr="00525BD5">
        <w:rPr>
          <w:b/>
          <w:sz w:val="28"/>
          <w:szCs w:val="28"/>
          <w:u w:val="none"/>
        </w:rPr>
        <w:t xml:space="preserve">Preclinical safety data  </w:t>
      </w:r>
    </w:p>
    <w:p w14:paraId="0DCF7694" w14:textId="79938180" w:rsidR="000324BA" w:rsidRPr="00525BD5" w:rsidRDefault="007A5519" w:rsidP="007A5519">
      <w:pPr>
        <w:pStyle w:val="Heading2"/>
        <w:tabs>
          <w:tab w:val="center" w:pos="1818"/>
        </w:tabs>
        <w:spacing w:after="240" w:line="360" w:lineRule="auto"/>
        <w:ind w:left="794" w:firstLine="0"/>
        <w:jc w:val="thaiDistribute"/>
        <w:rPr>
          <w:sz w:val="28"/>
          <w:szCs w:val="28"/>
        </w:rPr>
      </w:pPr>
      <w:r w:rsidRPr="007A5519">
        <w:rPr>
          <w:bCs/>
          <w:sz w:val="28"/>
          <w:szCs w:val="28"/>
          <w:u w:val="none"/>
        </w:rPr>
        <w:t>There are no pre-clinical data of relevance to the prescriber which are additional to that already included in other sections of the SPC</w:t>
      </w:r>
      <w:r>
        <w:rPr>
          <w:bCs/>
          <w:sz w:val="28"/>
          <w:szCs w:val="28"/>
          <w:u w:val="none"/>
        </w:rPr>
        <w:t>.</w:t>
      </w:r>
    </w:p>
    <w:p w14:paraId="6BE79F76" w14:textId="77777777" w:rsidR="007A5519" w:rsidRDefault="00000000" w:rsidP="007A5519">
      <w:pPr>
        <w:pStyle w:val="ListParagraph"/>
        <w:numPr>
          <w:ilvl w:val="0"/>
          <w:numId w:val="3"/>
        </w:numPr>
        <w:spacing w:after="0" w:line="360" w:lineRule="auto"/>
        <w:rPr>
          <w:b/>
          <w:bCs/>
          <w:sz w:val="28"/>
          <w:szCs w:val="28"/>
        </w:rPr>
      </w:pPr>
      <w:r w:rsidRPr="007A5519">
        <w:rPr>
          <w:b/>
          <w:bCs/>
          <w:sz w:val="28"/>
          <w:szCs w:val="28"/>
        </w:rPr>
        <w:t xml:space="preserve">PHARMACEUTICAL PARTICULARS </w:t>
      </w:r>
    </w:p>
    <w:p w14:paraId="7850B44B" w14:textId="77777777" w:rsidR="007A5519" w:rsidRPr="007A5519" w:rsidRDefault="00000000" w:rsidP="007A5519">
      <w:pPr>
        <w:pStyle w:val="ListParagraph"/>
        <w:numPr>
          <w:ilvl w:val="1"/>
          <w:numId w:val="3"/>
        </w:numPr>
        <w:spacing w:after="240" w:line="360" w:lineRule="auto"/>
        <w:ind w:left="788" w:hanging="431"/>
        <w:contextualSpacing w:val="0"/>
        <w:rPr>
          <w:b/>
          <w:bCs/>
          <w:sz w:val="28"/>
          <w:szCs w:val="28"/>
        </w:rPr>
      </w:pPr>
      <w:r w:rsidRPr="007A5519">
        <w:rPr>
          <w:b/>
          <w:sz w:val="28"/>
          <w:szCs w:val="28"/>
        </w:rPr>
        <w:t xml:space="preserve">List of excipients </w:t>
      </w:r>
    </w:p>
    <w:p w14:paraId="6E7046B5" w14:textId="57B5E64B" w:rsidR="000324BA" w:rsidRPr="007A5519" w:rsidRDefault="00000000" w:rsidP="007A5519">
      <w:pPr>
        <w:pStyle w:val="ListParagraph"/>
        <w:spacing w:after="240" w:line="360" w:lineRule="auto"/>
        <w:ind w:left="794" w:firstLine="0"/>
        <w:contextualSpacing w:val="0"/>
        <w:rPr>
          <w:b/>
          <w:bCs/>
          <w:sz w:val="28"/>
          <w:szCs w:val="28"/>
        </w:rPr>
      </w:pPr>
      <w:r w:rsidRPr="007A5519">
        <w:rPr>
          <w:color w:val="FF0000"/>
          <w:sz w:val="28"/>
          <w:szCs w:val="28"/>
        </w:rPr>
        <w:t>&lt;Regarding the approval&gt;</w:t>
      </w:r>
      <w:r w:rsidRPr="007A5519">
        <w:rPr>
          <w:sz w:val="28"/>
          <w:szCs w:val="28"/>
        </w:rPr>
        <w:t xml:space="preserve"> </w:t>
      </w:r>
    </w:p>
    <w:p w14:paraId="13106639" w14:textId="77777777" w:rsidR="007A5519" w:rsidRPr="007A5519" w:rsidRDefault="00000000" w:rsidP="007A5519">
      <w:pPr>
        <w:pStyle w:val="ListParagraph"/>
        <w:numPr>
          <w:ilvl w:val="1"/>
          <w:numId w:val="3"/>
        </w:numPr>
        <w:tabs>
          <w:tab w:val="center" w:pos="1559"/>
        </w:tabs>
        <w:spacing w:after="240" w:line="259" w:lineRule="auto"/>
        <w:ind w:left="788" w:hanging="431"/>
        <w:contextualSpacing w:val="0"/>
        <w:rPr>
          <w:sz w:val="28"/>
          <w:szCs w:val="28"/>
        </w:rPr>
      </w:pPr>
      <w:r w:rsidRPr="007A5519">
        <w:rPr>
          <w:b/>
          <w:sz w:val="28"/>
          <w:szCs w:val="28"/>
        </w:rPr>
        <w:t>Incompatibilities</w:t>
      </w:r>
    </w:p>
    <w:p w14:paraId="2AB716FF" w14:textId="114805BA" w:rsidR="000324BA" w:rsidRPr="007A5519" w:rsidRDefault="00000000" w:rsidP="007A5519">
      <w:pPr>
        <w:pStyle w:val="ListParagraph"/>
        <w:tabs>
          <w:tab w:val="center" w:pos="1559"/>
        </w:tabs>
        <w:spacing w:after="240" w:line="259" w:lineRule="auto"/>
        <w:ind w:left="794" w:firstLine="0"/>
        <w:contextualSpacing w:val="0"/>
        <w:rPr>
          <w:sz w:val="28"/>
          <w:szCs w:val="28"/>
        </w:rPr>
      </w:pPr>
      <w:r w:rsidRPr="007A5519">
        <w:rPr>
          <w:sz w:val="28"/>
          <w:szCs w:val="28"/>
        </w:rPr>
        <w:t xml:space="preserve">Not applicable  </w:t>
      </w:r>
    </w:p>
    <w:p w14:paraId="583E7FFC" w14:textId="77777777" w:rsidR="007A5519" w:rsidRDefault="00000000" w:rsidP="007A5519">
      <w:pPr>
        <w:pStyle w:val="ListParagraph"/>
        <w:numPr>
          <w:ilvl w:val="1"/>
          <w:numId w:val="3"/>
        </w:numPr>
        <w:tabs>
          <w:tab w:val="center" w:pos="1154"/>
        </w:tabs>
        <w:spacing w:after="240" w:line="259" w:lineRule="auto"/>
        <w:ind w:left="788" w:hanging="431"/>
        <w:contextualSpacing w:val="0"/>
        <w:rPr>
          <w:sz w:val="28"/>
          <w:szCs w:val="28"/>
        </w:rPr>
      </w:pPr>
      <w:r w:rsidRPr="007A5519">
        <w:rPr>
          <w:b/>
          <w:sz w:val="28"/>
          <w:szCs w:val="28"/>
        </w:rPr>
        <w:t xml:space="preserve">Shelf life </w:t>
      </w:r>
    </w:p>
    <w:p w14:paraId="31A47DDD" w14:textId="6A0EE39A" w:rsidR="000324BA" w:rsidRPr="007A5519" w:rsidRDefault="00000000" w:rsidP="007A5519">
      <w:pPr>
        <w:pStyle w:val="ListParagraph"/>
        <w:tabs>
          <w:tab w:val="center" w:pos="1154"/>
        </w:tabs>
        <w:spacing w:after="240" w:line="259" w:lineRule="auto"/>
        <w:ind w:left="794" w:firstLine="0"/>
        <w:contextualSpacing w:val="0"/>
        <w:rPr>
          <w:sz w:val="28"/>
          <w:szCs w:val="28"/>
        </w:rPr>
      </w:pPr>
      <w:r w:rsidRPr="007A5519">
        <w:rPr>
          <w:color w:val="FF0000"/>
          <w:sz w:val="28"/>
          <w:szCs w:val="28"/>
          <w:u w:color="000000"/>
        </w:rPr>
        <w:t>&lt;Regarding the approval&gt;</w:t>
      </w:r>
      <w:r w:rsidRPr="007A5519">
        <w:rPr>
          <w:sz w:val="28"/>
          <w:szCs w:val="28"/>
          <w:u w:color="000000"/>
        </w:rPr>
        <w:t xml:space="preserve"> </w:t>
      </w:r>
    </w:p>
    <w:p w14:paraId="0940B54C" w14:textId="77777777" w:rsidR="007A5519" w:rsidRDefault="00000000" w:rsidP="007A5519">
      <w:pPr>
        <w:pStyle w:val="ListParagraph"/>
        <w:numPr>
          <w:ilvl w:val="1"/>
          <w:numId w:val="3"/>
        </w:numPr>
        <w:tabs>
          <w:tab w:val="center" w:pos="2256"/>
        </w:tabs>
        <w:spacing w:after="240" w:line="259" w:lineRule="auto"/>
        <w:ind w:left="788" w:hanging="431"/>
        <w:contextualSpacing w:val="0"/>
        <w:rPr>
          <w:sz w:val="28"/>
          <w:szCs w:val="28"/>
        </w:rPr>
      </w:pPr>
      <w:r w:rsidRPr="007A5519">
        <w:rPr>
          <w:b/>
          <w:sz w:val="28"/>
          <w:szCs w:val="28"/>
        </w:rPr>
        <w:t xml:space="preserve">Special precautions for storage </w:t>
      </w:r>
    </w:p>
    <w:p w14:paraId="451F3CC4" w14:textId="1B9048AC" w:rsidR="000324BA" w:rsidRPr="007A5519" w:rsidRDefault="00000000" w:rsidP="007A5519">
      <w:pPr>
        <w:pStyle w:val="ListParagraph"/>
        <w:tabs>
          <w:tab w:val="center" w:pos="2256"/>
        </w:tabs>
        <w:spacing w:after="240" w:line="259" w:lineRule="auto"/>
        <w:ind w:left="794" w:firstLine="0"/>
        <w:contextualSpacing w:val="0"/>
        <w:rPr>
          <w:sz w:val="28"/>
          <w:szCs w:val="28"/>
        </w:rPr>
      </w:pPr>
      <w:r w:rsidRPr="007A5519">
        <w:rPr>
          <w:color w:val="FF0000"/>
          <w:sz w:val="28"/>
          <w:szCs w:val="28"/>
          <w:u w:color="000000"/>
        </w:rPr>
        <w:t>&lt;Regarding the approval&gt;</w:t>
      </w:r>
      <w:r w:rsidRPr="007A5519">
        <w:rPr>
          <w:sz w:val="28"/>
          <w:szCs w:val="28"/>
          <w:u w:color="000000"/>
        </w:rPr>
        <w:t xml:space="preserve"> </w:t>
      </w:r>
    </w:p>
    <w:p w14:paraId="6F15A418" w14:textId="77777777" w:rsidR="007A5519" w:rsidRPr="007A5519" w:rsidRDefault="00000000" w:rsidP="007A5519">
      <w:pPr>
        <w:pStyle w:val="ListParagraph"/>
        <w:numPr>
          <w:ilvl w:val="1"/>
          <w:numId w:val="3"/>
        </w:numPr>
        <w:spacing w:after="240" w:line="259" w:lineRule="auto"/>
        <w:ind w:left="788" w:hanging="431"/>
        <w:contextualSpacing w:val="0"/>
        <w:rPr>
          <w:sz w:val="28"/>
          <w:szCs w:val="28"/>
        </w:rPr>
      </w:pPr>
      <w:r w:rsidRPr="007A5519">
        <w:rPr>
          <w:b/>
          <w:sz w:val="28"/>
          <w:szCs w:val="28"/>
        </w:rPr>
        <w:t xml:space="preserve">Nature and contents of container </w:t>
      </w:r>
    </w:p>
    <w:p w14:paraId="16B6B4DE" w14:textId="576C4165" w:rsidR="000324BA" w:rsidRPr="007A5519" w:rsidRDefault="00000000" w:rsidP="007A5519">
      <w:pPr>
        <w:pStyle w:val="ListParagraph"/>
        <w:spacing w:after="240" w:line="259" w:lineRule="auto"/>
        <w:ind w:left="794" w:firstLine="0"/>
        <w:contextualSpacing w:val="0"/>
        <w:rPr>
          <w:sz w:val="28"/>
          <w:szCs w:val="28"/>
        </w:rPr>
      </w:pPr>
      <w:r w:rsidRPr="007A5519">
        <w:rPr>
          <w:color w:val="FF0000"/>
          <w:sz w:val="28"/>
          <w:szCs w:val="28"/>
          <w:u w:color="000000"/>
        </w:rPr>
        <w:t>&lt;Regarding the approval&gt;</w:t>
      </w:r>
      <w:r w:rsidRPr="007A5519">
        <w:rPr>
          <w:sz w:val="28"/>
          <w:szCs w:val="28"/>
          <w:u w:color="000000"/>
        </w:rPr>
        <w:t xml:space="preserve"> </w:t>
      </w:r>
    </w:p>
    <w:p w14:paraId="1FE1465F" w14:textId="77777777" w:rsidR="00FD3569" w:rsidRPr="00FD3569" w:rsidRDefault="00000000" w:rsidP="00FD3569">
      <w:pPr>
        <w:pStyle w:val="ListParagraph"/>
        <w:numPr>
          <w:ilvl w:val="1"/>
          <w:numId w:val="3"/>
        </w:numPr>
        <w:tabs>
          <w:tab w:val="center" w:pos="2295"/>
        </w:tabs>
        <w:spacing w:after="240" w:line="259" w:lineRule="auto"/>
        <w:ind w:left="788" w:hanging="431"/>
        <w:contextualSpacing w:val="0"/>
        <w:rPr>
          <w:sz w:val="28"/>
          <w:szCs w:val="28"/>
        </w:rPr>
      </w:pPr>
      <w:r w:rsidRPr="007A5519">
        <w:rPr>
          <w:b/>
          <w:sz w:val="28"/>
          <w:szCs w:val="28"/>
        </w:rPr>
        <w:t>Special precautions for disposal</w:t>
      </w:r>
    </w:p>
    <w:p w14:paraId="7EAC39F4" w14:textId="771947B8" w:rsidR="000324BA" w:rsidRPr="00FD3569" w:rsidRDefault="00000000" w:rsidP="00FD3569">
      <w:pPr>
        <w:pStyle w:val="ListParagraph"/>
        <w:tabs>
          <w:tab w:val="center" w:pos="2295"/>
        </w:tabs>
        <w:spacing w:after="240" w:line="259" w:lineRule="auto"/>
        <w:ind w:left="794" w:firstLine="0"/>
        <w:contextualSpacing w:val="0"/>
        <w:rPr>
          <w:sz w:val="28"/>
          <w:szCs w:val="28"/>
        </w:rPr>
      </w:pPr>
      <w:r w:rsidRPr="00FD3569">
        <w:rPr>
          <w:color w:val="FF0000"/>
          <w:sz w:val="28"/>
          <w:szCs w:val="28"/>
        </w:rPr>
        <w:t>&lt;Regarding the approval&gt;</w:t>
      </w:r>
      <w:r w:rsidRPr="00FD3569">
        <w:rPr>
          <w:sz w:val="28"/>
          <w:szCs w:val="28"/>
        </w:rPr>
        <w:t xml:space="preserve"> </w:t>
      </w:r>
    </w:p>
    <w:p w14:paraId="78F1D718" w14:textId="77777777" w:rsidR="00FD3569" w:rsidRDefault="00000000" w:rsidP="00FD3569">
      <w:pPr>
        <w:pStyle w:val="Heading1"/>
        <w:numPr>
          <w:ilvl w:val="0"/>
          <w:numId w:val="3"/>
        </w:numPr>
        <w:tabs>
          <w:tab w:val="center" w:pos="3396"/>
        </w:tabs>
        <w:spacing w:after="240"/>
        <w:ind w:left="357" w:hanging="357"/>
        <w:rPr>
          <w:sz w:val="28"/>
          <w:szCs w:val="28"/>
        </w:rPr>
      </w:pPr>
      <w:r w:rsidRPr="00525BD5">
        <w:rPr>
          <w:sz w:val="28"/>
          <w:szCs w:val="28"/>
        </w:rPr>
        <w:lastRenderedPageBreak/>
        <w:t xml:space="preserve">MARKETING AUTHORISATION HOLDER </w:t>
      </w:r>
    </w:p>
    <w:p w14:paraId="26F516FD" w14:textId="34FD6AAA" w:rsidR="000324BA" w:rsidRPr="00FD3569" w:rsidRDefault="00000000" w:rsidP="00FD3569">
      <w:pPr>
        <w:pStyle w:val="Heading1"/>
        <w:tabs>
          <w:tab w:val="center" w:pos="3396"/>
        </w:tabs>
        <w:spacing w:after="240"/>
        <w:ind w:left="357" w:firstLine="0"/>
        <w:rPr>
          <w:b w:val="0"/>
          <w:bCs/>
          <w:sz w:val="28"/>
          <w:szCs w:val="28"/>
        </w:rPr>
      </w:pPr>
      <w:r w:rsidRPr="00FD3569">
        <w:rPr>
          <w:b w:val="0"/>
          <w:bCs/>
          <w:color w:val="FF0000"/>
          <w:sz w:val="28"/>
          <w:szCs w:val="28"/>
        </w:rPr>
        <w:t>&lt;Regarding the approval&gt;</w:t>
      </w:r>
      <w:r w:rsidRPr="00FD3569">
        <w:rPr>
          <w:b w:val="0"/>
          <w:bCs/>
          <w:sz w:val="28"/>
          <w:szCs w:val="28"/>
        </w:rPr>
        <w:t xml:space="preserve"> </w:t>
      </w:r>
    </w:p>
    <w:p w14:paraId="71C96A3C" w14:textId="77777777" w:rsidR="00FD3569" w:rsidRPr="00FD3569" w:rsidRDefault="00000000" w:rsidP="00FD3569">
      <w:pPr>
        <w:pStyle w:val="Heading1"/>
        <w:numPr>
          <w:ilvl w:val="0"/>
          <w:numId w:val="3"/>
        </w:numPr>
        <w:tabs>
          <w:tab w:val="center" w:pos="3555"/>
        </w:tabs>
        <w:spacing w:after="240"/>
        <w:ind w:left="357" w:hanging="357"/>
        <w:rPr>
          <w:sz w:val="28"/>
          <w:szCs w:val="28"/>
        </w:rPr>
      </w:pPr>
      <w:r w:rsidRPr="00525BD5">
        <w:rPr>
          <w:sz w:val="28"/>
          <w:szCs w:val="28"/>
        </w:rPr>
        <w:t xml:space="preserve">MARKETING AUTHORISATION NUMBER(S) </w:t>
      </w:r>
    </w:p>
    <w:p w14:paraId="5FCAACB1" w14:textId="5AA7C8A6" w:rsidR="000324BA" w:rsidRPr="00FD3569" w:rsidRDefault="00000000" w:rsidP="00FD3569">
      <w:pPr>
        <w:pStyle w:val="Heading1"/>
        <w:tabs>
          <w:tab w:val="center" w:pos="3555"/>
        </w:tabs>
        <w:spacing w:after="240"/>
        <w:ind w:left="357" w:firstLine="0"/>
        <w:rPr>
          <w:b w:val="0"/>
          <w:bCs/>
          <w:sz w:val="28"/>
          <w:szCs w:val="28"/>
        </w:rPr>
      </w:pPr>
      <w:r w:rsidRPr="00FD3569">
        <w:rPr>
          <w:b w:val="0"/>
          <w:bCs/>
          <w:color w:val="FF0000"/>
          <w:sz w:val="28"/>
          <w:szCs w:val="28"/>
        </w:rPr>
        <w:t>&lt;Regarding the approval&gt;</w:t>
      </w:r>
      <w:r w:rsidRPr="00FD3569">
        <w:rPr>
          <w:b w:val="0"/>
          <w:bCs/>
          <w:sz w:val="28"/>
          <w:szCs w:val="28"/>
        </w:rPr>
        <w:t xml:space="preserve"> </w:t>
      </w:r>
    </w:p>
    <w:p w14:paraId="0E7B3402" w14:textId="77777777" w:rsidR="00FD3569" w:rsidRPr="00FD3569" w:rsidRDefault="00000000" w:rsidP="00FD3569">
      <w:pPr>
        <w:pStyle w:val="Heading1"/>
        <w:numPr>
          <w:ilvl w:val="0"/>
          <w:numId w:val="3"/>
        </w:numPr>
        <w:spacing w:after="240" w:line="360" w:lineRule="auto"/>
        <w:ind w:left="357" w:hanging="357"/>
        <w:rPr>
          <w:sz w:val="28"/>
          <w:szCs w:val="28"/>
        </w:rPr>
      </w:pPr>
      <w:r w:rsidRPr="00525BD5">
        <w:rPr>
          <w:sz w:val="28"/>
          <w:szCs w:val="28"/>
        </w:rPr>
        <w:t xml:space="preserve">DATE OF FIRST AUTHORISATION/RENEWAL OF THE AUTHORISATION </w:t>
      </w:r>
    </w:p>
    <w:p w14:paraId="66D9B7B5" w14:textId="77777777" w:rsidR="00FD3569" w:rsidRDefault="00000000" w:rsidP="00FD3569">
      <w:pPr>
        <w:pStyle w:val="Heading1"/>
        <w:spacing w:after="240" w:line="360" w:lineRule="auto"/>
        <w:ind w:left="357" w:firstLine="0"/>
        <w:rPr>
          <w:b w:val="0"/>
          <w:bCs/>
          <w:sz w:val="28"/>
          <w:szCs w:val="28"/>
        </w:rPr>
      </w:pPr>
      <w:r w:rsidRPr="00FD3569">
        <w:rPr>
          <w:b w:val="0"/>
          <w:bCs/>
          <w:color w:val="FF0000"/>
          <w:sz w:val="28"/>
          <w:szCs w:val="28"/>
        </w:rPr>
        <w:t>&lt;Regarding the approval&gt;</w:t>
      </w:r>
      <w:r w:rsidRPr="00FD3569">
        <w:rPr>
          <w:b w:val="0"/>
          <w:bCs/>
          <w:sz w:val="28"/>
          <w:szCs w:val="28"/>
        </w:rPr>
        <w:t xml:space="preserve"> </w:t>
      </w:r>
    </w:p>
    <w:p w14:paraId="0F27E4B4" w14:textId="77777777" w:rsidR="00FD3569" w:rsidRPr="00FD3569" w:rsidRDefault="00000000" w:rsidP="00FD3569">
      <w:pPr>
        <w:pStyle w:val="Heading1"/>
        <w:numPr>
          <w:ilvl w:val="0"/>
          <w:numId w:val="3"/>
        </w:numPr>
        <w:spacing w:after="240" w:line="360" w:lineRule="auto"/>
        <w:ind w:left="357" w:hanging="357"/>
        <w:rPr>
          <w:b w:val="0"/>
          <w:bCs/>
          <w:sz w:val="28"/>
          <w:szCs w:val="28"/>
        </w:rPr>
      </w:pPr>
      <w:r w:rsidRPr="00525BD5">
        <w:rPr>
          <w:sz w:val="28"/>
          <w:szCs w:val="28"/>
        </w:rPr>
        <w:t xml:space="preserve">DATE OF REVISION OF THE TEXT </w:t>
      </w:r>
      <w:r w:rsidRPr="00525BD5">
        <w:rPr>
          <w:sz w:val="28"/>
          <w:szCs w:val="28"/>
          <w:vertAlign w:val="superscript"/>
        </w:rPr>
        <w:footnoteReference w:id="1"/>
      </w:r>
      <w:r w:rsidRPr="00525BD5">
        <w:rPr>
          <w:sz w:val="28"/>
          <w:szCs w:val="28"/>
        </w:rPr>
        <w:t xml:space="preserve"> </w:t>
      </w:r>
    </w:p>
    <w:p w14:paraId="3A305E42" w14:textId="179A2270" w:rsidR="000324BA" w:rsidRPr="00FD3569" w:rsidRDefault="00000000" w:rsidP="00FD3569">
      <w:pPr>
        <w:pStyle w:val="Heading1"/>
        <w:spacing w:line="360" w:lineRule="auto"/>
        <w:ind w:left="360" w:firstLine="0"/>
        <w:rPr>
          <w:b w:val="0"/>
          <w:bCs/>
          <w:sz w:val="28"/>
          <w:szCs w:val="28"/>
        </w:rPr>
      </w:pPr>
      <w:r w:rsidRPr="00FD3569">
        <w:rPr>
          <w:b w:val="0"/>
          <w:bCs/>
          <w:color w:val="FF0000"/>
          <w:sz w:val="28"/>
          <w:szCs w:val="28"/>
        </w:rPr>
        <w:t>&lt;Regarding the approval&gt;</w:t>
      </w:r>
      <w:r w:rsidRPr="00FD3569">
        <w:rPr>
          <w:b w:val="0"/>
          <w:bCs/>
          <w:sz w:val="28"/>
          <w:szCs w:val="28"/>
        </w:rPr>
        <w:t xml:space="preserve"> </w:t>
      </w:r>
    </w:p>
    <w:p w14:paraId="5613E62E" w14:textId="2DC064A8" w:rsidR="000324BA" w:rsidRPr="00525BD5" w:rsidRDefault="00000000">
      <w:pPr>
        <w:spacing w:after="0" w:line="259" w:lineRule="auto"/>
        <w:ind w:left="0" w:right="4866" w:firstLine="0"/>
        <w:jc w:val="center"/>
        <w:rPr>
          <w:sz w:val="28"/>
          <w:szCs w:val="28"/>
        </w:rPr>
      </w:pPr>
      <w:r w:rsidRPr="00525BD5">
        <w:rPr>
          <w:sz w:val="28"/>
          <w:szCs w:val="28"/>
        </w:rPr>
        <w:t xml:space="preserve"> </w:t>
      </w:r>
    </w:p>
    <w:sectPr w:rsidR="000324BA" w:rsidRPr="00525BD5" w:rsidSect="00525BD5">
      <w:footnotePr>
        <w:numRestart w:val="eachPage"/>
      </w:footnotePr>
      <w:pgSz w:w="11899" w:h="16838"/>
      <w:pgMar w:top="1985" w:right="1418" w:bottom="1985" w:left="1701"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1F73" w14:textId="77777777" w:rsidR="00606EEC" w:rsidRDefault="00606EEC">
      <w:pPr>
        <w:spacing w:after="0" w:line="240" w:lineRule="auto"/>
      </w:pPr>
      <w:r>
        <w:separator/>
      </w:r>
    </w:p>
  </w:endnote>
  <w:endnote w:type="continuationSeparator" w:id="0">
    <w:p w14:paraId="53AA56E2" w14:textId="77777777" w:rsidR="00606EEC" w:rsidRDefault="0060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2CF94" w14:textId="77777777" w:rsidR="00606EEC" w:rsidRDefault="00606EEC">
      <w:pPr>
        <w:spacing w:after="0" w:line="259" w:lineRule="auto"/>
        <w:ind w:left="701" w:firstLine="0"/>
      </w:pPr>
      <w:r>
        <w:separator/>
      </w:r>
    </w:p>
  </w:footnote>
  <w:footnote w:type="continuationSeparator" w:id="0">
    <w:p w14:paraId="16E48274" w14:textId="77777777" w:rsidR="00606EEC" w:rsidRDefault="00606EEC">
      <w:pPr>
        <w:spacing w:after="0" w:line="259" w:lineRule="auto"/>
        <w:ind w:left="701" w:firstLine="0"/>
      </w:pPr>
      <w:r>
        <w:continuationSeparator/>
      </w:r>
    </w:p>
  </w:footnote>
  <w:footnote w:id="1">
    <w:p w14:paraId="65EC5221" w14:textId="77777777" w:rsidR="000324BA" w:rsidRDefault="00000000">
      <w:pPr>
        <w:pStyle w:val="footnotedescription"/>
      </w:pPr>
      <w:r>
        <w:rPr>
          <w:rStyle w:val="footnotemark"/>
        </w:rPr>
        <w:footnoteRef/>
      </w:r>
      <w:r>
        <w:t xml:space="preserve"> Ref: Erythrocin, MHRA, 02/07/2023  </w:t>
      </w:r>
    </w:p>
    <w:p w14:paraId="3617ACE8" w14:textId="77777777" w:rsidR="000324BA" w:rsidRDefault="00000000">
      <w:pPr>
        <w:pStyle w:val="footnotedescription"/>
        <w:ind w:left="716"/>
      </w:pP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3F00"/>
    <w:multiLevelType w:val="multilevel"/>
    <w:tmpl w:val="00BC9070"/>
    <w:lvl w:ilvl="0">
      <w:start w:val="1"/>
      <w:numFmt w:val="decimal"/>
      <w:lvlText w:val="%1."/>
      <w:lvlJc w:val="left"/>
      <w:pPr>
        <w:ind w:left="1080" w:hanging="360"/>
      </w:pPr>
    </w:lvl>
    <w:lvl w:ilvl="1">
      <w:start w:val="1"/>
      <w:numFmt w:val="decimal"/>
      <w:lvlText w:val="%1.%2."/>
      <w:lvlJc w:val="left"/>
      <w:pPr>
        <w:ind w:left="1512" w:hanging="432"/>
      </w:pPr>
      <w:rPr>
        <w:b/>
        <w:bCs/>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82644A7"/>
    <w:multiLevelType w:val="hybridMultilevel"/>
    <w:tmpl w:val="B530A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92954"/>
    <w:multiLevelType w:val="multilevel"/>
    <w:tmpl w:val="39001D28"/>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E1D64"/>
    <w:multiLevelType w:val="hybridMultilevel"/>
    <w:tmpl w:val="73200386"/>
    <w:lvl w:ilvl="0" w:tplc="657EF41A">
      <w:start w:val="1"/>
      <w:numFmt w:val="bullet"/>
      <w:lvlText w:val="-"/>
      <w:lvlJc w:val="left"/>
      <w:pPr>
        <w:ind w:left="7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1284CE">
      <w:start w:val="1"/>
      <w:numFmt w:val="bullet"/>
      <w:lvlText w:val="o"/>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418DF54">
      <w:start w:val="1"/>
      <w:numFmt w:val="bullet"/>
      <w:lvlText w:val="▪"/>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92284A">
      <w:start w:val="1"/>
      <w:numFmt w:val="bullet"/>
      <w:lvlText w:val="•"/>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729116">
      <w:start w:val="1"/>
      <w:numFmt w:val="bullet"/>
      <w:lvlText w:val="o"/>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126C86">
      <w:start w:val="1"/>
      <w:numFmt w:val="bullet"/>
      <w:lvlText w:val="▪"/>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6FC91DC">
      <w:start w:val="1"/>
      <w:numFmt w:val="bullet"/>
      <w:lvlText w:val="•"/>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FC81AE">
      <w:start w:val="1"/>
      <w:numFmt w:val="bullet"/>
      <w:lvlText w:val="o"/>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CAAC52">
      <w:start w:val="1"/>
      <w:numFmt w:val="bullet"/>
      <w:lvlText w:val="▪"/>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EAE5DBA"/>
    <w:multiLevelType w:val="hybridMultilevel"/>
    <w:tmpl w:val="9BF8E37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5" w15:restartNumberingAfterBreak="0">
    <w:nsid w:val="155937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7595D"/>
    <w:multiLevelType w:val="hybridMultilevel"/>
    <w:tmpl w:val="C1D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A7A7E"/>
    <w:multiLevelType w:val="multilevel"/>
    <w:tmpl w:val="00BC907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391A0E"/>
    <w:multiLevelType w:val="hybridMultilevel"/>
    <w:tmpl w:val="A3CC5914"/>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9" w15:restartNumberingAfterBreak="0">
    <w:nsid w:val="59A30BEC"/>
    <w:multiLevelType w:val="hybridMultilevel"/>
    <w:tmpl w:val="DCA2DE2C"/>
    <w:lvl w:ilvl="0" w:tplc="04090001">
      <w:start w:val="1"/>
      <w:numFmt w:val="bullet"/>
      <w:lvlText w:val=""/>
      <w:lvlJc w:val="left"/>
      <w:pPr>
        <w:ind w:left="1080"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E1F05F3A">
      <w:start w:val="1"/>
      <w:numFmt w:val="lowerLetter"/>
      <w:lvlText w:val="%2"/>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1AE066">
      <w:start w:val="1"/>
      <w:numFmt w:val="lowerRoman"/>
      <w:lvlText w:val="%3"/>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56F14A">
      <w:start w:val="1"/>
      <w:numFmt w:val="decimal"/>
      <w:lvlText w:val="%4"/>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505C24">
      <w:start w:val="1"/>
      <w:numFmt w:val="lowerLetter"/>
      <w:lvlText w:val="%5"/>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44615E">
      <w:start w:val="1"/>
      <w:numFmt w:val="lowerRoman"/>
      <w:lvlText w:val="%6"/>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100AF6">
      <w:start w:val="1"/>
      <w:numFmt w:val="decimal"/>
      <w:lvlText w:val="%7"/>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5E77FC">
      <w:start w:val="1"/>
      <w:numFmt w:val="lowerLetter"/>
      <w:lvlText w:val="%8"/>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0EB14A">
      <w:start w:val="1"/>
      <w:numFmt w:val="lowerRoman"/>
      <w:lvlText w:val="%9"/>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583877096">
    <w:abstractNumId w:val="9"/>
  </w:num>
  <w:num w:numId="2" w16cid:durableId="1948465438">
    <w:abstractNumId w:val="3"/>
  </w:num>
  <w:num w:numId="3" w16cid:durableId="57553072">
    <w:abstractNumId w:val="2"/>
  </w:num>
  <w:num w:numId="4" w16cid:durableId="252132068">
    <w:abstractNumId w:val="1"/>
  </w:num>
  <w:num w:numId="5" w16cid:durableId="717824762">
    <w:abstractNumId w:val="5"/>
  </w:num>
  <w:num w:numId="6" w16cid:durableId="1257471932">
    <w:abstractNumId w:val="6"/>
  </w:num>
  <w:num w:numId="7" w16cid:durableId="97065913">
    <w:abstractNumId w:val="8"/>
  </w:num>
  <w:num w:numId="8" w16cid:durableId="1976181605">
    <w:abstractNumId w:val="4"/>
  </w:num>
  <w:num w:numId="9" w16cid:durableId="1812482931">
    <w:abstractNumId w:val="7"/>
  </w:num>
  <w:num w:numId="10" w16cid:durableId="88113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BA"/>
    <w:rsid w:val="000324BA"/>
    <w:rsid w:val="00525BD5"/>
    <w:rsid w:val="00606EEC"/>
    <w:rsid w:val="007A5519"/>
    <w:rsid w:val="00F50115"/>
    <w:rsid w:val="00FD356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73D4732"/>
  <w15:docId w15:val="{8D24BE3D-5295-8F47-A078-C2CF0B85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711"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7"/>
    </w:rPr>
  </w:style>
  <w:style w:type="paragraph" w:styleId="Heading2">
    <w:name w:val="heading 2"/>
    <w:next w:val="Normal"/>
    <w:link w:val="Heading2Char"/>
    <w:uiPriority w:val="9"/>
    <w:unhideWhenUsed/>
    <w:qFormat/>
    <w:pPr>
      <w:keepNext/>
      <w:keepLines/>
      <w:spacing w:after="3" w:line="259" w:lineRule="auto"/>
      <w:ind w:left="711" w:hanging="10"/>
      <w:outlineLvl w:val="1"/>
    </w:pPr>
    <w:rPr>
      <w:rFonts w:ascii="Times New Roman" w:eastAsia="Times New Roman" w:hAnsi="Times New Roman" w:cs="Times New Roman"/>
      <w:color w:val="000000"/>
      <w:sz w:val="23"/>
      <w:u w:val="single" w:color="000000"/>
    </w:rPr>
  </w:style>
  <w:style w:type="paragraph" w:styleId="Heading3">
    <w:name w:val="heading 3"/>
    <w:next w:val="Normal"/>
    <w:link w:val="Heading3Char"/>
    <w:uiPriority w:val="9"/>
    <w:unhideWhenUsed/>
    <w:qFormat/>
    <w:pPr>
      <w:keepNext/>
      <w:keepLines/>
      <w:spacing w:after="37" w:line="259" w:lineRule="auto"/>
      <w:ind w:left="10" w:hanging="10"/>
      <w:outlineLvl w:val="2"/>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3"/>
      <w:u w:val="single" w:color="000000"/>
    </w:rPr>
  </w:style>
  <w:style w:type="paragraph" w:customStyle="1" w:styleId="footnotedescription">
    <w:name w:val="footnote description"/>
    <w:next w:val="Normal"/>
    <w:link w:val="footnotedescriptionChar"/>
    <w:hidden/>
    <w:pPr>
      <w:spacing w:after="0" w:line="259" w:lineRule="auto"/>
      <w:ind w:left="701"/>
    </w:pPr>
    <w:rPr>
      <w:rFonts w:ascii="Times New Roman" w:eastAsia="Times New Roman" w:hAnsi="Times New Roman" w:cs="Times New Roman"/>
      <w:color w:val="000000"/>
      <w:sz w:val="23"/>
    </w:rPr>
  </w:style>
  <w:style w:type="character" w:customStyle="1" w:styleId="footnotedescriptionChar">
    <w:name w:val="footnote description Char"/>
    <w:link w:val="footnotedescription"/>
    <w:rPr>
      <w:rFonts w:ascii="Times New Roman" w:eastAsia="Times New Roman" w:hAnsi="Times New Roman" w:cs="Times New Roman"/>
      <w:color w:val="000000"/>
      <w:sz w:val="23"/>
    </w:rPr>
  </w:style>
  <w:style w:type="character" w:customStyle="1" w:styleId="Heading1Char">
    <w:name w:val="Heading 1 Char"/>
    <w:link w:val="Heading1"/>
    <w:rPr>
      <w:rFonts w:ascii="Times New Roman" w:eastAsia="Times New Roman" w:hAnsi="Times New Roman" w:cs="Times New Roman"/>
      <w:b/>
      <w:color w:val="000000"/>
      <w:sz w:val="27"/>
    </w:rPr>
  </w:style>
  <w:style w:type="character" w:customStyle="1" w:styleId="Heading3Char">
    <w:name w:val="Heading 3 Char"/>
    <w:link w:val="Heading3"/>
    <w:rPr>
      <w:rFonts w:ascii="Times New Roman" w:eastAsia="Times New Roman" w:hAnsi="Times New Roman" w:cs="Times New Roman"/>
      <w:b/>
      <w:color w:val="000000"/>
      <w:sz w:val="23"/>
    </w:rPr>
  </w:style>
  <w:style w:type="character" w:customStyle="1" w:styleId="footnotemark">
    <w:name w:val="footnote mark"/>
    <w:hidden/>
    <w:rPr>
      <w:rFonts w:ascii="Times New Roman" w:eastAsia="Times New Roman" w:hAnsi="Times New Roman" w:cs="Times New Roman"/>
      <w:color w:val="000000"/>
      <w:sz w:val="2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25BD5"/>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2</TotalTime>
  <Pages>20</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PIYATIDA PANITSUPAKAMOL</dc:creator>
  <cp:keywords/>
  <cp:lastModifiedBy>PIYATIDA PANITSUPAKAMOL</cp:lastModifiedBy>
  <cp:revision>2</cp:revision>
  <dcterms:created xsi:type="dcterms:W3CDTF">2024-09-09T06:21:00Z</dcterms:created>
  <dcterms:modified xsi:type="dcterms:W3CDTF">2024-09-09T06:21:00Z</dcterms:modified>
</cp:coreProperties>
</file>