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63B1" w14:textId="77777777" w:rsidR="00011E3D" w:rsidRPr="000A1286" w:rsidRDefault="00011E3D" w:rsidP="00011E3D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425D56C4" w14:textId="77777777" w:rsidR="00011E3D" w:rsidRDefault="00011E3D" w:rsidP="00011E3D">
      <w:pPr>
        <w:pStyle w:val="HEADING1SMPC"/>
      </w:pPr>
      <w:r w:rsidRPr="008F5678">
        <w:t>NAME OF THE MEDICINAL PRODUCT</w:t>
      </w:r>
    </w:p>
    <w:p w14:paraId="11D68009" w14:textId="2E8C7122" w:rsidR="00011E3D" w:rsidRPr="00A4294B" w:rsidRDefault="00FC1A2B" w:rsidP="00011E3D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FC1A2B">
        <w:rPr>
          <w:rFonts w:ascii="Times New Roman" w:hAnsi="Times New Roman" w:cs="Times New Roman"/>
          <w:color w:val="FF0000"/>
          <w:sz w:val="28"/>
        </w:rPr>
        <w:t xml:space="preserve">&lt;Trade name&gt; &lt;Strength&gt; </w:t>
      </w:r>
      <w:r>
        <w:rPr>
          <w:rFonts w:ascii="Times New Roman" w:hAnsi="Times New Roman" w:cs="Times New Roman"/>
          <w:sz w:val="28"/>
        </w:rPr>
        <w:t>t</w:t>
      </w:r>
      <w:r w:rsidRPr="00FC1A2B">
        <w:rPr>
          <w:rFonts w:ascii="Times New Roman" w:hAnsi="Times New Roman" w:cs="Times New Roman"/>
          <w:sz w:val="28"/>
        </w:rPr>
        <w:t xml:space="preserve">ablets </w:t>
      </w:r>
      <w:r w:rsidR="00011E3D" w:rsidRPr="00011E3D">
        <w:rPr>
          <w:rFonts w:ascii="Times New Roman" w:hAnsi="Times New Roman" w:cs="Times New Roman"/>
          <w:sz w:val="28"/>
        </w:rPr>
        <w:t>BP</w:t>
      </w:r>
    </w:p>
    <w:p w14:paraId="6CFAA325" w14:textId="77777777" w:rsidR="00011E3D" w:rsidRDefault="00011E3D" w:rsidP="00011E3D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6651C663" w14:textId="20712370" w:rsidR="00011E3D" w:rsidRDefault="00011E3D" w:rsidP="00011E3D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11E3D">
        <w:rPr>
          <w:rFonts w:ascii="Times New Roman" w:hAnsi="Times New Roman" w:cs="Times New Roman"/>
          <w:sz w:val="28"/>
        </w:rPr>
        <w:t xml:space="preserve">Each tablet contains: </w:t>
      </w:r>
      <w:r w:rsidR="00FC1A2B">
        <w:rPr>
          <w:rFonts w:ascii="Times New Roman" w:hAnsi="Times New Roman" w:cs="Times New Roman"/>
          <w:sz w:val="28"/>
        </w:rPr>
        <w:t>m</w:t>
      </w:r>
      <w:r w:rsidRPr="00011E3D">
        <w:rPr>
          <w:rFonts w:ascii="Times New Roman" w:hAnsi="Times New Roman" w:cs="Times New Roman"/>
          <w:sz w:val="28"/>
        </w:rPr>
        <w:t xml:space="preserve">agnesium trisilicate BP 250.00 mg and dried </w:t>
      </w:r>
      <w:proofErr w:type="spellStart"/>
      <w:r w:rsidRPr="00011E3D">
        <w:rPr>
          <w:rFonts w:ascii="Times New Roman" w:hAnsi="Times New Roman" w:cs="Times New Roman"/>
          <w:sz w:val="28"/>
        </w:rPr>
        <w:t>aluminium</w:t>
      </w:r>
      <w:proofErr w:type="spellEnd"/>
      <w:r w:rsidRPr="00011E3D">
        <w:rPr>
          <w:rFonts w:ascii="Times New Roman" w:hAnsi="Times New Roman" w:cs="Times New Roman"/>
          <w:sz w:val="28"/>
        </w:rPr>
        <w:t xml:space="preserve"> hydroxide gel BP 120.00 mg.</w:t>
      </w:r>
    </w:p>
    <w:p w14:paraId="6A34BF38" w14:textId="77777777" w:rsidR="00011E3D" w:rsidRPr="00FC1A2B" w:rsidRDefault="00011E3D" w:rsidP="00011E3D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FC1A2B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0498BFD5" w14:textId="77777777" w:rsidR="00011E3D" w:rsidRPr="0085460F" w:rsidRDefault="00011E3D" w:rsidP="00011E3D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730404D9" w14:textId="77777777" w:rsidR="00011E3D" w:rsidRPr="000A1286" w:rsidRDefault="00011E3D" w:rsidP="00011E3D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7C3AFB0E" w14:textId="77777777" w:rsidR="00011E3D" w:rsidRDefault="00011E3D" w:rsidP="00011E3D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7DBE3C99" w14:textId="77777777" w:rsidR="00011E3D" w:rsidRDefault="00011E3D" w:rsidP="00011E3D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4E6B0A">
        <w:rPr>
          <w:rFonts w:ascii="Times New Roman" w:hAnsi="Times New Roman" w:cs="Times New Roman"/>
          <w:sz w:val="28"/>
        </w:rPr>
        <w:t>Tablets</w:t>
      </w:r>
    </w:p>
    <w:p w14:paraId="0627A4CF" w14:textId="77777777" w:rsidR="00011E3D" w:rsidRPr="0085460F" w:rsidRDefault="00011E3D" w:rsidP="00011E3D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39EA49FA" w14:textId="77777777" w:rsidR="00011E3D" w:rsidRPr="008F5678" w:rsidRDefault="00011E3D" w:rsidP="00011E3D">
      <w:pPr>
        <w:pStyle w:val="HEADING1SMPC"/>
        <w:rPr>
          <w:szCs w:val="28"/>
        </w:rPr>
      </w:pPr>
      <w:r w:rsidRPr="008F5678">
        <w:t>CLINICAL PARTICULARS</w:t>
      </w:r>
    </w:p>
    <w:p w14:paraId="6C24DF2C" w14:textId="77777777" w:rsidR="00011E3D" w:rsidRDefault="00011E3D" w:rsidP="00011E3D">
      <w:pPr>
        <w:pStyle w:val="SubHeafingSMPC"/>
        <w:spacing w:before="0"/>
        <w:ind w:left="0" w:firstLine="0"/>
      </w:pPr>
      <w:r w:rsidRPr="007F158B">
        <w:t>Therapeutic indications</w:t>
      </w:r>
    </w:p>
    <w:p w14:paraId="5D9295A4" w14:textId="0F112A2F" w:rsidR="00011E3D" w:rsidRPr="00A27C5D" w:rsidRDefault="00011E3D" w:rsidP="00011E3D">
      <w:pPr>
        <w:pStyle w:val="SubHeafingSMPC"/>
        <w:numPr>
          <w:ilvl w:val="0"/>
          <w:numId w:val="0"/>
        </w:numPr>
        <w:spacing w:before="0"/>
      </w:pPr>
      <w:r>
        <w:tab/>
      </w:r>
      <w:r w:rsidRPr="00011E3D">
        <w:rPr>
          <w:rFonts w:cstheme="minorBidi"/>
          <w:b w:val="0"/>
          <w:bCs w:val="0"/>
        </w:rPr>
        <w:t>For the symptomatic relief of dyspepsia</w:t>
      </w:r>
      <w:r w:rsidRPr="004E6B0A">
        <w:rPr>
          <w:rFonts w:cstheme="minorBidi"/>
          <w:b w:val="0"/>
          <w:bCs w:val="0"/>
        </w:rPr>
        <w:t>.</w:t>
      </w:r>
      <w:r w:rsidRPr="004E6B0A">
        <w:rPr>
          <w:rFonts w:cstheme="minorBidi"/>
          <w:b w:val="0"/>
          <w:bCs w:val="0"/>
          <w:cs/>
        </w:rPr>
        <w:tab/>
      </w:r>
    </w:p>
    <w:p w14:paraId="5B839BC1" w14:textId="77777777" w:rsidR="00011E3D" w:rsidRPr="00E26561" w:rsidRDefault="00011E3D" w:rsidP="00011E3D">
      <w:pPr>
        <w:pStyle w:val="SubHeafingSMPC"/>
        <w:spacing w:before="0"/>
        <w:ind w:left="57"/>
      </w:pPr>
      <w:r w:rsidRPr="008F5678">
        <w:t>Posology and method of administration</w:t>
      </w:r>
    </w:p>
    <w:p w14:paraId="48381D52" w14:textId="77777777" w:rsidR="00011E3D" w:rsidRDefault="00011E3D" w:rsidP="00011E3D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  <w:i/>
          <w:iCs/>
        </w:rPr>
      </w:pPr>
      <w:r>
        <w:rPr>
          <w:rFonts w:cstheme="minorBidi"/>
          <w:cs/>
        </w:rPr>
        <w:tab/>
      </w:r>
      <w:r w:rsidRPr="00011E3D">
        <w:rPr>
          <w:rFonts w:cstheme="minorBidi"/>
          <w:b w:val="0"/>
          <w:bCs w:val="0"/>
          <w:i/>
          <w:iCs/>
        </w:rPr>
        <w:t>Adults, elderly and children over 14 years:</w:t>
      </w:r>
    </w:p>
    <w:p w14:paraId="3191C413" w14:textId="77777777" w:rsidR="00011E3D" w:rsidRDefault="00011E3D" w:rsidP="00011E3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  <w:i/>
          <w:iCs/>
          <w:cs/>
        </w:rPr>
        <w:tab/>
      </w:r>
      <w:r w:rsidRPr="00011E3D">
        <w:rPr>
          <w:b w:val="0"/>
          <w:bCs w:val="0"/>
        </w:rPr>
        <w:t xml:space="preserve">One to two tablets three times daily, one hour after meals and at bedtime </w:t>
      </w:r>
      <w:r>
        <w:rPr>
          <w:b w:val="0"/>
          <w:bCs w:val="0"/>
        </w:rPr>
        <w:tab/>
      </w:r>
      <w:r w:rsidRPr="00011E3D">
        <w:rPr>
          <w:b w:val="0"/>
          <w:bCs w:val="0"/>
        </w:rPr>
        <w:t xml:space="preserve">or as required. </w:t>
      </w:r>
    </w:p>
    <w:p w14:paraId="758E5961" w14:textId="77777777" w:rsidR="00FC1A2B" w:rsidRPr="00FC1A2B" w:rsidRDefault="00FC1A2B" w:rsidP="00011E3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080E489B" w14:textId="7A762039" w:rsidR="00011E3D" w:rsidRPr="00011E3D" w:rsidRDefault="00011E3D" w:rsidP="00011E3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011E3D">
        <w:rPr>
          <w:b w:val="0"/>
          <w:bCs w:val="0"/>
          <w:i/>
          <w:iCs/>
        </w:rPr>
        <w:t>Children 10 to 14 years:</w:t>
      </w:r>
    </w:p>
    <w:p w14:paraId="06685375" w14:textId="77777777" w:rsidR="00011E3D" w:rsidRDefault="00011E3D" w:rsidP="00011E3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11E3D">
        <w:rPr>
          <w:b w:val="0"/>
          <w:bCs w:val="0"/>
        </w:rPr>
        <w:t xml:space="preserve">One tablet three times daily. </w:t>
      </w:r>
    </w:p>
    <w:p w14:paraId="53E51E48" w14:textId="77777777" w:rsidR="00FC1A2B" w:rsidRPr="00FC1A2B" w:rsidRDefault="00FC1A2B" w:rsidP="00011E3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5CBE3319" w14:textId="77777777" w:rsidR="00A8054A" w:rsidRDefault="00011E3D" w:rsidP="00011E3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011E3D">
        <w:rPr>
          <w:b w:val="0"/>
          <w:bCs w:val="0"/>
          <w:i/>
          <w:iCs/>
        </w:rPr>
        <w:t>Children 10 years:</w:t>
      </w:r>
    </w:p>
    <w:p w14:paraId="29CC4E23" w14:textId="77777777" w:rsidR="00A8054A" w:rsidRDefault="00A8054A" w:rsidP="00011E3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  <w:i/>
          <w:iCs/>
        </w:rPr>
        <w:tab/>
      </w:r>
      <w:r w:rsidR="00011E3D" w:rsidRPr="00011E3D">
        <w:rPr>
          <w:b w:val="0"/>
          <w:bCs w:val="0"/>
        </w:rPr>
        <w:t>Not recommended.</w:t>
      </w:r>
    </w:p>
    <w:p w14:paraId="18435FC9" w14:textId="1DDE52AF" w:rsidR="00011E3D" w:rsidRPr="00A8054A" w:rsidRDefault="00A8054A" w:rsidP="00011E3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lastRenderedPageBreak/>
        <w:tab/>
      </w:r>
      <w:r w:rsidR="00011E3D" w:rsidRPr="00011E3D">
        <w:rPr>
          <w:b w:val="0"/>
          <w:bCs w:val="0"/>
        </w:rPr>
        <w:t xml:space="preserve">If symptoms persist for longer than 7 days, consult </w:t>
      </w:r>
      <w:r>
        <w:rPr>
          <w:b w:val="0"/>
          <w:bCs w:val="0"/>
        </w:rPr>
        <w:tab/>
      </w:r>
      <w:r w:rsidR="00011E3D" w:rsidRPr="00011E3D">
        <w:rPr>
          <w:b w:val="0"/>
          <w:bCs w:val="0"/>
        </w:rPr>
        <w:t>your doctor.</w:t>
      </w:r>
    </w:p>
    <w:p w14:paraId="6BBE60BB" w14:textId="77777777" w:rsidR="00011E3D" w:rsidRPr="004E6B0A" w:rsidRDefault="00011E3D" w:rsidP="00011E3D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  <w:sz w:val="10"/>
          <w:szCs w:val="10"/>
        </w:rPr>
      </w:pPr>
    </w:p>
    <w:p w14:paraId="0191E76A" w14:textId="77777777" w:rsidR="00011E3D" w:rsidRDefault="00011E3D" w:rsidP="00011E3D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  <w:cs/>
        </w:rPr>
        <w:tab/>
      </w:r>
      <w:r w:rsidRPr="00E26561">
        <w:rPr>
          <w:b w:val="0"/>
          <w:bCs w:val="0"/>
          <w:u w:val="single"/>
        </w:rPr>
        <w:t>Method of administration</w:t>
      </w:r>
    </w:p>
    <w:p w14:paraId="55677C30" w14:textId="77777777" w:rsidR="00011E3D" w:rsidRPr="004E6B0A" w:rsidRDefault="00011E3D" w:rsidP="00011E3D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>
        <w:rPr>
          <w:b w:val="0"/>
          <w:bCs w:val="0"/>
        </w:rPr>
        <w:t>Oral</w:t>
      </w:r>
    </w:p>
    <w:p w14:paraId="7E141D7E" w14:textId="77777777" w:rsidR="00011E3D" w:rsidRDefault="00011E3D" w:rsidP="00011E3D">
      <w:pPr>
        <w:pStyle w:val="SubHeafingSMPC"/>
        <w:ind w:left="57"/>
      </w:pPr>
      <w:r w:rsidRPr="008F5678">
        <w:t>Contraindications</w:t>
      </w:r>
    </w:p>
    <w:p w14:paraId="0ACF23A3" w14:textId="77777777" w:rsidR="00A8054A" w:rsidRDefault="00A8054A" w:rsidP="00A8054A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A8054A">
        <w:rPr>
          <w:b w:val="0"/>
          <w:bCs w:val="0"/>
          <w:lang w:eastAsia="zh-CN"/>
        </w:rPr>
        <w:t>Renal failure</w:t>
      </w:r>
    </w:p>
    <w:p w14:paraId="2C4F5FE9" w14:textId="1475EB43" w:rsidR="00011E3D" w:rsidRPr="00A8054A" w:rsidRDefault="00A8054A" w:rsidP="00A8054A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proofErr w:type="spellStart"/>
      <w:r w:rsidRPr="00A8054A">
        <w:rPr>
          <w:b w:val="0"/>
          <w:bCs w:val="0"/>
          <w:lang w:eastAsia="zh-CN"/>
        </w:rPr>
        <w:t>Hypophosphataemia</w:t>
      </w:r>
      <w:proofErr w:type="spellEnd"/>
      <w:r w:rsidR="00011E3D" w:rsidRPr="00A8054A">
        <w:rPr>
          <w:b w:val="0"/>
          <w:bCs w:val="0"/>
          <w:lang w:eastAsia="zh-CN"/>
        </w:rPr>
        <w:t>.</w:t>
      </w:r>
    </w:p>
    <w:p w14:paraId="7C1F31D3" w14:textId="77777777" w:rsidR="00011E3D" w:rsidRDefault="00011E3D" w:rsidP="00011E3D">
      <w:pPr>
        <w:pStyle w:val="SubHeafingSMPC"/>
        <w:ind w:left="57"/>
      </w:pPr>
      <w:r w:rsidRPr="008F5678">
        <w:t>Special warnings and precautions for use</w:t>
      </w:r>
    </w:p>
    <w:p w14:paraId="02AF1E07" w14:textId="74E78BDF" w:rsidR="00A8054A" w:rsidRDefault="00011E3D" w:rsidP="00011E3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A8054A" w:rsidRPr="00A8054A">
        <w:rPr>
          <w:rFonts w:cstheme="minorBidi"/>
          <w:b w:val="0"/>
          <w:bCs w:val="0"/>
        </w:rPr>
        <w:t xml:space="preserve">If renal function is impaired, </w:t>
      </w:r>
      <w:proofErr w:type="spellStart"/>
      <w:r w:rsidR="00A8054A" w:rsidRPr="00A8054A">
        <w:rPr>
          <w:rFonts w:cstheme="minorBidi"/>
          <w:b w:val="0"/>
          <w:bCs w:val="0"/>
        </w:rPr>
        <w:t>hypermagnesaemia</w:t>
      </w:r>
      <w:proofErr w:type="spellEnd"/>
      <w:r w:rsidR="00A8054A" w:rsidRPr="00A8054A">
        <w:rPr>
          <w:rFonts w:cstheme="minorBidi"/>
          <w:b w:val="0"/>
          <w:bCs w:val="0"/>
        </w:rPr>
        <w:t xml:space="preserve"> may result.</w:t>
      </w:r>
    </w:p>
    <w:p w14:paraId="5BDADAC2" w14:textId="77777777" w:rsidR="00FC1A2B" w:rsidRPr="00FC1A2B" w:rsidRDefault="00FC1A2B" w:rsidP="00011E3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24997C3E" w14:textId="77777777" w:rsidR="00A8054A" w:rsidRDefault="00A8054A" w:rsidP="00011E3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8054A">
        <w:rPr>
          <w:rFonts w:cstheme="minorBidi"/>
          <w:b w:val="0"/>
          <w:bCs w:val="0"/>
        </w:rPr>
        <w:t xml:space="preserve">Symptoms of </w:t>
      </w:r>
      <w:proofErr w:type="spellStart"/>
      <w:r w:rsidRPr="00A8054A">
        <w:rPr>
          <w:rFonts w:cstheme="minorBidi"/>
          <w:b w:val="0"/>
          <w:bCs w:val="0"/>
        </w:rPr>
        <w:t>hypermagnesaemia</w:t>
      </w:r>
      <w:proofErr w:type="spellEnd"/>
      <w:r w:rsidRPr="00A8054A">
        <w:rPr>
          <w:rFonts w:cstheme="minorBidi"/>
          <w:b w:val="0"/>
          <w:bCs w:val="0"/>
        </w:rPr>
        <w:t xml:space="preserve"> may include flushing of the skin, thirst, </w:t>
      </w:r>
      <w:r>
        <w:rPr>
          <w:rFonts w:cstheme="minorBidi"/>
          <w:b w:val="0"/>
          <w:bCs w:val="0"/>
        </w:rPr>
        <w:tab/>
      </w:r>
      <w:r w:rsidRPr="00A8054A">
        <w:rPr>
          <w:rFonts w:cstheme="minorBidi"/>
          <w:b w:val="0"/>
          <w:bCs w:val="0"/>
        </w:rPr>
        <w:t xml:space="preserve">hypotension due to peripheral vasodilatation, drowsiness, confusion, loss </w:t>
      </w:r>
      <w:r>
        <w:rPr>
          <w:rFonts w:cstheme="minorBidi"/>
          <w:b w:val="0"/>
          <w:bCs w:val="0"/>
        </w:rPr>
        <w:tab/>
      </w:r>
      <w:r w:rsidRPr="00A8054A">
        <w:rPr>
          <w:rFonts w:cstheme="minorBidi"/>
          <w:b w:val="0"/>
          <w:bCs w:val="0"/>
        </w:rPr>
        <w:t xml:space="preserve">of tendon reflexes due to neuromuscular blockade, muscle weakness, </w:t>
      </w:r>
      <w:r>
        <w:rPr>
          <w:rFonts w:cstheme="minorBidi"/>
          <w:b w:val="0"/>
          <w:bCs w:val="0"/>
        </w:rPr>
        <w:tab/>
      </w:r>
      <w:r w:rsidRPr="00A8054A">
        <w:rPr>
          <w:rFonts w:cstheme="minorBidi"/>
          <w:b w:val="0"/>
          <w:bCs w:val="0"/>
        </w:rPr>
        <w:t>respiratory depression, cardiac arrhythmias, coma and cardiac arrest.</w:t>
      </w:r>
    </w:p>
    <w:p w14:paraId="0B0E907F" w14:textId="77777777" w:rsidR="00FC1A2B" w:rsidRPr="00FC1A2B" w:rsidRDefault="00FC1A2B" w:rsidP="00011E3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D38E771" w14:textId="77777777" w:rsidR="00A8054A" w:rsidRDefault="00A8054A" w:rsidP="00011E3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8054A">
        <w:rPr>
          <w:rFonts w:cstheme="minorBidi"/>
          <w:b w:val="0"/>
          <w:bCs w:val="0"/>
        </w:rPr>
        <w:t>If symptoms persist for longer than 7 days, consult your doctor.</w:t>
      </w:r>
    </w:p>
    <w:p w14:paraId="0B34CBD0" w14:textId="77777777" w:rsidR="00FC1A2B" w:rsidRPr="00FC1A2B" w:rsidRDefault="00FC1A2B" w:rsidP="00011E3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8F2FB0C" w14:textId="3D27B413" w:rsidR="00011E3D" w:rsidRPr="00A8054A" w:rsidRDefault="00A8054A" w:rsidP="00FC1A2B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8054A">
        <w:rPr>
          <w:rFonts w:cstheme="minorBidi"/>
          <w:b w:val="0"/>
          <w:bCs w:val="0"/>
        </w:rPr>
        <w:t>Patients with rare hereditary problems of fructose or galactose</w:t>
      </w:r>
      <w:r w:rsidR="00FC1A2B">
        <w:rPr>
          <w:rFonts w:cstheme="minorBidi"/>
          <w:b w:val="0"/>
          <w:bCs w:val="0"/>
        </w:rPr>
        <w:t xml:space="preserve"> </w:t>
      </w:r>
      <w:r w:rsidR="00FC1A2B">
        <w:rPr>
          <w:rFonts w:cstheme="minorBidi"/>
          <w:b w:val="0"/>
          <w:bCs w:val="0"/>
        </w:rPr>
        <w:tab/>
      </w:r>
      <w:r w:rsidRPr="00A8054A">
        <w:rPr>
          <w:rFonts w:cstheme="minorBidi"/>
          <w:b w:val="0"/>
          <w:bCs w:val="0"/>
        </w:rPr>
        <w:t>intolerance, the LAPP lactase deficiency, glucose-galactose</w:t>
      </w:r>
      <w:r w:rsidR="00FC1A2B">
        <w:rPr>
          <w:rFonts w:cstheme="minorBidi"/>
          <w:b w:val="0"/>
          <w:bCs w:val="0"/>
        </w:rPr>
        <w:t xml:space="preserve"> </w:t>
      </w:r>
      <w:r w:rsidR="00FC1A2B">
        <w:rPr>
          <w:rFonts w:cstheme="minorBidi"/>
          <w:b w:val="0"/>
          <w:bCs w:val="0"/>
        </w:rPr>
        <w:tab/>
      </w:r>
      <w:r w:rsidRPr="00A8054A">
        <w:rPr>
          <w:rFonts w:cstheme="minorBidi"/>
          <w:b w:val="0"/>
          <w:bCs w:val="0"/>
        </w:rPr>
        <w:t>malabsorption or sucrase</w:t>
      </w:r>
      <w:r>
        <w:rPr>
          <w:rFonts w:cstheme="minorBidi"/>
          <w:b w:val="0"/>
          <w:bCs w:val="0"/>
        </w:rPr>
        <w:t>-</w:t>
      </w:r>
      <w:proofErr w:type="spellStart"/>
      <w:r w:rsidRPr="00A8054A">
        <w:rPr>
          <w:rFonts w:cstheme="minorBidi"/>
          <w:b w:val="0"/>
          <w:bCs w:val="0"/>
        </w:rPr>
        <w:t>isomaltase</w:t>
      </w:r>
      <w:proofErr w:type="spellEnd"/>
      <w:r w:rsidRPr="00A8054A">
        <w:rPr>
          <w:rFonts w:cstheme="minorBidi"/>
          <w:b w:val="0"/>
          <w:bCs w:val="0"/>
        </w:rPr>
        <w:t xml:space="preserve"> insufficiency should not take this </w:t>
      </w:r>
      <w:r>
        <w:rPr>
          <w:rFonts w:cstheme="minorBidi"/>
          <w:b w:val="0"/>
          <w:bCs w:val="0"/>
        </w:rPr>
        <w:tab/>
      </w:r>
      <w:r w:rsidRPr="00A8054A">
        <w:rPr>
          <w:rFonts w:cstheme="minorBidi"/>
          <w:b w:val="0"/>
          <w:bCs w:val="0"/>
        </w:rPr>
        <w:t>medicine.</w:t>
      </w:r>
    </w:p>
    <w:p w14:paraId="3C95AE16" w14:textId="77777777" w:rsidR="00011E3D" w:rsidRPr="002C2ECF" w:rsidRDefault="00011E3D" w:rsidP="00011E3D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10592327" w14:textId="77777777" w:rsidR="00FC1A2B" w:rsidRDefault="00011E3D" w:rsidP="00FC1A2B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="00A8054A" w:rsidRPr="00A8054A">
        <w:rPr>
          <w:b w:val="0"/>
          <w:bCs w:val="0"/>
        </w:rPr>
        <w:t>Concurrent administration of antacids reduces the absorption of</w:t>
      </w:r>
      <w:r w:rsidR="00FC1A2B">
        <w:rPr>
          <w:b w:val="0"/>
          <w:bCs w:val="0"/>
        </w:rPr>
        <w:t xml:space="preserve"> </w:t>
      </w:r>
      <w:r w:rsidR="00FC1A2B">
        <w:rPr>
          <w:b w:val="0"/>
          <w:bCs w:val="0"/>
        </w:rPr>
        <w:tab/>
      </w:r>
      <w:r w:rsidR="00A8054A" w:rsidRPr="00A8054A">
        <w:rPr>
          <w:b w:val="0"/>
          <w:bCs w:val="0"/>
        </w:rPr>
        <w:t>ciprofloxacin, pivampicillin, rifampicin, most tetracyclines,</w:t>
      </w:r>
      <w:r w:rsidR="00FC1A2B">
        <w:rPr>
          <w:b w:val="0"/>
          <w:bCs w:val="0"/>
        </w:rPr>
        <w:t xml:space="preserve"> </w:t>
      </w:r>
      <w:r w:rsidR="00FC1A2B">
        <w:rPr>
          <w:b w:val="0"/>
          <w:bCs w:val="0"/>
        </w:rPr>
        <w:tab/>
      </w:r>
      <w:r w:rsidR="00A8054A" w:rsidRPr="00A8054A">
        <w:rPr>
          <w:b w:val="0"/>
          <w:bCs w:val="0"/>
        </w:rPr>
        <w:t xml:space="preserve">itraconazole, ketoconazole, chloroquine, hydroxychloroquine, </w:t>
      </w:r>
      <w:r w:rsidR="00A8054A">
        <w:rPr>
          <w:b w:val="0"/>
          <w:bCs w:val="0"/>
        </w:rPr>
        <w:tab/>
      </w:r>
      <w:r w:rsidR="00A8054A" w:rsidRPr="00A8054A">
        <w:rPr>
          <w:b w:val="0"/>
          <w:bCs w:val="0"/>
        </w:rPr>
        <w:t>phenothiazines, phenytoin, oral iron, penicillamine and diflunisal.</w:t>
      </w:r>
    </w:p>
    <w:p w14:paraId="72EA4A86" w14:textId="77777777" w:rsidR="00FC1A2B" w:rsidRPr="00FC1A2B" w:rsidRDefault="00FC1A2B" w:rsidP="00FC1A2B">
      <w:pPr>
        <w:pStyle w:val="SubHeafingSMPC"/>
        <w:numPr>
          <w:ilvl w:val="0"/>
          <w:numId w:val="0"/>
        </w:numPr>
        <w:rPr>
          <w:b w:val="0"/>
          <w:bCs w:val="0"/>
          <w:sz w:val="10"/>
          <w:szCs w:val="10"/>
        </w:rPr>
      </w:pPr>
    </w:p>
    <w:p w14:paraId="6E3AEA61" w14:textId="695C2DE2" w:rsidR="00A8054A" w:rsidRDefault="00FC1A2B" w:rsidP="00FC1A2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="00A8054A" w:rsidRPr="00A8054A">
        <w:rPr>
          <w:b w:val="0"/>
          <w:bCs w:val="0"/>
        </w:rPr>
        <w:t>Concurrent use of antacids reduces the effectiveness of the ulcer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="00A8054A" w:rsidRPr="00A8054A">
        <w:rPr>
          <w:b w:val="0"/>
          <w:bCs w:val="0"/>
        </w:rPr>
        <w:t>healing drug sucralfate.</w:t>
      </w:r>
    </w:p>
    <w:p w14:paraId="55445AB5" w14:textId="044FBAFF" w:rsidR="00011E3D" w:rsidRPr="006722FC" w:rsidRDefault="00A8054A" w:rsidP="00011E3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A8054A">
        <w:rPr>
          <w:b w:val="0"/>
          <w:bCs w:val="0"/>
        </w:rPr>
        <w:t>Concurrent use of antacids increases the excretion of aspirin,</w:t>
      </w:r>
      <w:r>
        <w:rPr>
          <w:b w:val="0"/>
          <w:bCs w:val="0"/>
        </w:rPr>
        <w:t xml:space="preserve"> </w:t>
      </w:r>
      <w:r w:rsidRPr="00A8054A">
        <w:rPr>
          <w:b w:val="0"/>
          <w:bCs w:val="0"/>
        </w:rPr>
        <w:t xml:space="preserve">flecainide, </w:t>
      </w:r>
      <w:r>
        <w:rPr>
          <w:b w:val="0"/>
          <w:bCs w:val="0"/>
        </w:rPr>
        <w:tab/>
      </w:r>
      <w:r w:rsidRPr="00A8054A">
        <w:rPr>
          <w:b w:val="0"/>
          <w:bCs w:val="0"/>
        </w:rPr>
        <w:t>mexiletine and quinine</w:t>
      </w:r>
      <w:r w:rsidR="00011E3D" w:rsidRPr="00D31F5A">
        <w:rPr>
          <w:b w:val="0"/>
          <w:bCs w:val="0"/>
        </w:rPr>
        <w:t>.</w:t>
      </w:r>
    </w:p>
    <w:p w14:paraId="3A58ADFE" w14:textId="77777777" w:rsidR="00011E3D" w:rsidRDefault="00011E3D" w:rsidP="00011E3D">
      <w:pPr>
        <w:pStyle w:val="SubHeafingSMPC"/>
        <w:ind w:left="57"/>
      </w:pPr>
      <w:r w:rsidRPr="008F5678">
        <w:t>Fertility, pregnancy and lactation</w:t>
      </w:r>
    </w:p>
    <w:p w14:paraId="3162AD43" w14:textId="15F1BC3C" w:rsidR="00011E3D" w:rsidRPr="009126B5" w:rsidRDefault="00011E3D" w:rsidP="00011E3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A8054A" w:rsidRPr="00A8054A">
        <w:rPr>
          <w:b w:val="0"/>
          <w:bCs w:val="0"/>
        </w:rPr>
        <w:t xml:space="preserve">Safety of </w:t>
      </w:r>
      <w:r w:rsidR="00FC1A2B">
        <w:rPr>
          <w:b w:val="0"/>
          <w:bCs w:val="0"/>
        </w:rPr>
        <w:t>c</w:t>
      </w:r>
      <w:r w:rsidR="00A8054A" w:rsidRPr="00A8054A">
        <w:rPr>
          <w:b w:val="0"/>
          <w:bCs w:val="0"/>
        </w:rPr>
        <w:t xml:space="preserve">ompound </w:t>
      </w:r>
      <w:r w:rsidR="00FC1A2B">
        <w:rPr>
          <w:b w:val="0"/>
          <w:bCs w:val="0"/>
        </w:rPr>
        <w:t>m</w:t>
      </w:r>
      <w:r w:rsidR="00A8054A" w:rsidRPr="00A8054A">
        <w:rPr>
          <w:b w:val="0"/>
          <w:bCs w:val="0"/>
        </w:rPr>
        <w:t xml:space="preserve">agnesium </w:t>
      </w:r>
      <w:r w:rsidR="00FC1A2B">
        <w:rPr>
          <w:b w:val="0"/>
          <w:bCs w:val="0"/>
        </w:rPr>
        <w:t>t</w:t>
      </w:r>
      <w:r w:rsidR="00A8054A" w:rsidRPr="00A8054A">
        <w:rPr>
          <w:b w:val="0"/>
          <w:bCs w:val="0"/>
        </w:rPr>
        <w:t xml:space="preserve">risilicate has not been established. </w:t>
      </w:r>
      <w:r w:rsidR="00A8054A">
        <w:rPr>
          <w:b w:val="0"/>
          <w:bCs w:val="0"/>
        </w:rPr>
        <w:tab/>
      </w:r>
      <w:r w:rsidR="00A8054A" w:rsidRPr="00A8054A">
        <w:rPr>
          <w:b w:val="0"/>
          <w:bCs w:val="0"/>
        </w:rPr>
        <w:t xml:space="preserve">However, as with all medicines, use during early pregnancy should be </w:t>
      </w:r>
      <w:r w:rsidR="00A8054A">
        <w:rPr>
          <w:b w:val="0"/>
          <w:bCs w:val="0"/>
        </w:rPr>
        <w:tab/>
      </w:r>
      <w:r w:rsidR="00A8054A" w:rsidRPr="00A8054A">
        <w:rPr>
          <w:b w:val="0"/>
          <w:bCs w:val="0"/>
        </w:rPr>
        <w:t xml:space="preserve">avoided. Use during later pregnancy and lactation is not considered to be </w:t>
      </w:r>
      <w:r w:rsidR="00A8054A">
        <w:rPr>
          <w:b w:val="0"/>
          <w:bCs w:val="0"/>
        </w:rPr>
        <w:tab/>
      </w:r>
      <w:r w:rsidR="00A8054A" w:rsidRPr="00A8054A">
        <w:rPr>
          <w:b w:val="0"/>
          <w:bCs w:val="0"/>
        </w:rPr>
        <w:t>a hazard</w:t>
      </w:r>
      <w:r w:rsidRPr="00A8054A">
        <w:rPr>
          <w:b w:val="0"/>
          <w:bCs w:val="0"/>
        </w:rPr>
        <w:t>.</w:t>
      </w:r>
    </w:p>
    <w:p w14:paraId="319DC14D" w14:textId="77777777" w:rsidR="00011E3D" w:rsidRPr="009126B5" w:rsidRDefault="00011E3D" w:rsidP="00011E3D">
      <w:pPr>
        <w:pStyle w:val="SubHeafingSMPC"/>
        <w:ind w:left="57"/>
      </w:pPr>
      <w:r w:rsidRPr="008F5678">
        <w:t>Effects on ability to drive and use machines</w:t>
      </w:r>
    </w:p>
    <w:p w14:paraId="0C0D7846" w14:textId="77777777" w:rsidR="00011E3D" w:rsidRPr="002D59FE" w:rsidRDefault="00011E3D" w:rsidP="00011E3D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091200">
        <w:rPr>
          <w:b w:val="0"/>
          <w:bCs w:val="0"/>
          <w:lang w:eastAsia="zh-CN"/>
        </w:rPr>
        <w:t>None stated.</w:t>
      </w:r>
      <w:r>
        <w:rPr>
          <w:b w:val="0"/>
          <w:bCs w:val="0"/>
          <w:lang w:eastAsia="zh-CN"/>
        </w:rPr>
        <w:tab/>
      </w:r>
    </w:p>
    <w:p w14:paraId="7BCBCBF9" w14:textId="77777777" w:rsidR="00011E3D" w:rsidRDefault="00011E3D" w:rsidP="00011E3D">
      <w:pPr>
        <w:pStyle w:val="SubHeafingSMPC"/>
        <w:ind w:left="57"/>
      </w:pPr>
      <w:r w:rsidRPr="008F5678">
        <w:t>Undesirable effects</w:t>
      </w:r>
    </w:p>
    <w:p w14:paraId="7D556B09" w14:textId="77777777" w:rsidR="00A8054A" w:rsidRDefault="00011E3D" w:rsidP="00011E3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A8054A" w:rsidRPr="00A8054A">
        <w:rPr>
          <w:b w:val="0"/>
          <w:bCs w:val="0"/>
        </w:rPr>
        <w:t xml:space="preserve">May cause nausea, vomiting, constipation or </w:t>
      </w:r>
      <w:proofErr w:type="spellStart"/>
      <w:r w:rsidR="00A8054A" w:rsidRPr="00A8054A">
        <w:rPr>
          <w:b w:val="0"/>
          <w:bCs w:val="0"/>
        </w:rPr>
        <w:t>diarrhoea</w:t>
      </w:r>
      <w:proofErr w:type="spellEnd"/>
      <w:r w:rsidR="00A8054A" w:rsidRPr="00A8054A">
        <w:rPr>
          <w:b w:val="0"/>
          <w:bCs w:val="0"/>
        </w:rPr>
        <w:t xml:space="preserve">. If renal function </w:t>
      </w:r>
      <w:r w:rsidR="00A8054A">
        <w:rPr>
          <w:b w:val="0"/>
          <w:bCs w:val="0"/>
        </w:rPr>
        <w:tab/>
      </w:r>
      <w:r w:rsidR="00A8054A" w:rsidRPr="00A8054A">
        <w:rPr>
          <w:b w:val="0"/>
          <w:bCs w:val="0"/>
        </w:rPr>
        <w:t xml:space="preserve">is impaired, </w:t>
      </w:r>
      <w:proofErr w:type="spellStart"/>
      <w:r w:rsidR="00A8054A" w:rsidRPr="00A8054A">
        <w:rPr>
          <w:b w:val="0"/>
          <w:bCs w:val="0"/>
        </w:rPr>
        <w:t>hypermagnesaemia</w:t>
      </w:r>
      <w:proofErr w:type="spellEnd"/>
      <w:r w:rsidR="00A8054A" w:rsidRPr="00A8054A">
        <w:rPr>
          <w:b w:val="0"/>
          <w:bCs w:val="0"/>
        </w:rPr>
        <w:t xml:space="preserve"> may occur.</w:t>
      </w:r>
    </w:p>
    <w:p w14:paraId="4AEEB460" w14:textId="77777777" w:rsidR="00FC1A2B" w:rsidRPr="00FC1A2B" w:rsidRDefault="00FC1A2B" w:rsidP="00011E3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45D18A6" w14:textId="4C1DE9D1" w:rsidR="00011E3D" w:rsidRDefault="00A8054A" w:rsidP="00011E3D">
      <w:pPr>
        <w:pStyle w:val="SubHeafingSMPC"/>
        <w:numPr>
          <w:ilvl w:val="0"/>
          <w:numId w:val="0"/>
        </w:numPr>
        <w:jc w:val="thaiDistribute"/>
      </w:pPr>
      <w:r>
        <w:rPr>
          <w:b w:val="0"/>
          <w:bCs w:val="0"/>
        </w:rPr>
        <w:tab/>
      </w:r>
      <w:r w:rsidRPr="00A8054A">
        <w:rPr>
          <w:b w:val="0"/>
          <w:bCs w:val="0"/>
        </w:rPr>
        <w:t xml:space="preserve">Large doses or even normal doses in patients with low phosphate diets </w:t>
      </w:r>
      <w:r>
        <w:rPr>
          <w:b w:val="0"/>
          <w:bCs w:val="0"/>
        </w:rPr>
        <w:tab/>
      </w:r>
      <w:r w:rsidRPr="00A8054A">
        <w:rPr>
          <w:b w:val="0"/>
          <w:bCs w:val="0"/>
        </w:rPr>
        <w:t xml:space="preserve">may lead to phosphate depletion accompanied by increased resorption </w:t>
      </w:r>
      <w:r>
        <w:rPr>
          <w:b w:val="0"/>
          <w:bCs w:val="0"/>
        </w:rPr>
        <w:tab/>
      </w:r>
      <w:r w:rsidRPr="00A8054A">
        <w:rPr>
          <w:b w:val="0"/>
          <w:bCs w:val="0"/>
        </w:rPr>
        <w:t xml:space="preserve">and urinary excretion of calcium with the risk of </w:t>
      </w:r>
      <w:proofErr w:type="spellStart"/>
      <w:r w:rsidRPr="00A8054A">
        <w:rPr>
          <w:b w:val="0"/>
          <w:bCs w:val="0"/>
        </w:rPr>
        <w:t>osteomalacia</w:t>
      </w:r>
      <w:proofErr w:type="spellEnd"/>
      <w:r w:rsidRPr="00A8054A">
        <w:rPr>
          <w:b w:val="0"/>
          <w:bCs w:val="0"/>
        </w:rPr>
        <w:t xml:space="preserve">. </w:t>
      </w:r>
      <w:r>
        <w:rPr>
          <w:b w:val="0"/>
          <w:bCs w:val="0"/>
        </w:rPr>
        <w:tab/>
      </w:r>
      <w:r w:rsidRPr="00A8054A">
        <w:rPr>
          <w:b w:val="0"/>
          <w:bCs w:val="0"/>
        </w:rPr>
        <w:t xml:space="preserve">Nephrolithiasis may also follow chronic use in patients with impaired </w:t>
      </w:r>
      <w:r>
        <w:rPr>
          <w:b w:val="0"/>
          <w:bCs w:val="0"/>
        </w:rPr>
        <w:tab/>
      </w:r>
      <w:r w:rsidRPr="00A8054A">
        <w:rPr>
          <w:b w:val="0"/>
          <w:bCs w:val="0"/>
        </w:rPr>
        <w:t>renal function</w:t>
      </w:r>
      <w:r w:rsidR="00011E3D" w:rsidRPr="00091200">
        <w:rPr>
          <w:b w:val="0"/>
          <w:bCs w:val="0"/>
        </w:rPr>
        <w:t>.</w:t>
      </w:r>
    </w:p>
    <w:p w14:paraId="128788A0" w14:textId="77777777" w:rsidR="00011E3D" w:rsidRPr="00091200" w:rsidRDefault="00011E3D" w:rsidP="00011E3D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4A67A901" w14:textId="77777777" w:rsidR="00A8054A" w:rsidRPr="00A8054A" w:rsidRDefault="00011E3D" w:rsidP="00A8054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tab/>
      </w:r>
      <w:r w:rsidR="00A8054A" w:rsidRPr="00A8054A">
        <w:rPr>
          <w:b w:val="0"/>
          <w:bCs w:val="0"/>
          <w:u w:val="single"/>
        </w:rPr>
        <w:t>Reporting of suspected adverse reactions</w:t>
      </w:r>
    </w:p>
    <w:p w14:paraId="7E91941F" w14:textId="3E02C9CE" w:rsidR="00011E3D" w:rsidRPr="00A8054A" w:rsidRDefault="00A8054A" w:rsidP="00A8054A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  <w:r>
        <w:rPr>
          <w:b w:val="0"/>
          <w:bCs w:val="0"/>
        </w:rPr>
        <w:tab/>
      </w:r>
      <w:r w:rsidR="00FC1A2B" w:rsidRPr="00FC1A2B">
        <w:rPr>
          <w:b w:val="0"/>
          <w:bCs w:val="0"/>
        </w:rPr>
        <w:t xml:space="preserve">Reporting suspected adverse reactions after </w:t>
      </w:r>
      <w:proofErr w:type="spellStart"/>
      <w:r w:rsidR="00FC1A2B" w:rsidRPr="00FC1A2B">
        <w:rPr>
          <w:b w:val="0"/>
          <w:bCs w:val="0"/>
        </w:rPr>
        <w:t>authorisation</w:t>
      </w:r>
      <w:proofErr w:type="spellEnd"/>
      <w:r w:rsidR="00FC1A2B" w:rsidRPr="00FC1A2B">
        <w:rPr>
          <w:b w:val="0"/>
          <w:bCs w:val="0"/>
        </w:rPr>
        <w:t xml:space="preserve"> of the </w:t>
      </w:r>
      <w:r w:rsidR="00FC1A2B">
        <w:rPr>
          <w:b w:val="0"/>
          <w:bCs w:val="0"/>
        </w:rPr>
        <w:tab/>
      </w:r>
      <w:r w:rsidR="00FC1A2B" w:rsidRPr="00FC1A2B">
        <w:rPr>
          <w:b w:val="0"/>
          <w:bCs w:val="0"/>
        </w:rPr>
        <w:t xml:space="preserve">medicinal product is important. It allows continued monitoring of the </w:t>
      </w:r>
      <w:r w:rsidR="00FC1A2B">
        <w:rPr>
          <w:b w:val="0"/>
          <w:bCs w:val="0"/>
        </w:rPr>
        <w:tab/>
      </w:r>
      <w:r w:rsidR="00FC1A2B" w:rsidRPr="00FC1A2B">
        <w:rPr>
          <w:b w:val="0"/>
          <w:bCs w:val="0"/>
        </w:rPr>
        <w:t xml:space="preserve">benefit/risk balance of the medicinal product. Healthcare professionals </w:t>
      </w:r>
      <w:r w:rsidR="00FC1A2B">
        <w:rPr>
          <w:b w:val="0"/>
          <w:bCs w:val="0"/>
        </w:rPr>
        <w:tab/>
      </w:r>
      <w:r w:rsidR="00FC1A2B" w:rsidRPr="00FC1A2B">
        <w:rPr>
          <w:b w:val="0"/>
          <w:bCs w:val="0"/>
        </w:rPr>
        <w:t xml:space="preserve">are asked to report any suspected adverse reactions via Health Product </w:t>
      </w:r>
      <w:r w:rsidR="00FC1A2B">
        <w:rPr>
          <w:b w:val="0"/>
          <w:bCs w:val="0"/>
        </w:rPr>
        <w:tab/>
      </w:r>
      <w:r w:rsidR="00FC1A2B" w:rsidRPr="00FC1A2B">
        <w:rPr>
          <w:b w:val="0"/>
          <w:bCs w:val="0"/>
        </w:rPr>
        <w:t>Vigilance Center; HPVC Thai FDA</w:t>
      </w:r>
      <w:r w:rsidRPr="00A8054A">
        <w:rPr>
          <w:b w:val="0"/>
          <w:bCs w:val="0"/>
        </w:rPr>
        <w:t>.</w:t>
      </w:r>
    </w:p>
    <w:p w14:paraId="31EC5B3B" w14:textId="77777777" w:rsidR="00011E3D" w:rsidRDefault="00011E3D" w:rsidP="00011E3D">
      <w:pPr>
        <w:pStyle w:val="SubHeafingSMPC"/>
        <w:ind w:left="0" w:firstLine="0"/>
      </w:pPr>
      <w:r w:rsidRPr="008F5678">
        <w:t>Overdose</w:t>
      </w:r>
    </w:p>
    <w:p w14:paraId="69847CB9" w14:textId="77777777" w:rsidR="00F23363" w:rsidRDefault="00011E3D" w:rsidP="00A8054A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="00A8054A" w:rsidRPr="00A8054A">
        <w:rPr>
          <w:rFonts w:cstheme="minorBidi"/>
          <w:b w:val="0"/>
          <w:bCs w:val="0"/>
        </w:rPr>
        <w:t xml:space="preserve">Symptoms of overdose include </w:t>
      </w:r>
      <w:proofErr w:type="spellStart"/>
      <w:r w:rsidR="00A8054A" w:rsidRPr="00A8054A">
        <w:rPr>
          <w:rFonts w:cstheme="minorBidi"/>
          <w:b w:val="0"/>
          <w:bCs w:val="0"/>
        </w:rPr>
        <w:t>hypophosphataemia</w:t>
      </w:r>
      <w:proofErr w:type="spellEnd"/>
      <w:r w:rsidR="00A8054A" w:rsidRPr="00A8054A">
        <w:rPr>
          <w:rFonts w:cstheme="minorBidi"/>
          <w:b w:val="0"/>
          <w:bCs w:val="0"/>
        </w:rPr>
        <w:t xml:space="preserve">, </w:t>
      </w:r>
      <w:proofErr w:type="spellStart"/>
      <w:r w:rsidR="00A8054A" w:rsidRPr="00A8054A">
        <w:rPr>
          <w:rFonts w:cstheme="minorBidi"/>
          <w:b w:val="0"/>
          <w:bCs w:val="0"/>
        </w:rPr>
        <w:t>anaemia</w:t>
      </w:r>
      <w:proofErr w:type="spellEnd"/>
      <w:r w:rsidR="00A8054A" w:rsidRPr="00A8054A">
        <w:rPr>
          <w:rFonts w:cstheme="minorBidi"/>
          <w:b w:val="0"/>
          <w:bCs w:val="0"/>
        </w:rPr>
        <w:t xml:space="preserve">, </w:t>
      </w:r>
      <w:r w:rsidR="00F23363">
        <w:rPr>
          <w:rFonts w:cstheme="minorBidi"/>
          <w:b w:val="0"/>
          <w:bCs w:val="0"/>
        </w:rPr>
        <w:tab/>
      </w:r>
      <w:r w:rsidR="00A8054A" w:rsidRPr="00A8054A">
        <w:rPr>
          <w:rFonts w:cstheme="minorBidi"/>
          <w:b w:val="0"/>
          <w:bCs w:val="0"/>
        </w:rPr>
        <w:t xml:space="preserve">exacerbation or even initiation of osteodystrophy, proximal, myopathy, </w:t>
      </w:r>
      <w:r w:rsidR="00F23363">
        <w:rPr>
          <w:rFonts w:cstheme="minorBidi"/>
          <w:b w:val="0"/>
          <w:bCs w:val="0"/>
        </w:rPr>
        <w:tab/>
      </w:r>
      <w:proofErr w:type="spellStart"/>
      <w:r w:rsidR="00A8054A" w:rsidRPr="00A8054A">
        <w:rPr>
          <w:rFonts w:cstheme="minorBidi"/>
          <w:b w:val="0"/>
          <w:bCs w:val="0"/>
        </w:rPr>
        <w:t>osteomalacia</w:t>
      </w:r>
      <w:proofErr w:type="spellEnd"/>
      <w:r w:rsidR="00A8054A" w:rsidRPr="00A8054A">
        <w:rPr>
          <w:rFonts w:cstheme="minorBidi"/>
          <w:b w:val="0"/>
          <w:bCs w:val="0"/>
        </w:rPr>
        <w:t xml:space="preserve">, encephalopathy, dementia, difficulty in urination or </w:t>
      </w:r>
      <w:r w:rsidR="00F23363">
        <w:rPr>
          <w:rFonts w:cstheme="minorBidi"/>
          <w:b w:val="0"/>
          <w:bCs w:val="0"/>
        </w:rPr>
        <w:lastRenderedPageBreak/>
        <w:tab/>
      </w:r>
      <w:proofErr w:type="spellStart"/>
      <w:r w:rsidR="00A8054A" w:rsidRPr="00A8054A">
        <w:rPr>
          <w:rFonts w:cstheme="minorBidi"/>
          <w:b w:val="0"/>
          <w:bCs w:val="0"/>
        </w:rPr>
        <w:t>defaecation</w:t>
      </w:r>
      <w:proofErr w:type="spellEnd"/>
      <w:r w:rsidR="00A8054A" w:rsidRPr="00A8054A">
        <w:rPr>
          <w:rFonts w:cstheme="minorBidi"/>
          <w:b w:val="0"/>
          <w:bCs w:val="0"/>
        </w:rPr>
        <w:t xml:space="preserve">, depression of deep </w:t>
      </w:r>
      <w:proofErr w:type="spellStart"/>
      <w:r w:rsidR="00A8054A" w:rsidRPr="00A8054A">
        <w:rPr>
          <w:rFonts w:cstheme="minorBidi"/>
          <w:b w:val="0"/>
          <w:bCs w:val="0"/>
        </w:rPr>
        <w:t>tendron</w:t>
      </w:r>
      <w:proofErr w:type="spellEnd"/>
      <w:r w:rsidR="00A8054A" w:rsidRPr="00A8054A">
        <w:rPr>
          <w:rFonts w:cstheme="minorBidi"/>
          <w:b w:val="0"/>
          <w:bCs w:val="0"/>
        </w:rPr>
        <w:t xml:space="preserve"> reflexes, drowsiness, heart block </w:t>
      </w:r>
      <w:r w:rsidR="00F23363">
        <w:rPr>
          <w:rFonts w:cstheme="minorBidi"/>
          <w:b w:val="0"/>
          <w:bCs w:val="0"/>
        </w:rPr>
        <w:tab/>
      </w:r>
      <w:r w:rsidR="00A8054A" w:rsidRPr="00A8054A">
        <w:rPr>
          <w:rFonts w:cstheme="minorBidi"/>
          <w:b w:val="0"/>
          <w:bCs w:val="0"/>
        </w:rPr>
        <w:t>and respiratory paralysis.</w:t>
      </w:r>
    </w:p>
    <w:p w14:paraId="2E6316B5" w14:textId="77777777" w:rsidR="00FC1A2B" w:rsidRPr="00FC1A2B" w:rsidRDefault="00FC1A2B" w:rsidP="00A8054A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5018A13" w14:textId="77777777" w:rsidR="00F23363" w:rsidRDefault="00F23363" w:rsidP="00A8054A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A8054A" w:rsidRPr="00A8054A">
        <w:rPr>
          <w:rFonts w:cstheme="minorBidi"/>
          <w:b w:val="0"/>
          <w:bCs w:val="0"/>
        </w:rPr>
        <w:t xml:space="preserve">Treatment entails administration of 10-20ml of a 10% solution of </w:t>
      </w:r>
      <w:r>
        <w:rPr>
          <w:rFonts w:cstheme="minorBidi"/>
          <w:b w:val="0"/>
          <w:bCs w:val="0"/>
        </w:rPr>
        <w:tab/>
      </w:r>
      <w:r w:rsidR="00A8054A" w:rsidRPr="00A8054A">
        <w:rPr>
          <w:rFonts w:cstheme="minorBidi"/>
          <w:b w:val="0"/>
          <w:bCs w:val="0"/>
        </w:rPr>
        <w:t xml:space="preserve">calcium gluconate which reverses the heart block and respiratory </w:t>
      </w:r>
      <w:r>
        <w:rPr>
          <w:rFonts w:cstheme="minorBidi"/>
          <w:b w:val="0"/>
          <w:bCs w:val="0"/>
        </w:rPr>
        <w:tab/>
      </w:r>
      <w:r w:rsidR="00A8054A" w:rsidRPr="00A8054A">
        <w:rPr>
          <w:rFonts w:cstheme="minorBidi"/>
          <w:b w:val="0"/>
          <w:bCs w:val="0"/>
        </w:rPr>
        <w:t xml:space="preserve">depression induced by magnesium poisoning. </w:t>
      </w:r>
    </w:p>
    <w:p w14:paraId="64CBD256" w14:textId="77777777" w:rsidR="00FC1A2B" w:rsidRPr="00FC1A2B" w:rsidRDefault="00FC1A2B" w:rsidP="00A8054A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4BC3AFC" w14:textId="77777777" w:rsidR="00F23363" w:rsidRDefault="00F23363" w:rsidP="00A8054A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A8054A" w:rsidRPr="00A8054A">
        <w:rPr>
          <w:rFonts w:cstheme="minorBidi"/>
          <w:b w:val="0"/>
          <w:bCs w:val="0"/>
        </w:rPr>
        <w:t xml:space="preserve">In severe cases intermittent peritoneal dialysis using a fluid free of </w:t>
      </w:r>
      <w:r>
        <w:rPr>
          <w:rFonts w:cstheme="minorBidi"/>
          <w:b w:val="0"/>
          <w:bCs w:val="0"/>
        </w:rPr>
        <w:tab/>
      </w:r>
      <w:r w:rsidR="00A8054A" w:rsidRPr="00A8054A">
        <w:rPr>
          <w:rFonts w:cstheme="minorBidi"/>
          <w:b w:val="0"/>
          <w:bCs w:val="0"/>
        </w:rPr>
        <w:t xml:space="preserve">magnesium may be necessary. </w:t>
      </w:r>
    </w:p>
    <w:p w14:paraId="158E9401" w14:textId="77777777" w:rsidR="00FC1A2B" w:rsidRPr="00FC1A2B" w:rsidRDefault="00FC1A2B" w:rsidP="00A8054A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5F0080B" w14:textId="77777777" w:rsidR="00F23363" w:rsidRDefault="00F23363" w:rsidP="00A8054A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proofErr w:type="spellStart"/>
      <w:r w:rsidR="00A8054A" w:rsidRPr="00A8054A">
        <w:rPr>
          <w:rFonts w:cstheme="minorBidi"/>
          <w:b w:val="0"/>
          <w:bCs w:val="0"/>
        </w:rPr>
        <w:t>Aluminium</w:t>
      </w:r>
      <w:proofErr w:type="spellEnd"/>
      <w:r w:rsidR="00A8054A" w:rsidRPr="00A8054A">
        <w:rPr>
          <w:rFonts w:cstheme="minorBidi"/>
          <w:b w:val="0"/>
          <w:bCs w:val="0"/>
        </w:rPr>
        <w:t xml:space="preserve"> toxicity may be treated by removal of </w:t>
      </w:r>
      <w:proofErr w:type="spellStart"/>
      <w:r w:rsidR="00A8054A" w:rsidRPr="00A8054A">
        <w:rPr>
          <w:rFonts w:cstheme="minorBidi"/>
          <w:b w:val="0"/>
          <w:bCs w:val="0"/>
        </w:rPr>
        <w:t>aluminium</w:t>
      </w:r>
      <w:proofErr w:type="spellEnd"/>
      <w:r w:rsidR="00A8054A" w:rsidRPr="00A8054A">
        <w:rPr>
          <w:rFonts w:cstheme="minorBidi"/>
          <w:b w:val="0"/>
          <w:bCs w:val="0"/>
        </w:rPr>
        <w:t xml:space="preserve"> with </w:t>
      </w:r>
      <w:r>
        <w:rPr>
          <w:rFonts w:cstheme="minorBidi"/>
          <w:b w:val="0"/>
          <w:bCs w:val="0"/>
        </w:rPr>
        <w:tab/>
      </w:r>
      <w:proofErr w:type="spellStart"/>
      <w:r w:rsidR="00A8054A" w:rsidRPr="00A8054A">
        <w:rPr>
          <w:rFonts w:cstheme="minorBidi"/>
          <w:b w:val="0"/>
          <w:bCs w:val="0"/>
        </w:rPr>
        <w:t>desferrioxamine</w:t>
      </w:r>
      <w:proofErr w:type="spellEnd"/>
      <w:r w:rsidR="00A8054A" w:rsidRPr="00A8054A">
        <w:rPr>
          <w:rFonts w:cstheme="minorBidi"/>
          <w:b w:val="0"/>
          <w:bCs w:val="0"/>
        </w:rPr>
        <w:t>.</w:t>
      </w:r>
    </w:p>
    <w:p w14:paraId="7651EF99" w14:textId="77777777" w:rsidR="00FC1A2B" w:rsidRPr="00FC1A2B" w:rsidRDefault="00FC1A2B" w:rsidP="00A8054A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EE82649" w14:textId="1471964B" w:rsidR="00011E3D" w:rsidRPr="00A8054A" w:rsidRDefault="00F23363" w:rsidP="00A8054A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A8054A" w:rsidRPr="00A8054A">
        <w:rPr>
          <w:rFonts w:cstheme="minorBidi"/>
          <w:b w:val="0"/>
          <w:bCs w:val="0"/>
        </w:rPr>
        <w:t>Other symptomatic measures may be carried out if required</w:t>
      </w:r>
      <w:r w:rsidR="00011E3D" w:rsidRPr="00A8054A">
        <w:rPr>
          <w:rFonts w:cstheme="minorBidi"/>
          <w:b w:val="0"/>
          <w:bCs w:val="0"/>
        </w:rPr>
        <w:t>.</w:t>
      </w:r>
    </w:p>
    <w:p w14:paraId="2B11C1F2" w14:textId="77777777" w:rsidR="00011E3D" w:rsidRPr="008F5678" w:rsidRDefault="00011E3D" w:rsidP="00011E3D">
      <w:pPr>
        <w:pStyle w:val="HEADING1SMPC"/>
      </w:pPr>
      <w:r w:rsidRPr="008F5678">
        <w:t xml:space="preserve">PHARMACOLOGICAL PROPERTIES </w:t>
      </w:r>
    </w:p>
    <w:p w14:paraId="634A2B77" w14:textId="77777777" w:rsidR="00011E3D" w:rsidRDefault="00011E3D" w:rsidP="00011E3D">
      <w:pPr>
        <w:pStyle w:val="SubHeafingSMPC"/>
        <w:ind w:left="57"/>
      </w:pPr>
      <w:r w:rsidRPr="008F5678">
        <w:t>Pharmacodynamic properties</w:t>
      </w:r>
    </w:p>
    <w:p w14:paraId="1818A580" w14:textId="77777777" w:rsidR="00F23363" w:rsidRDefault="00011E3D" w:rsidP="00F2336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F23363" w:rsidRPr="00F23363">
        <w:rPr>
          <w:b w:val="0"/>
          <w:bCs w:val="0"/>
        </w:rPr>
        <w:t xml:space="preserve">Antacids react chemically to </w:t>
      </w:r>
      <w:proofErr w:type="spellStart"/>
      <w:r w:rsidR="00F23363" w:rsidRPr="00F23363">
        <w:rPr>
          <w:b w:val="0"/>
          <w:bCs w:val="0"/>
        </w:rPr>
        <w:t>neutralise</w:t>
      </w:r>
      <w:proofErr w:type="spellEnd"/>
      <w:r w:rsidR="00F23363" w:rsidRPr="00F23363">
        <w:rPr>
          <w:b w:val="0"/>
          <w:bCs w:val="0"/>
        </w:rPr>
        <w:t xml:space="preserve"> or buffer existing quantities of </w:t>
      </w:r>
      <w:r w:rsidR="00F23363">
        <w:rPr>
          <w:b w:val="0"/>
          <w:bCs w:val="0"/>
        </w:rPr>
        <w:tab/>
      </w:r>
      <w:r w:rsidR="00F23363" w:rsidRPr="00F23363">
        <w:rPr>
          <w:b w:val="0"/>
          <w:bCs w:val="0"/>
        </w:rPr>
        <w:t xml:space="preserve">stomach acid resulting in increased pH of stomach contents thus </w:t>
      </w:r>
      <w:r w:rsidR="00F23363">
        <w:rPr>
          <w:b w:val="0"/>
          <w:bCs w:val="0"/>
        </w:rPr>
        <w:tab/>
      </w:r>
      <w:r w:rsidR="00F23363" w:rsidRPr="00F23363">
        <w:rPr>
          <w:b w:val="0"/>
          <w:bCs w:val="0"/>
        </w:rPr>
        <w:t xml:space="preserve">providing relief of hyperacidity symptoms. They have no direct effect on </w:t>
      </w:r>
      <w:r w:rsidR="00F23363">
        <w:rPr>
          <w:b w:val="0"/>
          <w:bCs w:val="0"/>
        </w:rPr>
        <w:tab/>
      </w:r>
      <w:r w:rsidR="00F23363" w:rsidRPr="00F23363">
        <w:rPr>
          <w:b w:val="0"/>
          <w:bCs w:val="0"/>
        </w:rPr>
        <w:t xml:space="preserve">acid output. Compound Magnesium Trisilicate Tablets contain two </w:t>
      </w:r>
      <w:r w:rsidR="00F23363">
        <w:rPr>
          <w:b w:val="0"/>
          <w:bCs w:val="0"/>
        </w:rPr>
        <w:tab/>
      </w:r>
      <w:r w:rsidR="00F23363" w:rsidRPr="00F23363">
        <w:rPr>
          <w:b w:val="0"/>
          <w:bCs w:val="0"/>
        </w:rPr>
        <w:t xml:space="preserve">antacids namely </w:t>
      </w:r>
      <w:proofErr w:type="spellStart"/>
      <w:r w:rsidR="00F23363" w:rsidRPr="00F23363">
        <w:rPr>
          <w:b w:val="0"/>
          <w:bCs w:val="0"/>
        </w:rPr>
        <w:t>aluminium</w:t>
      </w:r>
      <w:proofErr w:type="spellEnd"/>
      <w:r w:rsidR="00F23363" w:rsidRPr="00F23363">
        <w:rPr>
          <w:b w:val="0"/>
          <w:bCs w:val="0"/>
        </w:rPr>
        <w:t xml:space="preserve"> hydroxide gel and magnesium trisilicate. </w:t>
      </w:r>
      <w:r w:rsidR="00F23363">
        <w:rPr>
          <w:b w:val="0"/>
          <w:bCs w:val="0"/>
        </w:rPr>
        <w:tab/>
      </w:r>
      <w:r w:rsidR="00F23363" w:rsidRPr="00F23363">
        <w:rPr>
          <w:b w:val="0"/>
          <w:bCs w:val="0"/>
        </w:rPr>
        <w:t xml:space="preserve">Magnesium trisilicate is too insoluble and is a relatively weak antacid. </w:t>
      </w:r>
      <w:r w:rsidR="00F23363">
        <w:rPr>
          <w:b w:val="0"/>
          <w:bCs w:val="0"/>
        </w:rPr>
        <w:tab/>
      </w:r>
      <w:r w:rsidR="00F23363" w:rsidRPr="00F23363">
        <w:rPr>
          <w:b w:val="0"/>
          <w:bCs w:val="0"/>
        </w:rPr>
        <w:t xml:space="preserve">Antacid action is exerted slowly therefore it does not provide a rapid </w:t>
      </w:r>
      <w:r w:rsidR="00F23363">
        <w:rPr>
          <w:b w:val="0"/>
          <w:bCs w:val="0"/>
        </w:rPr>
        <w:tab/>
      </w:r>
      <w:r w:rsidR="00F23363" w:rsidRPr="00F23363">
        <w:rPr>
          <w:b w:val="0"/>
          <w:bCs w:val="0"/>
        </w:rPr>
        <w:t xml:space="preserve">symptomatic relief. </w:t>
      </w:r>
      <w:proofErr w:type="gramStart"/>
      <w:r w:rsidR="00F23363" w:rsidRPr="00F23363">
        <w:rPr>
          <w:b w:val="0"/>
          <w:bCs w:val="0"/>
        </w:rPr>
        <w:t>However</w:t>
      </w:r>
      <w:proofErr w:type="gramEnd"/>
      <w:r w:rsidR="00F23363" w:rsidRPr="00F23363">
        <w:rPr>
          <w:b w:val="0"/>
          <w:bCs w:val="0"/>
        </w:rPr>
        <w:t xml:space="preserve"> the action is prolonged. It is also an </w:t>
      </w:r>
      <w:r w:rsidR="00F23363">
        <w:rPr>
          <w:b w:val="0"/>
          <w:bCs w:val="0"/>
        </w:rPr>
        <w:tab/>
      </w:r>
      <w:r w:rsidR="00F23363" w:rsidRPr="00F23363">
        <w:rPr>
          <w:b w:val="0"/>
          <w:bCs w:val="0"/>
        </w:rPr>
        <w:t xml:space="preserve">effective gastro-intestinal adsorbent. The gelatinous silicon dioxide </w:t>
      </w:r>
      <w:r w:rsidR="00F23363">
        <w:rPr>
          <w:b w:val="0"/>
          <w:bCs w:val="0"/>
        </w:rPr>
        <w:tab/>
      </w:r>
      <w:r w:rsidR="00F23363" w:rsidRPr="00F23363">
        <w:rPr>
          <w:b w:val="0"/>
          <w:bCs w:val="0"/>
        </w:rPr>
        <w:t xml:space="preserve">formed by the reaction of magnesium trisilicate with the gastric content </w:t>
      </w:r>
      <w:r w:rsidR="00F23363">
        <w:rPr>
          <w:b w:val="0"/>
          <w:bCs w:val="0"/>
        </w:rPr>
        <w:tab/>
      </w:r>
      <w:r w:rsidR="00F23363" w:rsidRPr="00F23363">
        <w:rPr>
          <w:b w:val="0"/>
          <w:bCs w:val="0"/>
        </w:rPr>
        <w:t xml:space="preserve">is said to protect ulcerated mucosal surfaces and </w:t>
      </w:r>
      <w:proofErr w:type="spellStart"/>
      <w:r w:rsidR="00F23363" w:rsidRPr="00F23363">
        <w:rPr>
          <w:b w:val="0"/>
          <w:bCs w:val="0"/>
        </w:rPr>
        <w:t>favour</w:t>
      </w:r>
      <w:proofErr w:type="spellEnd"/>
      <w:r w:rsidR="00F23363" w:rsidRPr="00F23363">
        <w:rPr>
          <w:b w:val="0"/>
          <w:bCs w:val="0"/>
        </w:rPr>
        <w:t xml:space="preserve"> healing. </w:t>
      </w:r>
      <w:r w:rsidR="00F23363">
        <w:rPr>
          <w:b w:val="0"/>
          <w:bCs w:val="0"/>
        </w:rPr>
        <w:tab/>
      </w:r>
      <w:proofErr w:type="spellStart"/>
      <w:r w:rsidR="00F23363" w:rsidRPr="00F23363">
        <w:rPr>
          <w:b w:val="0"/>
          <w:bCs w:val="0"/>
        </w:rPr>
        <w:t>Aluminium</w:t>
      </w:r>
      <w:proofErr w:type="spellEnd"/>
      <w:r w:rsidR="00F23363" w:rsidRPr="00F23363">
        <w:rPr>
          <w:b w:val="0"/>
          <w:bCs w:val="0"/>
        </w:rPr>
        <w:t xml:space="preserve"> hydroxide is also an insoluble antacid. Food in the stomach </w:t>
      </w:r>
      <w:r w:rsidR="00F23363">
        <w:rPr>
          <w:b w:val="0"/>
          <w:bCs w:val="0"/>
        </w:rPr>
        <w:lastRenderedPageBreak/>
        <w:tab/>
      </w:r>
      <w:r w:rsidR="00F23363" w:rsidRPr="00F23363">
        <w:rPr>
          <w:b w:val="0"/>
          <w:bCs w:val="0"/>
        </w:rPr>
        <w:t xml:space="preserve">delays gastric emptying and allows more time for </w:t>
      </w:r>
      <w:proofErr w:type="spellStart"/>
      <w:r w:rsidR="00F23363" w:rsidRPr="00F23363">
        <w:rPr>
          <w:b w:val="0"/>
          <w:bCs w:val="0"/>
        </w:rPr>
        <w:t>aluminium</w:t>
      </w:r>
      <w:proofErr w:type="spellEnd"/>
      <w:r w:rsidR="00F23363" w:rsidRPr="00F23363">
        <w:rPr>
          <w:b w:val="0"/>
          <w:bCs w:val="0"/>
        </w:rPr>
        <w:t xml:space="preserve"> hydroxide </w:t>
      </w:r>
      <w:r w:rsidR="00F23363">
        <w:rPr>
          <w:b w:val="0"/>
          <w:bCs w:val="0"/>
        </w:rPr>
        <w:tab/>
      </w:r>
      <w:r w:rsidR="00F23363" w:rsidRPr="00F23363">
        <w:rPr>
          <w:b w:val="0"/>
          <w:bCs w:val="0"/>
        </w:rPr>
        <w:t>to react.</w:t>
      </w:r>
    </w:p>
    <w:p w14:paraId="7FDA8006" w14:textId="77777777" w:rsidR="00FC1A2B" w:rsidRPr="00FC1A2B" w:rsidRDefault="00FC1A2B" w:rsidP="00F2336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42DFA90" w14:textId="77777777" w:rsidR="00F23363" w:rsidRDefault="00F23363" w:rsidP="00F2336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F23363">
        <w:rPr>
          <w:b w:val="0"/>
          <w:bCs w:val="0"/>
        </w:rPr>
        <w:t xml:space="preserve">Alkalinization of gastric content increases gastric motility via gastrin. </w:t>
      </w:r>
      <w:r>
        <w:rPr>
          <w:b w:val="0"/>
          <w:bCs w:val="0"/>
        </w:rPr>
        <w:tab/>
      </w:r>
      <w:proofErr w:type="spellStart"/>
      <w:r w:rsidRPr="00F23363">
        <w:rPr>
          <w:b w:val="0"/>
          <w:bCs w:val="0"/>
        </w:rPr>
        <w:t>Aluminium</w:t>
      </w:r>
      <w:proofErr w:type="spellEnd"/>
      <w:r w:rsidRPr="00F23363">
        <w:rPr>
          <w:b w:val="0"/>
          <w:bCs w:val="0"/>
        </w:rPr>
        <w:t xml:space="preserve"> ions relax the smooth muscle of stomach and delay gastric </w:t>
      </w:r>
      <w:r>
        <w:rPr>
          <w:b w:val="0"/>
          <w:bCs w:val="0"/>
        </w:rPr>
        <w:tab/>
      </w:r>
      <w:r w:rsidRPr="00F23363">
        <w:rPr>
          <w:b w:val="0"/>
          <w:bCs w:val="0"/>
        </w:rPr>
        <w:t xml:space="preserve">emptying. The relaxant effect is </w:t>
      </w:r>
      <w:proofErr w:type="spellStart"/>
      <w:r w:rsidRPr="00F23363">
        <w:rPr>
          <w:b w:val="0"/>
          <w:bCs w:val="0"/>
        </w:rPr>
        <w:t>minimised</w:t>
      </w:r>
      <w:proofErr w:type="spellEnd"/>
      <w:r w:rsidRPr="00F23363">
        <w:rPr>
          <w:b w:val="0"/>
          <w:bCs w:val="0"/>
        </w:rPr>
        <w:t xml:space="preserve"> in the presence of magnesium </w:t>
      </w:r>
      <w:r>
        <w:rPr>
          <w:b w:val="0"/>
          <w:bCs w:val="0"/>
        </w:rPr>
        <w:tab/>
      </w:r>
      <w:r w:rsidRPr="00F23363">
        <w:rPr>
          <w:b w:val="0"/>
          <w:bCs w:val="0"/>
        </w:rPr>
        <w:t xml:space="preserve">ions. Alkalinization of the gastric content increases lower </w:t>
      </w:r>
      <w:proofErr w:type="spellStart"/>
      <w:r w:rsidRPr="00F23363">
        <w:rPr>
          <w:b w:val="0"/>
          <w:bCs w:val="0"/>
        </w:rPr>
        <w:t>oesophageal</w:t>
      </w:r>
      <w:proofErr w:type="spellEnd"/>
      <w:r w:rsidRPr="00F23363"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F23363">
        <w:rPr>
          <w:b w:val="0"/>
          <w:bCs w:val="0"/>
        </w:rPr>
        <w:t xml:space="preserve">pressure and </w:t>
      </w:r>
      <w:proofErr w:type="spellStart"/>
      <w:r w:rsidRPr="00F23363">
        <w:rPr>
          <w:b w:val="0"/>
          <w:bCs w:val="0"/>
        </w:rPr>
        <w:t>oesophageal</w:t>
      </w:r>
      <w:proofErr w:type="spellEnd"/>
      <w:r w:rsidRPr="00F23363">
        <w:rPr>
          <w:b w:val="0"/>
          <w:bCs w:val="0"/>
        </w:rPr>
        <w:t xml:space="preserve"> clearance by a mechanism that is independent </w:t>
      </w:r>
      <w:r>
        <w:rPr>
          <w:b w:val="0"/>
          <w:bCs w:val="0"/>
        </w:rPr>
        <w:tab/>
      </w:r>
      <w:r w:rsidRPr="00F23363">
        <w:rPr>
          <w:b w:val="0"/>
          <w:bCs w:val="0"/>
        </w:rPr>
        <w:t xml:space="preserve">of gastrin. The use of Compound Magnesium Trisilicate Tablets does not </w:t>
      </w:r>
      <w:r>
        <w:rPr>
          <w:b w:val="0"/>
          <w:bCs w:val="0"/>
        </w:rPr>
        <w:tab/>
      </w:r>
      <w:r w:rsidRPr="00F23363">
        <w:rPr>
          <w:b w:val="0"/>
          <w:bCs w:val="0"/>
        </w:rPr>
        <w:t xml:space="preserve">significantly </w:t>
      </w:r>
      <w:proofErr w:type="spellStart"/>
      <w:proofErr w:type="gramStart"/>
      <w:r w:rsidRPr="00F23363">
        <w:rPr>
          <w:b w:val="0"/>
          <w:bCs w:val="0"/>
        </w:rPr>
        <w:t>effect</w:t>
      </w:r>
      <w:proofErr w:type="spellEnd"/>
      <w:proofErr w:type="gramEnd"/>
      <w:r w:rsidRPr="00F23363">
        <w:rPr>
          <w:b w:val="0"/>
          <w:bCs w:val="0"/>
        </w:rPr>
        <w:t xml:space="preserve"> the motility of the bowel. The constipating effect of </w:t>
      </w:r>
      <w:r>
        <w:rPr>
          <w:b w:val="0"/>
          <w:bCs w:val="0"/>
        </w:rPr>
        <w:tab/>
      </w:r>
      <w:proofErr w:type="spellStart"/>
      <w:r w:rsidRPr="00F23363">
        <w:rPr>
          <w:b w:val="0"/>
          <w:bCs w:val="0"/>
        </w:rPr>
        <w:t>aluminium</w:t>
      </w:r>
      <w:proofErr w:type="spellEnd"/>
      <w:r w:rsidRPr="00F23363">
        <w:rPr>
          <w:b w:val="0"/>
          <w:bCs w:val="0"/>
        </w:rPr>
        <w:t xml:space="preserve"> hydroxide is </w:t>
      </w:r>
      <w:proofErr w:type="gramStart"/>
      <w:r w:rsidRPr="00F23363">
        <w:rPr>
          <w:b w:val="0"/>
          <w:bCs w:val="0"/>
        </w:rPr>
        <w:t>counter</w:t>
      </w:r>
      <w:r>
        <w:rPr>
          <w:b w:val="0"/>
          <w:bCs w:val="0"/>
        </w:rPr>
        <w:t xml:space="preserve"> </w:t>
      </w:r>
      <w:r w:rsidRPr="00F23363">
        <w:rPr>
          <w:b w:val="0"/>
          <w:bCs w:val="0"/>
        </w:rPr>
        <w:t>balanced</w:t>
      </w:r>
      <w:proofErr w:type="gramEnd"/>
      <w:r w:rsidRPr="00F23363">
        <w:rPr>
          <w:b w:val="0"/>
          <w:bCs w:val="0"/>
        </w:rPr>
        <w:t xml:space="preserve"> by the </w:t>
      </w:r>
      <w:proofErr w:type="spellStart"/>
      <w:r w:rsidRPr="00F23363">
        <w:rPr>
          <w:b w:val="0"/>
          <w:bCs w:val="0"/>
        </w:rPr>
        <w:t>diarrhoeal</w:t>
      </w:r>
      <w:proofErr w:type="spellEnd"/>
      <w:r w:rsidRPr="00F23363">
        <w:rPr>
          <w:b w:val="0"/>
          <w:bCs w:val="0"/>
        </w:rPr>
        <w:t xml:space="preserve"> effect of </w:t>
      </w:r>
      <w:r>
        <w:rPr>
          <w:b w:val="0"/>
          <w:bCs w:val="0"/>
        </w:rPr>
        <w:tab/>
      </w:r>
      <w:r w:rsidRPr="00F23363">
        <w:rPr>
          <w:b w:val="0"/>
          <w:bCs w:val="0"/>
        </w:rPr>
        <w:t>magnesium trisilicate.</w:t>
      </w:r>
    </w:p>
    <w:p w14:paraId="3177797E" w14:textId="77777777" w:rsidR="00FC1A2B" w:rsidRPr="00FC1A2B" w:rsidRDefault="00FC1A2B" w:rsidP="00F2336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E5DF3C8" w14:textId="28CDBBA1" w:rsidR="00F23363" w:rsidRPr="00F23363" w:rsidRDefault="00F23363" w:rsidP="00F2336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proofErr w:type="spellStart"/>
      <w:r w:rsidRPr="00F23363">
        <w:rPr>
          <w:b w:val="0"/>
          <w:bCs w:val="0"/>
        </w:rPr>
        <w:t>Aluminium</w:t>
      </w:r>
      <w:proofErr w:type="spellEnd"/>
      <w:r w:rsidRPr="00F23363">
        <w:rPr>
          <w:b w:val="0"/>
          <w:bCs w:val="0"/>
        </w:rPr>
        <w:t xml:space="preserve"> and magnesium containing antacids are not completely </w:t>
      </w:r>
      <w:r>
        <w:rPr>
          <w:b w:val="0"/>
          <w:bCs w:val="0"/>
        </w:rPr>
        <w:tab/>
      </w:r>
      <w:r w:rsidRPr="00F23363">
        <w:rPr>
          <w:b w:val="0"/>
          <w:bCs w:val="0"/>
        </w:rPr>
        <w:t xml:space="preserve">absorbed, therefore they do not interfere with the acid-base balance to a </w:t>
      </w:r>
      <w:r>
        <w:rPr>
          <w:b w:val="0"/>
          <w:bCs w:val="0"/>
        </w:rPr>
        <w:tab/>
      </w:r>
      <w:r w:rsidRPr="00F23363">
        <w:rPr>
          <w:b w:val="0"/>
          <w:bCs w:val="0"/>
        </w:rPr>
        <w:t>great extent.</w:t>
      </w:r>
    </w:p>
    <w:p w14:paraId="602AC1EC" w14:textId="77777777" w:rsidR="00011E3D" w:rsidRDefault="00011E3D" w:rsidP="00011E3D">
      <w:pPr>
        <w:pStyle w:val="SubHeafingSMPC"/>
        <w:ind w:left="57"/>
      </w:pPr>
      <w:r w:rsidRPr="008F5678">
        <w:t>Pharmacokinetic properties</w:t>
      </w:r>
    </w:p>
    <w:p w14:paraId="25AE029A" w14:textId="77777777" w:rsidR="00F23363" w:rsidRDefault="00011E3D" w:rsidP="00F2336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F23363" w:rsidRPr="00F23363">
        <w:rPr>
          <w:b w:val="0"/>
          <w:bCs w:val="0"/>
        </w:rPr>
        <w:t xml:space="preserve">The insoluble </w:t>
      </w:r>
      <w:proofErr w:type="spellStart"/>
      <w:r w:rsidR="00F23363" w:rsidRPr="00F23363">
        <w:rPr>
          <w:b w:val="0"/>
          <w:bCs w:val="0"/>
        </w:rPr>
        <w:t>aluminium</w:t>
      </w:r>
      <w:proofErr w:type="spellEnd"/>
      <w:r w:rsidR="00F23363" w:rsidRPr="00F23363">
        <w:rPr>
          <w:b w:val="0"/>
          <w:bCs w:val="0"/>
        </w:rPr>
        <w:t xml:space="preserve"> compounds that constitute </w:t>
      </w:r>
      <w:proofErr w:type="spellStart"/>
      <w:r w:rsidR="00F23363" w:rsidRPr="00F23363">
        <w:rPr>
          <w:b w:val="0"/>
          <w:bCs w:val="0"/>
        </w:rPr>
        <w:t>aluminium</w:t>
      </w:r>
      <w:proofErr w:type="spellEnd"/>
      <w:r w:rsidR="00F23363" w:rsidRPr="00F23363">
        <w:rPr>
          <w:b w:val="0"/>
          <w:bCs w:val="0"/>
        </w:rPr>
        <w:t xml:space="preserve"> </w:t>
      </w:r>
      <w:r w:rsidR="00F23363">
        <w:rPr>
          <w:b w:val="0"/>
          <w:bCs w:val="0"/>
        </w:rPr>
        <w:tab/>
      </w:r>
      <w:r w:rsidR="00F23363" w:rsidRPr="00F23363">
        <w:rPr>
          <w:b w:val="0"/>
          <w:bCs w:val="0"/>
        </w:rPr>
        <w:t xml:space="preserve">hydroxide are slowly and incompletely converted to </w:t>
      </w:r>
      <w:proofErr w:type="spellStart"/>
      <w:r w:rsidR="00F23363" w:rsidRPr="00F23363">
        <w:rPr>
          <w:b w:val="0"/>
          <w:bCs w:val="0"/>
        </w:rPr>
        <w:t>aluminium</w:t>
      </w:r>
      <w:proofErr w:type="spellEnd"/>
      <w:r w:rsidR="00F23363" w:rsidRPr="00F23363">
        <w:rPr>
          <w:b w:val="0"/>
          <w:bCs w:val="0"/>
        </w:rPr>
        <w:t xml:space="preserve"> chloride </w:t>
      </w:r>
      <w:r w:rsidR="00F23363">
        <w:rPr>
          <w:b w:val="0"/>
          <w:bCs w:val="0"/>
        </w:rPr>
        <w:tab/>
      </w:r>
      <w:r w:rsidR="00F23363" w:rsidRPr="00F23363">
        <w:rPr>
          <w:b w:val="0"/>
          <w:bCs w:val="0"/>
        </w:rPr>
        <w:t xml:space="preserve">in the stomach. Some absorption of the </w:t>
      </w:r>
      <w:proofErr w:type="spellStart"/>
      <w:r w:rsidR="00F23363" w:rsidRPr="00F23363">
        <w:rPr>
          <w:b w:val="0"/>
          <w:bCs w:val="0"/>
        </w:rPr>
        <w:t>aluminium</w:t>
      </w:r>
      <w:proofErr w:type="spellEnd"/>
      <w:r w:rsidR="00F23363" w:rsidRPr="00F23363">
        <w:rPr>
          <w:b w:val="0"/>
          <w:bCs w:val="0"/>
        </w:rPr>
        <w:t xml:space="preserve"> salts </w:t>
      </w:r>
      <w:proofErr w:type="gramStart"/>
      <w:r w:rsidR="00F23363" w:rsidRPr="00F23363">
        <w:rPr>
          <w:b w:val="0"/>
          <w:bCs w:val="0"/>
        </w:rPr>
        <w:t>occur</w:t>
      </w:r>
      <w:proofErr w:type="gramEnd"/>
      <w:r w:rsidR="00F23363" w:rsidRPr="00F23363">
        <w:rPr>
          <w:b w:val="0"/>
          <w:bCs w:val="0"/>
        </w:rPr>
        <w:t xml:space="preserve"> from the </w:t>
      </w:r>
      <w:r w:rsidR="00F23363">
        <w:rPr>
          <w:b w:val="0"/>
          <w:bCs w:val="0"/>
        </w:rPr>
        <w:tab/>
      </w:r>
      <w:r w:rsidR="00F23363" w:rsidRPr="00F23363">
        <w:rPr>
          <w:b w:val="0"/>
          <w:bCs w:val="0"/>
        </w:rPr>
        <w:t>gastro-intestinal tract, with some excretion in urine</w:t>
      </w:r>
      <w:r w:rsidRPr="00F23363">
        <w:rPr>
          <w:b w:val="0"/>
          <w:bCs w:val="0"/>
        </w:rPr>
        <w:t>.</w:t>
      </w:r>
    </w:p>
    <w:p w14:paraId="7A8DEB5D" w14:textId="77777777" w:rsidR="00FC1A2B" w:rsidRPr="00FC1A2B" w:rsidRDefault="00FC1A2B" w:rsidP="00F2336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764BD11" w14:textId="77777777" w:rsidR="00F23363" w:rsidRDefault="00F23363" w:rsidP="00F2336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F23363">
        <w:rPr>
          <w:b w:val="0"/>
          <w:bCs w:val="0"/>
        </w:rPr>
        <w:t xml:space="preserve">Unabsorbed </w:t>
      </w:r>
      <w:proofErr w:type="spellStart"/>
      <w:r w:rsidRPr="00F23363">
        <w:rPr>
          <w:b w:val="0"/>
          <w:bCs w:val="0"/>
        </w:rPr>
        <w:t>aluminium</w:t>
      </w:r>
      <w:proofErr w:type="spellEnd"/>
      <w:r w:rsidRPr="00F23363">
        <w:rPr>
          <w:b w:val="0"/>
          <w:bCs w:val="0"/>
        </w:rPr>
        <w:t xml:space="preserve"> hydroxide combines with phosphate present in </w:t>
      </w:r>
      <w:r>
        <w:rPr>
          <w:b w:val="0"/>
          <w:bCs w:val="0"/>
        </w:rPr>
        <w:tab/>
      </w:r>
      <w:r w:rsidRPr="00F23363">
        <w:rPr>
          <w:b w:val="0"/>
          <w:bCs w:val="0"/>
        </w:rPr>
        <w:t xml:space="preserve">the gut to form insoluble </w:t>
      </w:r>
      <w:proofErr w:type="spellStart"/>
      <w:r w:rsidRPr="00F23363">
        <w:rPr>
          <w:b w:val="0"/>
          <w:bCs w:val="0"/>
        </w:rPr>
        <w:t>aluminium</w:t>
      </w:r>
      <w:proofErr w:type="spellEnd"/>
      <w:r w:rsidRPr="00F23363">
        <w:rPr>
          <w:b w:val="0"/>
          <w:bCs w:val="0"/>
        </w:rPr>
        <w:t xml:space="preserve"> phosphate and some form </w:t>
      </w:r>
      <w:r>
        <w:rPr>
          <w:b w:val="0"/>
          <w:bCs w:val="0"/>
        </w:rPr>
        <w:tab/>
      </w:r>
      <w:r w:rsidRPr="00F23363">
        <w:rPr>
          <w:b w:val="0"/>
          <w:bCs w:val="0"/>
        </w:rPr>
        <w:t xml:space="preserve">carbonates and salts of fatty acids; all these salts are excreted in the </w:t>
      </w:r>
      <w:r>
        <w:rPr>
          <w:b w:val="0"/>
          <w:bCs w:val="0"/>
        </w:rPr>
        <w:tab/>
      </w:r>
      <w:proofErr w:type="spellStart"/>
      <w:r w:rsidRPr="00F23363">
        <w:rPr>
          <w:b w:val="0"/>
          <w:bCs w:val="0"/>
        </w:rPr>
        <w:t>faeces</w:t>
      </w:r>
      <w:proofErr w:type="spellEnd"/>
      <w:r w:rsidRPr="00F23363">
        <w:rPr>
          <w:b w:val="0"/>
          <w:bCs w:val="0"/>
        </w:rPr>
        <w:t xml:space="preserve">. Approximately 0.1 - 0.5 mg of </w:t>
      </w:r>
      <w:proofErr w:type="spellStart"/>
      <w:r w:rsidRPr="00F23363">
        <w:rPr>
          <w:b w:val="0"/>
          <w:bCs w:val="0"/>
        </w:rPr>
        <w:t>aluminium</w:t>
      </w:r>
      <w:proofErr w:type="spellEnd"/>
      <w:r w:rsidRPr="00F23363">
        <w:rPr>
          <w:b w:val="0"/>
          <w:bCs w:val="0"/>
        </w:rPr>
        <w:t xml:space="preserve"> ions may be absorbed </w:t>
      </w:r>
      <w:r>
        <w:rPr>
          <w:b w:val="0"/>
          <w:bCs w:val="0"/>
        </w:rPr>
        <w:tab/>
      </w:r>
      <w:r w:rsidRPr="00F23363">
        <w:rPr>
          <w:b w:val="0"/>
          <w:bCs w:val="0"/>
        </w:rPr>
        <w:t xml:space="preserve">from a standard daily dose of an </w:t>
      </w:r>
      <w:proofErr w:type="spellStart"/>
      <w:r w:rsidRPr="00F23363">
        <w:rPr>
          <w:b w:val="0"/>
          <w:bCs w:val="0"/>
        </w:rPr>
        <w:t>aluminium</w:t>
      </w:r>
      <w:proofErr w:type="spellEnd"/>
      <w:r w:rsidRPr="00F23363">
        <w:rPr>
          <w:b w:val="0"/>
          <w:bCs w:val="0"/>
        </w:rPr>
        <w:t xml:space="preserve"> containing antacid. In the </w:t>
      </w:r>
      <w:r>
        <w:rPr>
          <w:b w:val="0"/>
          <w:bCs w:val="0"/>
        </w:rPr>
        <w:tab/>
      </w:r>
      <w:r w:rsidRPr="00F23363">
        <w:rPr>
          <w:b w:val="0"/>
          <w:bCs w:val="0"/>
        </w:rPr>
        <w:t xml:space="preserve">presence of normal renal function this leads to about doubling of an </w:t>
      </w:r>
      <w:r>
        <w:rPr>
          <w:b w:val="0"/>
          <w:bCs w:val="0"/>
        </w:rPr>
        <w:tab/>
      </w:r>
      <w:r w:rsidRPr="00F23363">
        <w:rPr>
          <w:b w:val="0"/>
          <w:bCs w:val="0"/>
        </w:rPr>
        <w:t xml:space="preserve">average concentration of </w:t>
      </w:r>
      <w:proofErr w:type="spellStart"/>
      <w:r w:rsidRPr="00F23363">
        <w:rPr>
          <w:b w:val="0"/>
          <w:bCs w:val="0"/>
        </w:rPr>
        <w:t>aluminium</w:t>
      </w:r>
      <w:proofErr w:type="spellEnd"/>
      <w:r w:rsidRPr="00F23363">
        <w:rPr>
          <w:b w:val="0"/>
          <w:bCs w:val="0"/>
        </w:rPr>
        <w:t xml:space="preserve"> in plasma. </w:t>
      </w:r>
      <w:proofErr w:type="gramStart"/>
      <w:r w:rsidRPr="00F23363">
        <w:rPr>
          <w:b w:val="0"/>
          <w:bCs w:val="0"/>
        </w:rPr>
        <w:t>However</w:t>
      </w:r>
      <w:proofErr w:type="gramEnd"/>
      <w:r w:rsidRPr="00F23363">
        <w:rPr>
          <w:b w:val="0"/>
          <w:bCs w:val="0"/>
        </w:rPr>
        <w:t xml:space="preserve"> in patients with </w:t>
      </w:r>
      <w:r>
        <w:rPr>
          <w:b w:val="0"/>
          <w:bCs w:val="0"/>
        </w:rPr>
        <w:tab/>
      </w:r>
      <w:r w:rsidRPr="00F23363">
        <w:rPr>
          <w:b w:val="0"/>
          <w:bCs w:val="0"/>
        </w:rPr>
        <w:t>impaired renal function, higher concentrations occur.</w:t>
      </w:r>
    </w:p>
    <w:p w14:paraId="16A590EE" w14:textId="157C10CC" w:rsidR="00F23363" w:rsidRPr="00F23363" w:rsidRDefault="00F23363" w:rsidP="00F2336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F23363">
        <w:rPr>
          <w:b w:val="0"/>
          <w:bCs w:val="0"/>
        </w:rPr>
        <w:t xml:space="preserve">During </w:t>
      </w:r>
      <w:proofErr w:type="spellStart"/>
      <w:r w:rsidRPr="00F23363">
        <w:rPr>
          <w:b w:val="0"/>
          <w:bCs w:val="0"/>
        </w:rPr>
        <w:t>neutralisation</w:t>
      </w:r>
      <w:proofErr w:type="spellEnd"/>
      <w:r w:rsidRPr="00F23363">
        <w:rPr>
          <w:b w:val="0"/>
          <w:bCs w:val="0"/>
        </w:rPr>
        <w:t xml:space="preserve"> magnesium trisilicate is converted to magnesium </w:t>
      </w:r>
      <w:r>
        <w:rPr>
          <w:b w:val="0"/>
          <w:bCs w:val="0"/>
        </w:rPr>
        <w:tab/>
      </w:r>
      <w:r w:rsidRPr="00F23363">
        <w:rPr>
          <w:b w:val="0"/>
          <w:bCs w:val="0"/>
        </w:rPr>
        <w:t xml:space="preserve">chloride and hydrated silica gel. Approximately 5% of the magnesium is </w:t>
      </w:r>
      <w:r>
        <w:rPr>
          <w:b w:val="0"/>
          <w:bCs w:val="0"/>
        </w:rPr>
        <w:tab/>
      </w:r>
      <w:r w:rsidRPr="00F23363">
        <w:rPr>
          <w:b w:val="0"/>
          <w:bCs w:val="0"/>
        </w:rPr>
        <w:t xml:space="preserve">absorbed and traces of the liberated silica may be absorbed and excreted </w:t>
      </w:r>
      <w:r>
        <w:rPr>
          <w:b w:val="0"/>
          <w:bCs w:val="0"/>
        </w:rPr>
        <w:tab/>
      </w:r>
      <w:r w:rsidRPr="00F23363">
        <w:rPr>
          <w:b w:val="0"/>
          <w:bCs w:val="0"/>
        </w:rPr>
        <w:t>in the urine.</w:t>
      </w:r>
    </w:p>
    <w:p w14:paraId="4BEFD52A" w14:textId="77777777" w:rsidR="00011E3D" w:rsidRPr="00F82D07" w:rsidRDefault="00011E3D" w:rsidP="00011E3D">
      <w:pPr>
        <w:pStyle w:val="SubHeafingSMPC"/>
        <w:ind w:left="57"/>
      </w:pPr>
      <w:r w:rsidRPr="008F5678">
        <w:t xml:space="preserve">Preclinical safety data </w:t>
      </w:r>
    </w:p>
    <w:p w14:paraId="4AD19322" w14:textId="6A45749B" w:rsidR="00011E3D" w:rsidRDefault="00011E3D" w:rsidP="00011E3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F23363" w:rsidRPr="00F23363">
        <w:rPr>
          <w:b w:val="0"/>
          <w:bCs w:val="0"/>
        </w:rPr>
        <w:t>There are no pre-clinical data of relevance to the prescriber which are</w:t>
      </w:r>
      <w:r w:rsidR="00F23363">
        <w:rPr>
          <w:b w:val="0"/>
          <w:bCs w:val="0"/>
        </w:rPr>
        <w:t xml:space="preserve"> </w:t>
      </w:r>
      <w:r w:rsidR="00F23363">
        <w:rPr>
          <w:b w:val="0"/>
          <w:bCs w:val="0"/>
        </w:rPr>
        <w:tab/>
      </w:r>
      <w:r w:rsidR="00F23363" w:rsidRPr="00F23363">
        <w:rPr>
          <w:b w:val="0"/>
          <w:bCs w:val="0"/>
        </w:rPr>
        <w:t>additional to that already included in other sections of the SPC</w:t>
      </w:r>
      <w:r w:rsidRPr="00D84F3B">
        <w:rPr>
          <w:b w:val="0"/>
          <w:bCs w:val="0"/>
        </w:rPr>
        <w:t>.</w:t>
      </w:r>
    </w:p>
    <w:p w14:paraId="65066840" w14:textId="77777777" w:rsidR="00011E3D" w:rsidRPr="008F5678" w:rsidRDefault="00011E3D" w:rsidP="00011E3D">
      <w:pPr>
        <w:pStyle w:val="HEADING1SMPC"/>
      </w:pPr>
      <w:r w:rsidRPr="008F5678">
        <w:t xml:space="preserve">PHARMACEUTICAL PARTICULARS </w:t>
      </w:r>
    </w:p>
    <w:p w14:paraId="41DA447A" w14:textId="77777777" w:rsidR="00011E3D" w:rsidRPr="008F5678" w:rsidRDefault="00011E3D" w:rsidP="00011E3D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6D81E55E" w14:textId="77777777" w:rsidR="00011E3D" w:rsidRPr="000A71B4" w:rsidRDefault="00011E3D" w:rsidP="00011E3D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2B493A51" w14:textId="77777777" w:rsidR="00011E3D" w:rsidRPr="00F527B4" w:rsidRDefault="00011E3D" w:rsidP="00011E3D">
      <w:pPr>
        <w:pStyle w:val="SubHeafingSMPC"/>
        <w:ind w:left="57"/>
      </w:pPr>
      <w:r w:rsidRPr="008F5678">
        <w:t xml:space="preserve">Incompatibilities </w:t>
      </w:r>
    </w:p>
    <w:p w14:paraId="334EEFF2" w14:textId="77777777" w:rsidR="00011E3D" w:rsidRPr="000A71B4" w:rsidRDefault="00011E3D" w:rsidP="00011E3D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tab/>
      </w:r>
      <w:r w:rsidRPr="000A71B4">
        <w:rPr>
          <w:b w:val="0"/>
          <w:bCs w:val="0"/>
          <w:color w:val="FF0000"/>
        </w:rPr>
        <w:t>&lt;Regarding the approval&gt;</w:t>
      </w:r>
    </w:p>
    <w:p w14:paraId="7657EB6E" w14:textId="77777777" w:rsidR="00011E3D" w:rsidRPr="000A71B4" w:rsidRDefault="00011E3D" w:rsidP="00011E3D">
      <w:pPr>
        <w:pStyle w:val="SubHeafingSMPC"/>
        <w:ind w:left="57"/>
      </w:pPr>
      <w:r w:rsidRPr="008F5678">
        <w:t xml:space="preserve">Shelf life </w:t>
      </w:r>
    </w:p>
    <w:p w14:paraId="25EFD6F8" w14:textId="77777777" w:rsidR="00011E3D" w:rsidRPr="000A71B4" w:rsidRDefault="00011E3D" w:rsidP="00011E3D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7D16B33E" w14:textId="77777777" w:rsidR="00011E3D" w:rsidRPr="008F5678" w:rsidRDefault="00011E3D" w:rsidP="00011E3D">
      <w:pPr>
        <w:pStyle w:val="SubHeafingSMPC"/>
        <w:ind w:left="57"/>
      </w:pPr>
      <w:r w:rsidRPr="008F5678">
        <w:t xml:space="preserve">Special precautions for storage </w:t>
      </w:r>
    </w:p>
    <w:p w14:paraId="6AE758D7" w14:textId="77777777" w:rsidR="00011E3D" w:rsidRPr="000A71B4" w:rsidRDefault="00011E3D" w:rsidP="00011E3D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4848321B" w14:textId="77777777" w:rsidR="00011E3D" w:rsidRPr="008F5678" w:rsidRDefault="00011E3D" w:rsidP="00011E3D">
      <w:pPr>
        <w:pStyle w:val="SubHeafingSMPC"/>
        <w:ind w:left="57"/>
      </w:pPr>
      <w:r w:rsidRPr="008F5678">
        <w:t xml:space="preserve">Nature and contents of container </w:t>
      </w:r>
    </w:p>
    <w:p w14:paraId="14B71558" w14:textId="77777777" w:rsidR="00011E3D" w:rsidRPr="000A71B4" w:rsidRDefault="00011E3D" w:rsidP="00011E3D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4EBA9B26" w14:textId="77777777" w:rsidR="00011E3D" w:rsidRPr="000A71B4" w:rsidRDefault="00011E3D" w:rsidP="00011E3D">
      <w:pPr>
        <w:pStyle w:val="SubHeafingSMPC"/>
        <w:ind w:left="57"/>
      </w:pPr>
      <w:r w:rsidRPr="008F5678">
        <w:t xml:space="preserve">Special precautions for disposal </w:t>
      </w:r>
    </w:p>
    <w:p w14:paraId="67DED3E6" w14:textId="77777777" w:rsidR="00011E3D" w:rsidRPr="000A71B4" w:rsidRDefault="00011E3D" w:rsidP="00011E3D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6A740940" w14:textId="77777777" w:rsidR="00011E3D" w:rsidRDefault="00011E3D" w:rsidP="00011E3D">
      <w:pPr>
        <w:pStyle w:val="HEADING1SMPC"/>
      </w:pPr>
      <w:r w:rsidRPr="008F5678">
        <w:t xml:space="preserve">MARKETING AUTHORISATION HOLDER </w:t>
      </w:r>
    </w:p>
    <w:p w14:paraId="0093CF45" w14:textId="77777777" w:rsidR="00011E3D" w:rsidRPr="00D741D1" w:rsidRDefault="00011E3D" w:rsidP="00011E3D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1833693" w14:textId="77777777" w:rsidR="00011E3D" w:rsidRDefault="00011E3D" w:rsidP="00011E3D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61D17B32" w14:textId="77777777" w:rsidR="00011E3D" w:rsidRPr="002270FF" w:rsidRDefault="00011E3D" w:rsidP="00011E3D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3C7011A5" w14:textId="77777777" w:rsidR="00011E3D" w:rsidRDefault="00011E3D" w:rsidP="00011E3D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lastRenderedPageBreak/>
        <w:t xml:space="preserve">DATE OF FIRST AUTHORISATION/RENEWAL OF THE AUTHORISATION </w:t>
      </w:r>
    </w:p>
    <w:p w14:paraId="3261B0AC" w14:textId="77777777" w:rsidR="00011E3D" w:rsidRPr="002270FF" w:rsidRDefault="00011E3D" w:rsidP="00011E3D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68C38622" w14:textId="77777777" w:rsidR="00011E3D" w:rsidRPr="008F5678" w:rsidRDefault="00011E3D" w:rsidP="00011E3D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2FFDA36A" w14:textId="77777777" w:rsidR="00011E3D" w:rsidRPr="002270FF" w:rsidRDefault="00011E3D" w:rsidP="00011E3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3072E3EA" w14:textId="77777777" w:rsidR="00011E3D" w:rsidRPr="004E6B0A" w:rsidRDefault="00011E3D" w:rsidP="00011E3D">
      <w:pPr>
        <w:rPr>
          <w:rFonts w:ascii="Times New Roman" w:hAnsi="Times New Roman" w:cs="Times New Roman"/>
          <w:sz w:val="28"/>
          <w:szCs w:val="28"/>
        </w:rPr>
      </w:pPr>
    </w:p>
    <w:p w14:paraId="414D6E7E" w14:textId="77777777" w:rsidR="00CD0A94" w:rsidRDefault="00CD0A94"/>
    <w:sectPr w:rsidR="00CD0A94" w:rsidSect="00011E3D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821E1" w14:textId="77777777" w:rsidR="00F22E24" w:rsidRDefault="00F22E24" w:rsidP="00F23363">
      <w:pPr>
        <w:spacing w:line="240" w:lineRule="auto"/>
      </w:pPr>
      <w:r>
        <w:separator/>
      </w:r>
    </w:p>
  </w:endnote>
  <w:endnote w:type="continuationSeparator" w:id="0">
    <w:p w14:paraId="0A5A67CE" w14:textId="77777777" w:rsidR="00F22E24" w:rsidRDefault="00F22E24" w:rsidP="00F233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429E49A5" w14:textId="77777777" w:rsidR="00B027BA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4D7C1D47" w14:textId="77777777" w:rsidR="00B027BA" w:rsidRDefault="00B027B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08487B59" w14:textId="77777777" w:rsidR="00B027BA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5FB0C3AC" w14:textId="023F1644" w:rsidR="00B027BA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F23363" w:rsidRPr="00F23363">
      <w:rPr>
        <w:rFonts w:ascii="Times New Roman" w:hAnsi="Times New Roman" w:cs="Times New Roman"/>
        <w:sz w:val="24"/>
        <w:szCs w:val="24"/>
      </w:rPr>
      <w:t>Compound Magnesium Trisilicate, MHRA, 15/10/2015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CC11F" w14:textId="77777777" w:rsidR="00F22E24" w:rsidRDefault="00F22E24" w:rsidP="00F23363">
      <w:pPr>
        <w:spacing w:line="240" w:lineRule="auto"/>
      </w:pPr>
      <w:r>
        <w:separator/>
      </w:r>
    </w:p>
  </w:footnote>
  <w:footnote w:type="continuationSeparator" w:id="0">
    <w:p w14:paraId="1586887B" w14:textId="77777777" w:rsidR="00F22E24" w:rsidRDefault="00F22E24" w:rsidP="00F233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AE2CF6"/>
    <w:multiLevelType w:val="hybridMultilevel"/>
    <w:tmpl w:val="26E2275C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8729891">
    <w:abstractNumId w:val="0"/>
  </w:num>
  <w:num w:numId="2" w16cid:durableId="1081946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3D"/>
    <w:rsid w:val="00011E3D"/>
    <w:rsid w:val="00454EC5"/>
    <w:rsid w:val="00526085"/>
    <w:rsid w:val="00610BC8"/>
    <w:rsid w:val="0067027E"/>
    <w:rsid w:val="0083274C"/>
    <w:rsid w:val="00920590"/>
    <w:rsid w:val="009F5322"/>
    <w:rsid w:val="00A710F6"/>
    <w:rsid w:val="00A8054A"/>
    <w:rsid w:val="00B027BA"/>
    <w:rsid w:val="00B06764"/>
    <w:rsid w:val="00B268E1"/>
    <w:rsid w:val="00CD0A94"/>
    <w:rsid w:val="00D807F6"/>
    <w:rsid w:val="00F22E24"/>
    <w:rsid w:val="00F23363"/>
    <w:rsid w:val="00F760DB"/>
    <w:rsid w:val="00FC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A7132"/>
  <w15:chartTrackingRefBased/>
  <w15:docId w15:val="{0EFDAEF3-CB39-4127-8272-847CCFBF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E3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1E3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E3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E3D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E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E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E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E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11E3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11E3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11E3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11E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11E3D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11E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11E3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11E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11E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1E3D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11E3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11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11E3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11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11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E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11E3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11E3D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011E3D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011E3D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011E3D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011E3D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011E3D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011E3D"/>
  </w:style>
  <w:style w:type="paragraph" w:styleId="ae">
    <w:name w:val="Body Text"/>
    <w:basedOn w:val="a"/>
    <w:link w:val="af2"/>
    <w:uiPriority w:val="99"/>
    <w:unhideWhenUsed/>
    <w:rsid w:val="00011E3D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011E3D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paragraph" w:styleId="af3">
    <w:name w:val="header"/>
    <w:basedOn w:val="a"/>
    <w:link w:val="af4"/>
    <w:uiPriority w:val="99"/>
    <w:unhideWhenUsed/>
    <w:rsid w:val="00F23363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4">
    <w:name w:val="หัวกระดาษ อักขระ"/>
    <w:basedOn w:val="a0"/>
    <w:link w:val="af3"/>
    <w:uiPriority w:val="99"/>
    <w:rsid w:val="00F23363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2024-08-14T12:52:00Z</dcterms:created>
  <dcterms:modified xsi:type="dcterms:W3CDTF">2024-08-15T16:50:00Z</dcterms:modified>
</cp:coreProperties>
</file>