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FD8F1" w14:textId="3034DEB8" w:rsidR="00C05E4B" w:rsidRPr="004142F1" w:rsidRDefault="00000000" w:rsidP="004142F1">
      <w:pPr>
        <w:tabs>
          <w:tab w:val="center" w:pos="8658"/>
        </w:tabs>
        <w:spacing w:after="240" w:line="480" w:lineRule="auto"/>
        <w:ind w:left="0" w:firstLine="0"/>
        <w:jc w:val="center"/>
        <w:rPr>
          <w:rFonts w:cs="Times New Roman"/>
          <w:sz w:val="28"/>
          <w:szCs w:val="28"/>
          <w:lang w:val="en-US"/>
        </w:rPr>
      </w:pPr>
      <w:r w:rsidRPr="004142F1">
        <w:rPr>
          <w:rFonts w:cs="Times New Roman"/>
          <w:b/>
          <w:sz w:val="28"/>
          <w:szCs w:val="28"/>
          <w:lang w:val="en-US"/>
        </w:rPr>
        <w:t>SUMMARY OF PRODUCT CHARACTERISTICS</w:t>
      </w:r>
    </w:p>
    <w:p w14:paraId="342786CD" w14:textId="77777777" w:rsidR="004142F1" w:rsidRDefault="00000000" w:rsidP="004142F1">
      <w:pPr>
        <w:pStyle w:val="ListParagraph"/>
        <w:numPr>
          <w:ilvl w:val="0"/>
          <w:numId w:val="2"/>
        </w:numPr>
        <w:tabs>
          <w:tab w:val="center" w:pos="3134"/>
        </w:tabs>
        <w:spacing w:after="240" w:line="259" w:lineRule="auto"/>
        <w:ind w:left="357" w:hanging="357"/>
        <w:contextualSpacing w:val="0"/>
        <w:rPr>
          <w:rFonts w:cs="Times New Roman"/>
          <w:sz w:val="28"/>
          <w:szCs w:val="28"/>
          <w:lang w:val="en-US"/>
        </w:rPr>
      </w:pPr>
      <w:r w:rsidRPr="004142F1">
        <w:rPr>
          <w:rFonts w:cs="Times New Roman"/>
          <w:b/>
          <w:sz w:val="28"/>
          <w:szCs w:val="28"/>
          <w:lang w:val="en-US"/>
        </w:rPr>
        <w:t xml:space="preserve">NAME OF THE MEDICINAL PRODUCT </w:t>
      </w:r>
      <w:r w:rsidRPr="004142F1">
        <w:rPr>
          <w:rFonts w:cs="Times New Roman"/>
          <w:sz w:val="28"/>
          <w:szCs w:val="28"/>
          <w:lang w:val="en-US"/>
        </w:rPr>
        <w:t xml:space="preserve"> </w:t>
      </w:r>
    </w:p>
    <w:p w14:paraId="10BA7421" w14:textId="38D83F91" w:rsidR="004142F1" w:rsidRDefault="00000000" w:rsidP="004142F1">
      <w:pPr>
        <w:pStyle w:val="ListParagraph"/>
        <w:tabs>
          <w:tab w:val="center" w:pos="3134"/>
        </w:tabs>
        <w:spacing w:after="240" w:line="259" w:lineRule="auto"/>
        <w:ind w:left="357" w:firstLine="0"/>
        <w:contextualSpacing w:val="0"/>
        <w:rPr>
          <w:rFonts w:cs="Times New Roman"/>
          <w:sz w:val="28"/>
          <w:szCs w:val="28"/>
          <w:lang w:val="en-US"/>
        </w:rPr>
      </w:pPr>
      <w:r w:rsidRPr="004142F1">
        <w:rPr>
          <w:rFonts w:cs="Times New Roman"/>
          <w:color w:val="FF0000"/>
          <w:sz w:val="28"/>
          <w:szCs w:val="28"/>
          <w:lang w:val="en-US"/>
        </w:rPr>
        <w:t>&lt;Trade Name&gt;</w:t>
      </w:r>
      <w:r w:rsidRPr="004142F1">
        <w:rPr>
          <w:rFonts w:cs="Times New Roman"/>
          <w:sz w:val="28"/>
          <w:szCs w:val="28"/>
          <w:lang w:val="en-US"/>
        </w:rPr>
        <w:t xml:space="preserve"> </w:t>
      </w:r>
      <w:r w:rsidRPr="004142F1">
        <w:rPr>
          <w:rFonts w:cs="Times New Roman"/>
          <w:color w:val="FF0000"/>
          <w:sz w:val="28"/>
          <w:szCs w:val="28"/>
          <w:lang w:val="en-US"/>
        </w:rPr>
        <w:t>&lt;Strength&gt;</w:t>
      </w:r>
      <w:r w:rsidRPr="004142F1">
        <w:rPr>
          <w:rFonts w:cs="Times New Roman"/>
          <w:sz w:val="28"/>
          <w:szCs w:val="28"/>
          <w:lang w:val="en-US"/>
        </w:rPr>
        <w:t xml:space="preserve"> Tablet  </w:t>
      </w:r>
    </w:p>
    <w:p w14:paraId="07220DBA" w14:textId="77777777" w:rsidR="004142F1" w:rsidRPr="004142F1" w:rsidRDefault="00000000" w:rsidP="004142F1">
      <w:pPr>
        <w:pStyle w:val="ListParagraph"/>
        <w:numPr>
          <w:ilvl w:val="0"/>
          <w:numId w:val="2"/>
        </w:numPr>
        <w:spacing w:after="240" w:line="259" w:lineRule="auto"/>
        <w:ind w:left="357" w:hanging="357"/>
        <w:contextualSpacing w:val="0"/>
        <w:rPr>
          <w:rFonts w:cs="Times New Roman"/>
          <w:b/>
          <w:bCs/>
          <w:sz w:val="28"/>
          <w:szCs w:val="28"/>
          <w:lang w:val="en-US"/>
        </w:rPr>
      </w:pPr>
      <w:r w:rsidRPr="004142F1">
        <w:rPr>
          <w:rFonts w:cs="Times New Roman"/>
          <w:b/>
          <w:bCs/>
          <w:sz w:val="28"/>
          <w:szCs w:val="28"/>
        </w:rPr>
        <w:t xml:space="preserve">QUALITATIVE AND QUANTITATIVE COMPOSITION  </w:t>
      </w:r>
    </w:p>
    <w:p w14:paraId="2A6867FC" w14:textId="77777777" w:rsidR="004142F1" w:rsidRDefault="00000000" w:rsidP="004142F1">
      <w:pPr>
        <w:pStyle w:val="ListParagraph"/>
        <w:spacing w:after="487" w:line="360" w:lineRule="auto"/>
        <w:ind w:left="360" w:firstLine="0"/>
        <w:rPr>
          <w:rFonts w:cs="Times New Roman"/>
          <w:sz w:val="28"/>
          <w:szCs w:val="28"/>
          <w:lang w:val="en-US"/>
        </w:rPr>
      </w:pPr>
      <w:r w:rsidRPr="004142F1">
        <w:rPr>
          <w:rFonts w:cs="Times New Roman"/>
          <w:sz w:val="28"/>
          <w:szCs w:val="28"/>
          <w:lang w:val="en-US"/>
        </w:rPr>
        <w:t xml:space="preserve">Each tablet contains </w:t>
      </w:r>
      <w:r w:rsidR="004142F1" w:rsidRPr="004142F1">
        <w:rPr>
          <w:rFonts w:cs="Times New Roman"/>
          <w:color w:val="FF0000"/>
          <w:sz w:val="28"/>
          <w:szCs w:val="28"/>
          <w:lang w:val="en-US"/>
        </w:rPr>
        <w:t>&lt;Strength&gt;</w:t>
      </w:r>
      <w:r w:rsidR="004142F1" w:rsidRPr="004142F1">
        <w:rPr>
          <w:rFonts w:cs="Times New Roman"/>
          <w:sz w:val="28"/>
          <w:szCs w:val="28"/>
          <w:lang w:val="en-US"/>
        </w:rPr>
        <w:t xml:space="preserve"> </w:t>
      </w:r>
      <w:r w:rsidRPr="004142F1">
        <w:rPr>
          <w:rFonts w:cs="Times New Roman"/>
          <w:sz w:val="28"/>
          <w:szCs w:val="28"/>
          <w:lang w:val="en-US"/>
        </w:rPr>
        <w:t xml:space="preserve">albendazole.   </w:t>
      </w:r>
    </w:p>
    <w:p w14:paraId="1D316BBC" w14:textId="77777777" w:rsidR="004142F1" w:rsidRDefault="00000000" w:rsidP="004142F1">
      <w:pPr>
        <w:pStyle w:val="ListParagraph"/>
        <w:spacing w:after="240" w:line="360" w:lineRule="auto"/>
        <w:ind w:left="357" w:firstLine="0"/>
        <w:contextualSpacing w:val="0"/>
        <w:rPr>
          <w:rFonts w:cs="Times New Roman"/>
          <w:color w:val="FF0000"/>
          <w:sz w:val="28"/>
          <w:szCs w:val="28"/>
          <w:lang w:val="en-US"/>
        </w:rPr>
      </w:pPr>
      <w:r w:rsidRPr="004142F1">
        <w:rPr>
          <w:rFonts w:cs="Times New Roman"/>
          <w:color w:val="FF0000"/>
          <w:sz w:val="28"/>
          <w:szCs w:val="28"/>
          <w:lang w:val="en-US"/>
        </w:rPr>
        <w:t>&lt;Regarding the approval&gt;</w:t>
      </w:r>
    </w:p>
    <w:p w14:paraId="1D57D73F" w14:textId="77777777" w:rsidR="004142F1" w:rsidRDefault="00000000" w:rsidP="004142F1">
      <w:pPr>
        <w:pStyle w:val="ListParagraph"/>
        <w:spacing w:after="240" w:line="360" w:lineRule="auto"/>
        <w:ind w:left="357" w:firstLine="0"/>
        <w:contextualSpacing w:val="0"/>
        <w:rPr>
          <w:rFonts w:cs="Times New Roman"/>
          <w:sz w:val="28"/>
          <w:szCs w:val="28"/>
          <w:lang w:val="en-US"/>
        </w:rPr>
      </w:pPr>
      <w:r w:rsidRPr="004142F1">
        <w:rPr>
          <w:rFonts w:cs="Times New Roman"/>
          <w:sz w:val="28"/>
          <w:szCs w:val="28"/>
          <w:lang w:val="en-US"/>
        </w:rPr>
        <w:t xml:space="preserve">For a full list of excipients see section 6.1  </w:t>
      </w:r>
    </w:p>
    <w:p w14:paraId="03087DAC" w14:textId="77777777" w:rsidR="004142F1" w:rsidRDefault="00000000" w:rsidP="004142F1">
      <w:pPr>
        <w:pStyle w:val="ListParagraph"/>
        <w:numPr>
          <w:ilvl w:val="0"/>
          <w:numId w:val="2"/>
        </w:numPr>
        <w:spacing w:after="240" w:line="360" w:lineRule="auto"/>
        <w:ind w:left="357" w:hanging="357"/>
        <w:contextualSpacing w:val="0"/>
        <w:rPr>
          <w:rFonts w:cs="Times New Roman"/>
          <w:b/>
          <w:bCs/>
          <w:sz w:val="28"/>
          <w:szCs w:val="28"/>
          <w:lang w:val="en-US"/>
        </w:rPr>
      </w:pPr>
      <w:r w:rsidRPr="004142F1">
        <w:rPr>
          <w:rFonts w:cs="Times New Roman"/>
          <w:b/>
          <w:bCs/>
          <w:sz w:val="28"/>
          <w:szCs w:val="28"/>
        </w:rPr>
        <w:t xml:space="preserve">PHARMACEUTICAL FORM  </w:t>
      </w:r>
    </w:p>
    <w:p w14:paraId="3324D971" w14:textId="77777777" w:rsidR="004142F1" w:rsidRDefault="00000000" w:rsidP="004142F1">
      <w:pPr>
        <w:pStyle w:val="ListParagraph"/>
        <w:spacing w:after="487" w:line="360" w:lineRule="auto"/>
        <w:ind w:left="360" w:firstLine="0"/>
        <w:rPr>
          <w:rFonts w:cs="Times New Roman"/>
          <w:sz w:val="28"/>
          <w:szCs w:val="28"/>
          <w:lang w:val="en-US"/>
        </w:rPr>
      </w:pPr>
      <w:r w:rsidRPr="004142F1">
        <w:rPr>
          <w:rFonts w:cs="Times New Roman"/>
          <w:sz w:val="28"/>
          <w:szCs w:val="28"/>
          <w:lang w:val="en-US"/>
        </w:rPr>
        <w:t xml:space="preserve">Tablet  </w:t>
      </w:r>
    </w:p>
    <w:p w14:paraId="38A885B5" w14:textId="77777777" w:rsidR="004142F1" w:rsidRDefault="00000000" w:rsidP="004142F1">
      <w:pPr>
        <w:pStyle w:val="ListParagraph"/>
        <w:spacing w:after="240" w:line="360" w:lineRule="auto"/>
        <w:ind w:left="357" w:firstLine="0"/>
        <w:contextualSpacing w:val="0"/>
        <w:rPr>
          <w:rFonts w:cs="Times New Roman"/>
          <w:color w:val="FF0000"/>
          <w:sz w:val="28"/>
          <w:szCs w:val="28"/>
          <w:lang w:val="en-US"/>
        </w:rPr>
      </w:pPr>
      <w:r w:rsidRPr="004142F1">
        <w:rPr>
          <w:rFonts w:cs="Times New Roman"/>
          <w:color w:val="FF0000"/>
          <w:sz w:val="28"/>
          <w:szCs w:val="28"/>
          <w:lang w:val="en-US"/>
        </w:rPr>
        <w:t xml:space="preserve">&lt;Regarding the approval&gt; </w:t>
      </w:r>
    </w:p>
    <w:p w14:paraId="1F92C56A" w14:textId="77777777" w:rsidR="004142F1" w:rsidRDefault="00000000" w:rsidP="004142F1">
      <w:pPr>
        <w:pStyle w:val="ListParagraph"/>
        <w:numPr>
          <w:ilvl w:val="0"/>
          <w:numId w:val="2"/>
        </w:numPr>
        <w:spacing w:after="240" w:line="360" w:lineRule="auto"/>
        <w:ind w:left="357" w:hanging="357"/>
        <w:contextualSpacing w:val="0"/>
        <w:rPr>
          <w:rFonts w:cs="Times New Roman"/>
          <w:b/>
          <w:bCs/>
          <w:sz w:val="28"/>
          <w:szCs w:val="28"/>
          <w:lang w:val="en-US"/>
        </w:rPr>
      </w:pPr>
      <w:r w:rsidRPr="004142F1">
        <w:rPr>
          <w:rFonts w:cs="Times New Roman"/>
          <w:b/>
          <w:bCs/>
          <w:sz w:val="28"/>
          <w:szCs w:val="28"/>
        </w:rPr>
        <w:t xml:space="preserve">CLINICAL PARTICULARS  </w:t>
      </w:r>
    </w:p>
    <w:p w14:paraId="4CD3B566" w14:textId="77777777" w:rsidR="004142F1" w:rsidRPr="004142F1" w:rsidRDefault="00000000" w:rsidP="004142F1">
      <w:pPr>
        <w:pStyle w:val="ListParagraph"/>
        <w:numPr>
          <w:ilvl w:val="1"/>
          <w:numId w:val="2"/>
        </w:numPr>
        <w:spacing w:after="240" w:line="360" w:lineRule="auto"/>
        <w:ind w:left="788" w:hanging="431"/>
        <w:contextualSpacing w:val="0"/>
        <w:rPr>
          <w:rFonts w:cs="Times New Roman"/>
          <w:b/>
          <w:bCs/>
          <w:sz w:val="28"/>
          <w:szCs w:val="28"/>
          <w:lang w:val="en-US"/>
        </w:rPr>
      </w:pPr>
      <w:r w:rsidRPr="004142F1">
        <w:rPr>
          <w:rFonts w:cs="Times New Roman"/>
          <w:b/>
          <w:sz w:val="28"/>
          <w:szCs w:val="28"/>
          <w:lang w:val="en-US"/>
        </w:rPr>
        <w:t xml:space="preserve">Therapeutic indications </w:t>
      </w:r>
      <w:r w:rsidRPr="004142F1">
        <w:rPr>
          <w:rFonts w:cs="Times New Roman"/>
          <w:sz w:val="28"/>
          <w:szCs w:val="28"/>
          <w:lang w:val="en-US"/>
        </w:rPr>
        <w:t xml:space="preserve"> </w:t>
      </w:r>
    </w:p>
    <w:p w14:paraId="525070ED"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color w:val="FF0000"/>
          <w:sz w:val="28"/>
          <w:szCs w:val="28"/>
          <w:lang w:val="en-US"/>
        </w:rPr>
        <w:t>&lt;Generic Name&gt;</w:t>
      </w:r>
      <w:r w:rsidRPr="004142F1">
        <w:rPr>
          <w:rFonts w:cs="Times New Roman"/>
          <w:sz w:val="28"/>
          <w:szCs w:val="28"/>
          <w:lang w:val="en-US"/>
        </w:rPr>
        <w:t xml:space="preserve"> is a broad-spectrum anthelmintic used for the treatment of the following infections:</w:t>
      </w:r>
      <w:r w:rsidRPr="004142F1">
        <w:rPr>
          <w:rFonts w:cs="Times New Roman"/>
          <w:b/>
          <w:sz w:val="28"/>
          <w:szCs w:val="28"/>
          <w:lang w:val="en-US"/>
        </w:rPr>
        <w:t xml:space="preserve">  </w:t>
      </w:r>
      <w:r w:rsidRPr="004142F1">
        <w:rPr>
          <w:rFonts w:cs="Times New Roman"/>
          <w:sz w:val="28"/>
          <w:szCs w:val="28"/>
          <w:lang w:val="en-US"/>
        </w:rPr>
        <w:t xml:space="preserve"> </w:t>
      </w:r>
    </w:p>
    <w:p w14:paraId="5153B398" w14:textId="77777777" w:rsidR="004142F1" w:rsidRDefault="00000000" w:rsidP="004142F1">
      <w:pPr>
        <w:pStyle w:val="ListParagraph"/>
        <w:spacing w:after="240" w:line="360" w:lineRule="auto"/>
        <w:ind w:left="794" w:firstLine="0"/>
        <w:contextualSpacing w:val="0"/>
        <w:jc w:val="thaiDistribute"/>
        <w:rPr>
          <w:rFonts w:cs="Times New Roman"/>
          <w:sz w:val="28"/>
          <w:szCs w:val="28"/>
          <w:u w:val="single"/>
          <w:lang w:val="en-US"/>
        </w:rPr>
      </w:pPr>
      <w:r w:rsidRPr="004142F1">
        <w:rPr>
          <w:rFonts w:cs="Times New Roman"/>
          <w:sz w:val="28"/>
          <w:szCs w:val="28"/>
          <w:u w:val="single"/>
          <w:lang w:val="en-US"/>
        </w:rPr>
        <w:t>Cestode infections (tapeworms)</w:t>
      </w:r>
      <w:r w:rsidR="004142F1">
        <w:rPr>
          <w:sz w:val="28"/>
          <w:szCs w:val="35"/>
          <w:u w:val="single"/>
          <w:lang w:val="en-US"/>
        </w:rPr>
        <w:t>:</w:t>
      </w:r>
      <w:r w:rsidRPr="004142F1">
        <w:rPr>
          <w:rFonts w:cs="Times New Roman"/>
          <w:sz w:val="28"/>
          <w:szCs w:val="28"/>
          <w:u w:val="single"/>
          <w:lang w:val="en-US"/>
        </w:rPr>
        <w:t xml:space="preserve"> </w:t>
      </w:r>
    </w:p>
    <w:p w14:paraId="42695BD2"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color w:val="FF0000"/>
          <w:sz w:val="28"/>
          <w:szCs w:val="28"/>
          <w:lang w:val="en-US"/>
        </w:rPr>
        <w:t>&lt;Generic Name&gt;</w:t>
      </w:r>
      <w:r w:rsidRPr="004142F1">
        <w:rPr>
          <w:rFonts w:cs="Times New Roman"/>
          <w:sz w:val="28"/>
          <w:szCs w:val="28"/>
          <w:lang w:val="en-US"/>
        </w:rPr>
        <w:t xml:space="preserve"> is indicated for the treatment of </w:t>
      </w:r>
      <w:r w:rsidRPr="004142F1">
        <w:rPr>
          <w:rFonts w:cs="Times New Roman"/>
          <w:i/>
          <w:sz w:val="28"/>
          <w:szCs w:val="28"/>
          <w:lang w:val="en-US"/>
        </w:rPr>
        <w:t>Echinococcus multilocularis</w:t>
      </w:r>
      <w:r w:rsidRPr="004142F1">
        <w:rPr>
          <w:rFonts w:cs="Times New Roman"/>
          <w:sz w:val="28"/>
          <w:szCs w:val="28"/>
          <w:lang w:val="en-US"/>
        </w:rPr>
        <w:t xml:space="preserve"> and </w:t>
      </w:r>
      <w:r w:rsidRPr="004142F1">
        <w:rPr>
          <w:rFonts w:cs="Times New Roman"/>
          <w:i/>
          <w:sz w:val="28"/>
          <w:szCs w:val="28"/>
          <w:lang w:val="en-US"/>
        </w:rPr>
        <w:t>E. granulosus</w:t>
      </w:r>
      <w:r w:rsidRPr="004142F1">
        <w:rPr>
          <w:rFonts w:cs="Times New Roman"/>
          <w:sz w:val="28"/>
          <w:szCs w:val="28"/>
          <w:lang w:val="en-US"/>
        </w:rPr>
        <w:t xml:space="preserve"> infections before or after surgery or where surgery is not suitable.</w:t>
      </w:r>
      <w:r w:rsidRPr="004142F1">
        <w:rPr>
          <w:rFonts w:cs="Times New Roman"/>
          <w:b/>
          <w:sz w:val="28"/>
          <w:szCs w:val="28"/>
          <w:lang w:val="en-US"/>
        </w:rPr>
        <w:t xml:space="preserve">  </w:t>
      </w:r>
      <w:r w:rsidRPr="004142F1">
        <w:rPr>
          <w:rFonts w:cs="Times New Roman"/>
          <w:sz w:val="28"/>
          <w:szCs w:val="28"/>
          <w:lang w:val="en-US"/>
        </w:rPr>
        <w:t xml:space="preserve"> </w:t>
      </w:r>
    </w:p>
    <w:p w14:paraId="520D3CA5"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color w:val="FF0000"/>
          <w:sz w:val="28"/>
          <w:szCs w:val="28"/>
          <w:lang w:val="en-US"/>
        </w:rPr>
        <w:t>&lt;Generic Name&gt;</w:t>
      </w:r>
      <w:r w:rsidRPr="004142F1">
        <w:rPr>
          <w:rFonts w:cs="Times New Roman"/>
          <w:sz w:val="28"/>
          <w:szCs w:val="28"/>
          <w:lang w:val="en-US"/>
        </w:rPr>
        <w:t xml:space="preserve"> is also indicated for the treatment of neurocysticercosis caused by larval forms of the pork tapeworm, </w:t>
      </w:r>
      <w:r w:rsidRPr="004142F1">
        <w:rPr>
          <w:rFonts w:cs="Times New Roman"/>
          <w:i/>
          <w:sz w:val="28"/>
          <w:szCs w:val="28"/>
          <w:lang w:val="en-US"/>
        </w:rPr>
        <w:t>Taenia solium.</w:t>
      </w:r>
      <w:r w:rsidRPr="004142F1">
        <w:rPr>
          <w:rFonts w:cs="Times New Roman"/>
          <w:b/>
          <w:sz w:val="28"/>
          <w:szCs w:val="28"/>
          <w:lang w:val="en-US"/>
        </w:rPr>
        <w:t xml:space="preserve"> </w:t>
      </w:r>
      <w:r w:rsidRPr="004142F1">
        <w:rPr>
          <w:rFonts w:cs="Times New Roman"/>
          <w:sz w:val="28"/>
          <w:szCs w:val="28"/>
          <w:lang w:val="en-US"/>
        </w:rPr>
        <w:t xml:space="preserve"> </w:t>
      </w:r>
    </w:p>
    <w:p w14:paraId="38B39C66" w14:textId="65784573" w:rsidR="004142F1" w:rsidRP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bCs/>
          <w:sz w:val="28"/>
          <w:szCs w:val="28"/>
          <w:u w:val="single"/>
          <w:lang w:val="en-US"/>
        </w:rPr>
        <w:lastRenderedPageBreak/>
        <w:t>Lymphatic filariasis</w:t>
      </w:r>
      <w:r w:rsidR="004142F1" w:rsidRPr="004142F1">
        <w:rPr>
          <w:rFonts w:cs="Times New Roman"/>
          <w:bCs/>
          <w:sz w:val="28"/>
          <w:szCs w:val="28"/>
          <w:u w:val="single"/>
          <w:lang w:val="en-US"/>
        </w:rPr>
        <w:t>:</w:t>
      </w:r>
    </w:p>
    <w:p w14:paraId="3C78884D"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color w:val="FF0000"/>
          <w:sz w:val="28"/>
          <w:szCs w:val="28"/>
          <w:lang w:val="en-US"/>
        </w:rPr>
        <w:t>&lt;Generic Name&gt;</w:t>
      </w:r>
      <w:r w:rsidRPr="004142F1">
        <w:rPr>
          <w:rFonts w:cs="Times New Roman"/>
          <w:sz w:val="28"/>
          <w:szCs w:val="28"/>
          <w:lang w:val="en-US"/>
        </w:rPr>
        <w:t xml:space="preserve"> is indicated together with ivermectin and/or diethylcarbamazine for the elimination of lymphatic filariasis.</w:t>
      </w:r>
      <w:r w:rsidRPr="004142F1">
        <w:rPr>
          <w:rFonts w:cs="Times New Roman"/>
          <w:b/>
          <w:sz w:val="28"/>
          <w:szCs w:val="28"/>
          <w:lang w:val="en-US"/>
        </w:rPr>
        <w:t xml:space="preserve">  </w:t>
      </w:r>
      <w:r w:rsidRPr="004142F1">
        <w:rPr>
          <w:rFonts w:cs="Times New Roman"/>
          <w:sz w:val="28"/>
          <w:szCs w:val="28"/>
          <w:lang w:val="en-US"/>
        </w:rPr>
        <w:t xml:space="preserve"> </w:t>
      </w:r>
    </w:p>
    <w:p w14:paraId="7BADC605"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Treatment is given to the entire eligible population in endemic areas through a mass drug administration programme.</w:t>
      </w:r>
      <w:r w:rsidRPr="004142F1">
        <w:rPr>
          <w:rFonts w:cs="Times New Roman"/>
          <w:b/>
          <w:sz w:val="28"/>
          <w:szCs w:val="28"/>
          <w:lang w:val="en-US"/>
        </w:rPr>
        <w:t xml:space="preserve"> </w:t>
      </w:r>
      <w:r w:rsidRPr="004142F1">
        <w:rPr>
          <w:rFonts w:cs="Times New Roman"/>
          <w:sz w:val="28"/>
          <w:szCs w:val="28"/>
          <w:lang w:val="en-US"/>
        </w:rPr>
        <w:t xml:space="preserve"> </w:t>
      </w:r>
    </w:p>
    <w:p w14:paraId="7A5A8DD0" w14:textId="77777777" w:rsidR="004142F1" w:rsidRDefault="00000000" w:rsidP="004142F1">
      <w:pPr>
        <w:pStyle w:val="ListParagraph"/>
        <w:spacing w:after="240" w:line="360" w:lineRule="auto"/>
        <w:ind w:left="794" w:firstLine="0"/>
        <w:contextualSpacing w:val="0"/>
        <w:jc w:val="thaiDistribute"/>
        <w:rPr>
          <w:rFonts w:cs="Times New Roman"/>
          <w:sz w:val="28"/>
          <w:szCs w:val="28"/>
          <w:u w:val="single"/>
          <w:lang w:val="en-US"/>
        </w:rPr>
      </w:pPr>
      <w:r w:rsidRPr="004142F1">
        <w:rPr>
          <w:rFonts w:cs="Times New Roman"/>
          <w:sz w:val="28"/>
          <w:szCs w:val="28"/>
          <w:u w:val="single"/>
          <w:lang w:val="en-US"/>
        </w:rPr>
        <w:t>Other nematode infections (roundworms)</w:t>
      </w:r>
      <w:r w:rsidR="004142F1">
        <w:rPr>
          <w:rFonts w:cs="Times New Roman"/>
          <w:sz w:val="28"/>
          <w:szCs w:val="28"/>
          <w:u w:val="single"/>
          <w:lang w:val="en-US"/>
        </w:rPr>
        <w:t>:</w:t>
      </w:r>
      <w:r w:rsidRPr="004142F1">
        <w:rPr>
          <w:rFonts w:cs="Times New Roman"/>
          <w:sz w:val="28"/>
          <w:szCs w:val="28"/>
          <w:u w:val="single"/>
          <w:lang w:val="en-US"/>
        </w:rPr>
        <w:t xml:space="preserve">  </w:t>
      </w:r>
    </w:p>
    <w:p w14:paraId="0B584A8B"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color w:val="FF0000"/>
          <w:sz w:val="28"/>
          <w:szCs w:val="28"/>
          <w:lang w:val="en-US"/>
        </w:rPr>
        <w:t>&lt;Generic Name&gt;</w:t>
      </w:r>
      <w:r w:rsidRPr="004142F1">
        <w:rPr>
          <w:rFonts w:cs="Times New Roman"/>
          <w:sz w:val="28"/>
          <w:szCs w:val="28"/>
          <w:lang w:val="en-US"/>
        </w:rPr>
        <w:t xml:space="preserve"> is indicated for the treatment of nematode infections including ascariasis, capillariasis, enterobiasis, hookworm infections (necatoriasis and ancylostomiasis), strongyloidiasis, trichostrongyliasis, trichuriasis, cutaneous larva migrans and trichinellosis.</w:t>
      </w:r>
      <w:r w:rsidRPr="004142F1">
        <w:rPr>
          <w:rFonts w:cs="Times New Roman"/>
          <w:b/>
          <w:sz w:val="28"/>
          <w:szCs w:val="28"/>
          <w:lang w:val="en-US"/>
        </w:rPr>
        <w:t xml:space="preserve"> </w:t>
      </w:r>
      <w:r w:rsidRPr="004142F1">
        <w:rPr>
          <w:rFonts w:cs="Times New Roman"/>
          <w:sz w:val="28"/>
          <w:szCs w:val="28"/>
          <w:lang w:val="en-US"/>
        </w:rPr>
        <w:t xml:space="preserve"> </w:t>
      </w:r>
    </w:p>
    <w:p w14:paraId="77321080" w14:textId="4D5D321C" w:rsidR="00C05E4B" w:rsidRPr="004142F1" w:rsidRDefault="00000000" w:rsidP="004142F1">
      <w:pPr>
        <w:pStyle w:val="ListParagraph"/>
        <w:spacing w:after="240" w:line="360" w:lineRule="auto"/>
        <w:ind w:left="794" w:firstLine="0"/>
        <w:contextualSpacing w:val="0"/>
        <w:jc w:val="thaiDistribute"/>
        <w:rPr>
          <w:rFonts w:cs="Times New Roman"/>
          <w:sz w:val="28"/>
          <w:szCs w:val="28"/>
          <w:u w:val="single"/>
          <w:lang w:val="en-US"/>
        </w:rPr>
      </w:pPr>
      <w:r w:rsidRPr="004142F1">
        <w:rPr>
          <w:rFonts w:cs="Times New Roman"/>
          <w:color w:val="FF0000"/>
          <w:sz w:val="28"/>
          <w:szCs w:val="28"/>
          <w:lang w:val="en-US"/>
        </w:rPr>
        <w:t>&lt;Generic Name&gt;</w:t>
      </w:r>
      <w:r w:rsidRPr="004142F1">
        <w:rPr>
          <w:rFonts w:cs="Times New Roman"/>
          <w:sz w:val="28"/>
          <w:szCs w:val="28"/>
          <w:lang w:val="en-US"/>
        </w:rPr>
        <w:t xml:space="preserve"> can also be used, alone or in combination with other medicines, for the control of soiltransmitted helminthiasis (ascariasis, trichuriasis and hookworm infections) through mass drug administration programmes. </w:t>
      </w:r>
      <w:r w:rsidRPr="004142F1">
        <w:rPr>
          <w:rFonts w:cs="Times New Roman"/>
          <w:b/>
          <w:sz w:val="28"/>
          <w:szCs w:val="28"/>
          <w:lang w:val="en-US"/>
        </w:rPr>
        <w:t xml:space="preserve"> </w:t>
      </w:r>
      <w:r w:rsidRPr="004142F1">
        <w:rPr>
          <w:rFonts w:cs="Times New Roman"/>
          <w:sz w:val="28"/>
          <w:szCs w:val="28"/>
          <w:lang w:val="en-US"/>
        </w:rPr>
        <w:t xml:space="preserve"> </w:t>
      </w:r>
    </w:p>
    <w:p w14:paraId="2AF3B513" w14:textId="77777777" w:rsidR="004142F1" w:rsidRDefault="00000000" w:rsidP="004142F1">
      <w:pPr>
        <w:pStyle w:val="ListParagraph"/>
        <w:numPr>
          <w:ilvl w:val="1"/>
          <w:numId w:val="2"/>
        </w:numPr>
        <w:spacing w:after="240" w:line="259" w:lineRule="auto"/>
        <w:ind w:left="788" w:hanging="431"/>
        <w:contextualSpacing w:val="0"/>
        <w:rPr>
          <w:rFonts w:cs="Times New Roman"/>
          <w:sz w:val="28"/>
          <w:szCs w:val="28"/>
          <w:lang w:val="en-US"/>
        </w:rPr>
      </w:pPr>
      <w:r w:rsidRPr="004142F1">
        <w:rPr>
          <w:rFonts w:cs="Times New Roman"/>
          <w:b/>
          <w:sz w:val="28"/>
          <w:szCs w:val="28"/>
          <w:lang w:val="en-US"/>
        </w:rPr>
        <w:t xml:space="preserve">Posology and method of administration  </w:t>
      </w:r>
      <w:r w:rsidRPr="004142F1">
        <w:rPr>
          <w:rFonts w:cs="Times New Roman"/>
          <w:sz w:val="28"/>
          <w:szCs w:val="28"/>
          <w:lang w:val="en-US"/>
        </w:rPr>
        <w:t xml:space="preserve"> </w:t>
      </w:r>
    </w:p>
    <w:p w14:paraId="6F640A57" w14:textId="77777777" w:rsidR="004142F1" w:rsidRDefault="00000000" w:rsidP="004142F1">
      <w:pPr>
        <w:pStyle w:val="ListParagraph"/>
        <w:spacing w:after="240" w:line="259" w:lineRule="auto"/>
        <w:ind w:left="794" w:firstLine="0"/>
        <w:contextualSpacing w:val="0"/>
        <w:rPr>
          <w:i/>
          <w:iCs/>
          <w:sz w:val="28"/>
          <w:szCs w:val="28"/>
          <w:lang w:val="en-US"/>
        </w:rPr>
      </w:pPr>
      <w:r w:rsidRPr="004142F1">
        <w:rPr>
          <w:i/>
          <w:iCs/>
          <w:sz w:val="28"/>
          <w:szCs w:val="28"/>
        </w:rPr>
        <w:t>Cestode infections (tapeworms)</w:t>
      </w:r>
      <w:r w:rsidR="004142F1">
        <w:rPr>
          <w:i/>
          <w:iCs/>
          <w:sz w:val="28"/>
          <w:szCs w:val="28"/>
          <w:lang w:val="en-US"/>
        </w:rPr>
        <w:t>:</w:t>
      </w:r>
      <w:r w:rsidRPr="004142F1">
        <w:rPr>
          <w:i/>
          <w:iCs/>
          <w:sz w:val="28"/>
          <w:szCs w:val="28"/>
        </w:rPr>
        <w:t xml:space="preserve"> </w:t>
      </w:r>
    </w:p>
    <w:p w14:paraId="419F6753" w14:textId="77777777" w:rsidR="004142F1" w:rsidRDefault="00000000" w:rsidP="004142F1">
      <w:pPr>
        <w:pStyle w:val="ListParagraph"/>
        <w:spacing w:after="240" w:line="259" w:lineRule="auto"/>
        <w:ind w:left="794" w:firstLine="0"/>
        <w:contextualSpacing w:val="0"/>
        <w:rPr>
          <w:rFonts w:cs="Times New Roman"/>
          <w:sz w:val="28"/>
          <w:szCs w:val="28"/>
          <w:u w:val="single"/>
          <w:lang w:val="en-US"/>
        </w:rPr>
      </w:pPr>
      <w:r w:rsidRPr="004142F1">
        <w:rPr>
          <w:rFonts w:cs="Times New Roman"/>
          <w:sz w:val="28"/>
          <w:szCs w:val="28"/>
          <w:u w:val="single"/>
        </w:rPr>
        <w:t xml:space="preserve">Adults  </w:t>
      </w:r>
    </w:p>
    <w:p w14:paraId="5620265A" w14:textId="77777777" w:rsidR="004142F1" w:rsidRDefault="00000000" w:rsidP="004142F1">
      <w:pPr>
        <w:pStyle w:val="ListParagraph"/>
        <w:numPr>
          <w:ilvl w:val="0"/>
          <w:numId w:val="4"/>
        </w:numPr>
        <w:spacing w:after="0" w:line="360" w:lineRule="auto"/>
        <w:jc w:val="thaiDistribute"/>
        <w:rPr>
          <w:rFonts w:cs="Times New Roman"/>
          <w:sz w:val="28"/>
          <w:szCs w:val="28"/>
          <w:lang w:val="en-US"/>
        </w:rPr>
      </w:pPr>
      <w:r w:rsidRPr="004142F1">
        <w:rPr>
          <w:rFonts w:cs="Times New Roman"/>
          <w:sz w:val="28"/>
          <w:szCs w:val="28"/>
          <w:lang w:val="en-US"/>
        </w:rPr>
        <w:t xml:space="preserve">In adults over 60 kg, the dose is 400 mg twice a day.  </w:t>
      </w:r>
    </w:p>
    <w:p w14:paraId="746CBE29" w14:textId="77777777" w:rsidR="004142F1" w:rsidRDefault="00000000" w:rsidP="004142F1">
      <w:pPr>
        <w:pStyle w:val="ListParagraph"/>
        <w:numPr>
          <w:ilvl w:val="0"/>
          <w:numId w:val="4"/>
        </w:numPr>
        <w:spacing w:after="240" w:line="360" w:lineRule="auto"/>
        <w:ind w:left="1508" w:hanging="357"/>
        <w:contextualSpacing w:val="0"/>
        <w:jc w:val="thaiDistribute"/>
        <w:rPr>
          <w:rFonts w:cs="Times New Roman"/>
          <w:sz w:val="28"/>
          <w:szCs w:val="28"/>
          <w:lang w:val="en-US"/>
        </w:rPr>
      </w:pPr>
      <w:r w:rsidRPr="004142F1">
        <w:rPr>
          <w:rFonts w:cs="Times New Roman"/>
          <w:sz w:val="28"/>
          <w:szCs w:val="28"/>
          <w:lang w:val="en-US"/>
        </w:rPr>
        <w:t>In adults up to 60 kg, the dose is 15 mg/kg daily in 2 divided doses (maximum 800 mg daily).</w:t>
      </w:r>
      <w:r w:rsidRPr="004142F1">
        <w:rPr>
          <w:rFonts w:eastAsia="Calibri" w:cs="Times New Roman"/>
          <w:sz w:val="28"/>
          <w:szCs w:val="28"/>
          <w:lang w:val="en-US"/>
        </w:rPr>
        <w:t xml:space="preserve"> </w:t>
      </w:r>
      <w:r w:rsidRPr="004142F1">
        <w:rPr>
          <w:rFonts w:cs="Times New Roman"/>
          <w:sz w:val="28"/>
          <w:szCs w:val="28"/>
          <w:lang w:val="en-US"/>
        </w:rPr>
        <w:t xml:space="preserve"> </w:t>
      </w:r>
    </w:p>
    <w:p w14:paraId="76E70A06" w14:textId="77777777" w:rsidR="004142F1" w:rsidRDefault="004142F1">
      <w:pPr>
        <w:spacing w:after="160" w:line="278" w:lineRule="auto"/>
        <w:ind w:left="0" w:firstLine="0"/>
        <w:rPr>
          <w:rFonts w:cs="Times New Roman"/>
          <w:i/>
          <w:iCs/>
          <w:sz w:val="28"/>
          <w:szCs w:val="28"/>
          <w:lang w:val="en-US"/>
        </w:rPr>
      </w:pPr>
      <w:r>
        <w:rPr>
          <w:rFonts w:cs="Times New Roman"/>
          <w:i/>
          <w:iCs/>
          <w:sz w:val="28"/>
          <w:szCs w:val="28"/>
          <w:lang w:val="en-US"/>
        </w:rPr>
        <w:br w:type="page"/>
      </w:r>
    </w:p>
    <w:p w14:paraId="30852524" w14:textId="1F50B972" w:rsidR="004142F1" w:rsidRDefault="00000000" w:rsidP="004142F1">
      <w:pPr>
        <w:pStyle w:val="ListParagraph"/>
        <w:spacing w:after="240" w:line="360" w:lineRule="auto"/>
        <w:ind w:left="794" w:firstLine="0"/>
        <w:contextualSpacing w:val="0"/>
        <w:jc w:val="thaiDistribute"/>
        <w:rPr>
          <w:rFonts w:cs="Times New Roman"/>
          <w:i/>
          <w:sz w:val="28"/>
          <w:szCs w:val="28"/>
          <w:lang w:val="en-US"/>
        </w:rPr>
      </w:pPr>
      <w:r w:rsidRPr="004142F1">
        <w:rPr>
          <w:rFonts w:cs="Times New Roman"/>
          <w:i/>
          <w:iCs/>
          <w:sz w:val="28"/>
          <w:szCs w:val="28"/>
          <w:lang w:val="en-US"/>
        </w:rPr>
        <w:lastRenderedPageBreak/>
        <w:t>For cystic echinococcosis</w:t>
      </w:r>
    </w:p>
    <w:p w14:paraId="7DF4C265"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 </w:t>
      </w:r>
      <w:r w:rsidRPr="004142F1">
        <w:rPr>
          <w:rFonts w:cs="Times New Roman"/>
          <w:color w:val="FF0000"/>
          <w:sz w:val="28"/>
          <w:szCs w:val="28"/>
          <w:lang w:val="en-US"/>
        </w:rPr>
        <w:t>&lt;Generic Name&gt;</w:t>
      </w:r>
      <w:r w:rsidRPr="004142F1">
        <w:rPr>
          <w:rFonts w:cs="Times New Roman"/>
          <w:sz w:val="28"/>
          <w:szCs w:val="28"/>
          <w:lang w:val="en-US"/>
        </w:rPr>
        <w:t xml:space="preserve"> is taken for a course of 28 days followed by 14 tablet-free days. Up to 3 courses may be given.   </w:t>
      </w:r>
    </w:p>
    <w:p w14:paraId="33957ED6" w14:textId="77777777" w:rsidR="004142F1" w:rsidRDefault="00000000" w:rsidP="004142F1">
      <w:pPr>
        <w:pStyle w:val="ListParagraph"/>
        <w:spacing w:after="240" w:line="360" w:lineRule="auto"/>
        <w:ind w:left="794" w:firstLine="0"/>
        <w:contextualSpacing w:val="0"/>
        <w:jc w:val="thaiDistribute"/>
        <w:rPr>
          <w:rFonts w:cs="Times New Roman"/>
          <w:i/>
          <w:iCs/>
          <w:sz w:val="28"/>
          <w:szCs w:val="28"/>
          <w:lang w:val="en-US"/>
        </w:rPr>
      </w:pPr>
      <w:r w:rsidRPr="004142F1">
        <w:rPr>
          <w:rFonts w:cs="Times New Roman"/>
          <w:i/>
          <w:iCs/>
          <w:sz w:val="28"/>
          <w:szCs w:val="28"/>
          <w:lang w:val="en-US"/>
        </w:rPr>
        <w:t>For alveolar echinococcosis</w:t>
      </w:r>
    </w:p>
    <w:p w14:paraId="18A87411"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color w:val="FF0000"/>
          <w:sz w:val="28"/>
          <w:szCs w:val="28"/>
          <w:lang w:val="en-US"/>
        </w:rPr>
        <w:t>&lt;Generic Name&gt;</w:t>
      </w:r>
      <w:r w:rsidRPr="004142F1">
        <w:rPr>
          <w:rFonts w:cs="Times New Roman"/>
          <w:sz w:val="28"/>
          <w:szCs w:val="28"/>
          <w:lang w:val="en-US"/>
        </w:rPr>
        <w:t xml:space="preserve"> is taken for a course of 28 days followed by 14 tablet-free days, and treatment cycles may need to be continued for months or years.   </w:t>
      </w:r>
    </w:p>
    <w:p w14:paraId="52EACB7F" w14:textId="77777777" w:rsidR="004142F1" w:rsidRPr="004142F1" w:rsidRDefault="00000000" w:rsidP="004142F1">
      <w:pPr>
        <w:pStyle w:val="ListParagraph"/>
        <w:spacing w:after="240" w:line="360" w:lineRule="auto"/>
        <w:ind w:left="794" w:firstLine="0"/>
        <w:contextualSpacing w:val="0"/>
        <w:jc w:val="thaiDistribute"/>
        <w:rPr>
          <w:rFonts w:cs="Times New Roman"/>
          <w:i/>
          <w:iCs/>
          <w:sz w:val="28"/>
          <w:szCs w:val="28"/>
          <w:lang w:val="en-US"/>
        </w:rPr>
      </w:pPr>
      <w:r w:rsidRPr="004142F1">
        <w:rPr>
          <w:rFonts w:cs="Times New Roman"/>
          <w:i/>
          <w:iCs/>
          <w:sz w:val="28"/>
          <w:szCs w:val="28"/>
          <w:lang w:val="en-US"/>
        </w:rPr>
        <w:t>For neurocysticercosis</w:t>
      </w:r>
    </w:p>
    <w:p w14:paraId="77849224" w14:textId="77777777" w:rsidR="004142F1" w:rsidRDefault="00000000" w:rsidP="004142F1">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 </w:t>
      </w:r>
      <w:r w:rsidRPr="004142F1">
        <w:rPr>
          <w:rFonts w:cs="Times New Roman"/>
          <w:color w:val="FF0000"/>
          <w:sz w:val="28"/>
          <w:szCs w:val="28"/>
          <w:lang w:val="en-US"/>
        </w:rPr>
        <w:t>&lt;Generic Name&gt;</w:t>
      </w:r>
      <w:r w:rsidRPr="004142F1">
        <w:rPr>
          <w:rFonts w:cs="Times New Roman"/>
          <w:sz w:val="28"/>
          <w:szCs w:val="28"/>
          <w:lang w:val="en-US"/>
        </w:rPr>
        <w:t xml:space="preserve"> is taken for 8–30 days.  </w:t>
      </w:r>
    </w:p>
    <w:p w14:paraId="338B6DC1" w14:textId="77777777" w:rsidR="004142F1" w:rsidRDefault="00000000" w:rsidP="004142F1">
      <w:pPr>
        <w:spacing w:after="240" w:line="360" w:lineRule="auto"/>
        <w:ind w:left="11" w:firstLine="709"/>
        <w:jc w:val="thaiDistribute"/>
        <w:rPr>
          <w:rFonts w:cs="Times New Roman"/>
          <w:iCs/>
          <w:sz w:val="28"/>
          <w:szCs w:val="28"/>
          <w:u w:val="single"/>
          <w:lang w:val="en-US"/>
        </w:rPr>
      </w:pPr>
      <w:r w:rsidRPr="004142F1">
        <w:rPr>
          <w:rFonts w:cs="Times New Roman"/>
          <w:iCs/>
          <w:sz w:val="28"/>
          <w:szCs w:val="28"/>
          <w:u w:val="single"/>
          <w:lang w:val="en-US"/>
        </w:rPr>
        <w:t xml:space="preserve">Children  </w:t>
      </w:r>
    </w:p>
    <w:p w14:paraId="0FFC1B37" w14:textId="77777777" w:rsidR="004142F1" w:rsidRDefault="00000000" w:rsidP="004142F1">
      <w:pPr>
        <w:spacing w:after="240" w:line="360" w:lineRule="auto"/>
        <w:ind w:left="720" w:firstLine="0"/>
        <w:jc w:val="thaiDistribute"/>
        <w:rPr>
          <w:rFonts w:cs="Times New Roman"/>
          <w:sz w:val="28"/>
          <w:szCs w:val="28"/>
          <w:lang w:val="en-US"/>
        </w:rPr>
      </w:pPr>
      <w:r w:rsidRPr="004142F1">
        <w:rPr>
          <w:rFonts w:cs="Times New Roman"/>
          <w:sz w:val="28"/>
          <w:szCs w:val="28"/>
          <w:lang w:val="en-US"/>
        </w:rPr>
        <w:t xml:space="preserve">Only limited data are available on the use of </w:t>
      </w:r>
      <w:r w:rsidRPr="004142F1">
        <w:rPr>
          <w:rFonts w:cs="Times New Roman"/>
          <w:color w:val="FF0000"/>
          <w:sz w:val="28"/>
          <w:szCs w:val="28"/>
          <w:lang w:val="en-US"/>
        </w:rPr>
        <w:t>&lt;Generic Name&gt;</w:t>
      </w:r>
      <w:r w:rsidRPr="004142F1">
        <w:rPr>
          <w:rFonts w:cs="Times New Roman"/>
          <w:sz w:val="28"/>
          <w:szCs w:val="28"/>
          <w:lang w:val="en-US"/>
        </w:rPr>
        <w:t xml:space="preserve"> in</w:t>
      </w:r>
      <w:r w:rsidR="004142F1">
        <w:rPr>
          <w:rFonts w:cs="Times New Roman"/>
          <w:sz w:val="28"/>
          <w:szCs w:val="28"/>
          <w:lang w:val="en-US"/>
        </w:rPr>
        <w:t xml:space="preserve"> </w:t>
      </w:r>
      <w:r w:rsidRPr="004142F1">
        <w:rPr>
          <w:rFonts w:cs="Times New Roman"/>
          <w:sz w:val="28"/>
          <w:szCs w:val="28"/>
          <w:lang w:val="en-US"/>
        </w:rPr>
        <w:t xml:space="preserve">children for cestode infections.   </w:t>
      </w:r>
    </w:p>
    <w:p w14:paraId="2B23946E" w14:textId="77777777" w:rsidR="004142F1" w:rsidRDefault="00000000" w:rsidP="004142F1">
      <w:pPr>
        <w:spacing w:after="240" w:line="360" w:lineRule="auto"/>
        <w:ind w:left="720" w:firstLine="0"/>
        <w:jc w:val="thaiDistribute"/>
        <w:rPr>
          <w:rFonts w:cs="Times New Roman"/>
          <w:i/>
          <w:iCs/>
          <w:sz w:val="28"/>
          <w:szCs w:val="28"/>
          <w:u w:val="single"/>
          <w:lang w:val="en-US"/>
        </w:rPr>
      </w:pPr>
      <w:r w:rsidRPr="004142F1">
        <w:rPr>
          <w:rFonts w:cs="Times New Roman"/>
          <w:i/>
          <w:iCs/>
          <w:sz w:val="28"/>
          <w:szCs w:val="28"/>
          <w:lang w:val="en-US"/>
        </w:rPr>
        <w:t xml:space="preserve">Nematode infections  </w:t>
      </w:r>
    </w:p>
    <w:p w14:paraId="0547FB9F" w14:textId="11DD0AE1" w:rsidR="004142F1" w:rsidRDefault="00000000" w:rsidP="004142F1">
      <w:pPr>
        <w:spacing w:after="0" w:line="360" w:lineRule="auto"/>
        <w:ind w:left="720" w:firstLine="0"/>
        <w:jc w:val="thaiDistribute"/>
        <w:rPr>
          <w:rFonts w:cs="Times New Roman"/>
          <w:sz w:val="28"/>
          <w:szCs w:val="28"/>
          <w:lang w:val="en-US"/>
        </w:rPr>
      </w:pPr>
      <w:r w:rsidRPr="004142F1">
        <w:rPr>
          <w:rFonts w:cs="Times New Roman"/>
          <w:sz w:val="28"/>
          <w:szCs w:val="28"/>
          <w:lang w:val="en-US"/>
        </w:rPr>
        <w:t xml:space="preserve">Doses for the treatment of nematode infections are shown in the following table.  </w:t>
      </w:r>
    </w:p>
    <w:p w14:paraId="3DF8EE5C" w14:textId="32A2D606" w:rsidR="00C05E4B" w:rsidRPr="004142F1" w:rsidRDefault="004142F1" w:rsidP="004142F1">
      <w:pPr>
        <w:spacing w:after="160" w:line="278" w:lineRule="auto"/>
        <w:ind w:left="0" w:firstLine="0"/>
        <w:rPr>
          <w:rFonts w:cs="Times New Roman"/>
          <w:sz w:val="28"/>
          <w:szCs w:val="28"/>
          <w:lang w:val="en-US"/>
        </w:rPr>
      </w:pPr>
      <w:r>
        <w:rPr>
          <w:rFonts w:cs="Times New Roman"/>
          <w:sz w:val="28"/>
          <w:szCs w:val="28"/>
          <w:lang w:val="en-US"/>
        </w:rPr>
        <w:br w:type="page"/>
      </w:r>
    </w:p>
    <w:tbl>
      <w:tblPr>
        <w:tblStyle w:val="TableGrid"/>
        <w:tblW w:w="8123" w:type="dxa"/>
        <w:jc w:val="center"/>
        <w:tblInd w:w="0" w:type="dxa"/>
        <w:tblCellMar>
          <w:top w:w="13" w:type="dxa"/>
          <w:left w:w="106" w:type="dxa"/>
          <w:bottom w:w="15" w:type="dxa"/>
          <w:right w:w="43" w:type="dxa"/>
        </w:tblCellMar>
        <w:tblLook w:val="04A0" w:firstRow="1" w:lastRow="0" w:firstColumn="1" w:lastColumn="0" w:noHBand="0" w:noVBand="1"/>
      </w:tblPr>
      <w:tblGrid>
        <w:gridCol w:w="2452"/>
        <w:gridCol w:w="2052"/>
        <w:gridCol w:w="2110"/>
        <w:gridCol w:w="1509"/>
      </w:tblGrid>
      <w:tr w:rsidR="00C05E4B" w:rsidRPr="004142F1" w14:paraId="7CD69C22" w14:textId="77777777" w:rsidTr="00B04E42">
        <w:trPr>
          <w:trHeight w:val="468"/>
          <w:jc w:val="center"/>
        </w:trPr>
        <w:tc>
          <w:tcPr>
            <w:tcW w:w="2452" w:type="dxa"/>
            <w:vMerge w:val="restart"/>
            <w:tcBorders>
              <w:top w:val="single" w:sz="4" w:space="0" w:color="A6A6A6"/>
              <w:left w:val="single" w:sz="4" w:space="0" w:color="A6A6A6"/>
              <w:bottom w:val="nil"/>
              <w:right w:val="single" w:sz="4" w:space="0" w:color="A6A6A6"/>
            </w:tcBorders>
            <w:vAlign w:val="center"/>
          </w:tcPr>
          <w:p w14:paraId="358CBF9B" w14:textId="6E0E38AA" w:rsidR="00C05E4B" w:rsidRPr="004142F1" w:rsidRDefault="00000000" w:rsidP="00B04E42">
            <w:pPr>
              <w:spacing w:after="0" w:line="259" w:lineRule="auto"/>
              <w:ind w:left="0" w:firstLine="0"/>
              <w:jc w:val="center"/>
              <w:rPr>
                <w:sz w:val="28"/>
                <w:szCs w:val="28"/>
              </w:rPr>
            </w:pPr>
            <w:r w:rsidRPr="004142F1">
              <w:rPr>
                <w:b/>
                <w:sz w:val="28"/>
                <w:szCs w:val="28"/>
              </w:rPr>
              <w:lastRenderedPageBreak/>
              <w:t>Infection</w:t>
            </w:r>
          </w:p>
        </w:tc>
        <w:tc>
          <w:tcPr>
            <w:tcW w:w="4162" w:type="dxa"/>
            <w:gridSpan w:val="2"/>
            <w:tcBorders>
              <w:top w:val="single" w:sz="4" w:space="0" w:color="A6A6A6"/>
              <w:left w:val="single" w:sz="4" w:space="0" w:color="A6A6A6"/>
              <w:bottom w:val="single" w:sz="4" w:space="0" w:color="A6A6A6"/>
              <w:right w:val="single" w:sz="4" w:space="0" w:color="A6A6A6"/>
            </w:tcBorders>
            <w:vAlign w:val="center"/>
          </w:tcPr>
          <w:p w14:paraId="739F63AA" w14:textId="32A0C765" w:rsidR="00C05E4B" w:rsidRPr="004142F1" w:rsidRDefault="00000000" w:rsidP="00B04E42">
            <w:pPr>
              <w:spacing w:after="0" w:line="259" w:lineRule="auto"/>
              <w:ind w:left="0" w:right="69" w:firstLine="0"/>
              <w:jc w:val="center"/>
              <w:rPr>
                <w:sz w:val="28"/>
                <w:szCs w:val="28"/>
              </w:rPr>
            </w:pPr>
            <w:r w:rsidRPr="004142F1">
              <w:rPr>
                <w:b/>
                <w:sz w:val="28"/>
                <w:szCs w:val="28"/>
              </w:rPr>
              <w:t>Dose and frequency</w:t>
            </w:r>
          </w:p>
        </w:tc>
        <w:tc>
          <w:tcPr>
            <w:tcW w:w="1509" w:type="dxa"/>
            <w:vMerge w:val="restart"/>
            <w:tcBorders>
              <w:top w:val="single" w:sz="4" w:space="0" w:color="A6A6A6"/>
              <w:left w:val="single" w:sz="4" w:space="0" w:color="A6A6A6"/>
              <w:bottom w:val="nil"/>
              <w:right w:val="single" w:sz="4" w:space="0" w:color="A6A6A6"/>
            </w:tcBorders>
            <w:vAlign w:val="center"/>
          </w:tcPr>
          <w:p w14:paraId="44BF601A" w14:textId="5D0E4E46" w:rsidR="00C05E4B" w:rsidRPr="004142F1" w:rsidRDefault="00000000" w:rsidP="00B04E42">
            <w:pPr>
              <w:spacing w:after="0" w:line="259" w:lineRule="auto"/>
              <w:ind w:left="0" w:firstLine="0"/>
              <w:jc w:val="center"/>
              <w:rPr>
                <w:sz w:val="28"/>
                <w:szCs w:val="28"/>
              </w:rPr>
            </w:pPr>
            <w:r w:rsidRPr="004142F1">
              <w:rPr>
                <w:b/>
                <w:sz w:val="28"/>
                <w:szCs w:val="28"/>
              </w:rPr>
              <w:t>Treatment duration</w:t>
            </w:r>
          </w:p>
        </w:tc>
      </w:tr>
      <w:tr w:rsidR="00B04E42" w:rsidRPr="004142F1" w14:paraId="78DE0D83" w14:textId="77777777" w:rsidTr="00B04E42">
        <w:trPr>
          <w:trHeight w:val="124"/>
          <w:jc w:val="center"/>
        </w:trPr>
        <w:tc>
          <w:tcPr>
            <w:tcW w:w="0" w:type="auto"/>
            <w:vMerge/>
            <w:tcBorders>
              <w:top w:val="nil"/>
              <w:left w:val="single" w:sz="4" w:space="0" w:color="A6A6A6"/>
              <w:bottom w:val="nil"/>
              <w:right w:val="single" w:sz="4" w:space="0" w:color="A6A6A6"/>
            </w:tcBorders>
          </w:tcPr>
          <w:p w14:paraId="5030CA9F" w14:textId="77777777" w:rsidR="00B04E42" w:rsidRPr="004142F1" w:rsidRDefault="00B04E42" w:rsidP="00B04E42">
            <w:pPr>
              <w:spacing w:after="160" w:line="259" w:lineRule="auto"/>
              <w:ind w:left="0" w:firstLine="0"/>
              <w:jc w:val="center"/>
              <w:rPr>
                <w:sz w:val="28"/>
                <w:szCs w:val="28"/>
              </w:rPr>
            </w:pPr>
          </w:p>
        </w:tc>
        <w:tc>
          <w:tcPr>
            <w:tcW w:w="2052" w:type="dxa"/>
            <w:tcBorders>
              <w:top w:val="single" w:sz="4" w:space="0" w:color="A6A6A6"/>
              <w:left w:val="single" w:sz="4" w:space="0" w:color="A6A6A6"/>
              <w:bottom w:val="nil"/>
              <w:right w:val="single" w:sz="4" w:space="0" w:color="A6A6A6"/>
            </w:tcBorders>
          </w:tcPr>
          <w:p w14:paraId="7ADA22C7" w14:textId="504A4872" w:rsidR="00B04E42" w:rsidRPr="00B04E42" w:rsidRDefault="00B04E42" w:rsidP="00B04E42">
            <w:pPr>
              <w:spacing w:after="48" w:line="259" w:lineRule="auto"/>
              <w:ind w:left="0" w:firstLine="0"/>
              <w:jc w:val="center"/>
              <w:rPr>
                <w:sz w:val="28"/>
                <w:szCs w:val="28"/>
                <w:lang w:val="en-US"/>
              </w:rPr>
            </w:pPr>
            <w:r w:rsidRPr="004142F1">
              <w:rPr>
                <w:b/>
                <w:sz w:val="28"/>
                <w:szCs w:val="28"/>
                <w:lang w:val="en-US"/>
              </w:rPr>
              <w:t>Adult and child over</w:t>
            </w:r>
            <w:r>
              <w:rPr>
                <w:b/>
                <w:sz w:val="28"/>
                <w:szCs w:val="28"/>
                <w:lang w:val="en-US"/>
              </w:rPr>
              <w:t xml:space="preserve"> </w:t>
            </w:r>
            <w:r w:rsidRPr="004142F1">
              <w:rPr>
                <w:b/>
                <w:sz w:val="28"/>
                <w:szCs w:val="28"/>
                <w:lang w:val="en-US"/>
              </w:rPr>
              <w:t>2 years</w:t>
            </w:r>
          </w:p>
        </w:tc>
        <w:tc>
          <w:tcPr>
            <w:tcW w:w="2110" w:type="dxa"/>
            <w:tcBorders>
              <w:top w:val="single" w:sz="4" w:space="0" w:color="A6A6A6"/>
              <w:left w:val="single" w:sz="4" w:space="0" w:color="A6A6A6"/>
              <w:bottom w:val="nil"/>
              <w:right w:val="single" w:sz="4" w:space="0" w:color="A6A6A6"/>
            </w:tcBorders>
          </w:tcPr>
          <w:p w14:paraId="1D753783" w14:textId="5FAA5DBB" w:rsidR="00B04E42" w:rsidRPr="004142F1" w:rsidRDefault="00B04E42" w:rsidP="00B04E42">
            <w:pPr>
              <w:spacing w:after="160" w:line="259" w:lineRule="auto"/>
              <w:ind w:left="0" w:firstLine="0"/>
              <w:jc w:val="center"/>
              <w:rPr>
                <w:sz w:val="28"/>
                <w:szCs w:val="28"/>
              </w:rPr>
            </w:pPr>
            <w:r w:rsidRPr="004142F1">
              <w:rPr>
                <w:b/>
                <w:sz w:val="28"/>
                <w:szCs w:val="28"/>
              </w:rPr>
              <w:t>Child 1–2 years</w:t>
            </w:r>
          </w:p>
        </w:tc>
        <w:tc>
          <w:tcPr>
            <w:tcW w:w="0" w:type="auto"/>
            <w:vMerge/>
            <w:tcBorders>
              <w:top w:val="nil"/>
              <w:left w:val="single" w:sz="4" w:space="0" w:color="A6A6A6"/>
              <w:bottom w:val="nil"/>
              <w:right w:val="single" w:sz="4" w:space="0" w:color="A6A6A6"/>
            </w:tcBorders>
          </w:tcPr>
          <w:p w14:paraId="34DF62CC" w14:textId="77777777" w:rsidR="00B04E42" w:rsidRPr="004142F1" w:rsidRDefault="00B04E42" w:rsidP="00B04E42">
            <w:pPr>
              <w:spacing w:after="160" w:line="259" w:lineRule="auto"/>
              <w:ind w:left="0" w:firstLine="0"/>
              <w:jc w:val="center"/>
              <w:rPr>
                <w:sz w:val="28"/>
                <w:szCs w:val="28"/>
              </w:rPr>
            </w:pPr>
          </w:p>
        </w:tc>
      </w:tr>
      <w:tr w:rsidR="00B04E42" w:rsidRPr="004142F1" w14:paraId="1917D5DD" w14:textId="77777777" w:rsidTr="00B04E42">
        <w:trPr>
          <w:trHeight w:val="1195"/>
          <w:jc w:val="center"/>
        </w:trPr>
        <w:tc>
          <w:tcPr>
            <w:tcW w:w="2452" w:type="dxa"/>
            <w:tcBorders>
              <w:top w:val="single" w:sz="4" w:space="0" w:color="A6A6A6"/>
              <w:left w:val="single" w:sz="4" w:space="0" w:color="A6A6A6"/>
              <w:bottom w:val="single" w:sz="4" w:space="0" w:color="A6A6A6"/>
              <w:right w:val="single" w:sz="4" w:space="0" w:color="A6A6A6"/>
            </w:tcBorders>
            <w:vAlign w:val="center"/>
          </w:tcPr>
          <w:p w14:paraId="18B2FADA" w14:textId="77777777" w:rsidR="00B04E42" w:rsidRPr="004142F1" w:rsidRDefault="00B04E42" w:rsidP="00B04E42">
            <w:pPr>
              <w:spacing w:after="31" w:line="259" w:lineRule="auto"/>
              <w:ind w:left="0" w:firstLine="0"/>
              <w:rPr>
                <w:sz w:val="28"/>
                <w:szCs w:val="28"/>
                <w:lang w:val="en-US"/>
              </w:rPr>
            </w:pPr>
            <w:r w:rsidRPr="004142F1">
              <w:rPr>
                <w:sz w:val="28"/>
                <w:szCs w:val="28"/>
                <w:lang w:val="en-US"/>
              </w:rPr>
              <w:t xml:space="preserve">Ascariasis  </w:t>
            </w:r>
          </w:p>
          <w:p w14:paraId="254E36E4" w14:textId="77777777" w:rsidR="00B04E42" w:rsidRPr="004142F1" w:rsidRDefault="00B04E42" w:rsidP="00B04E42">
            <w:pPr>
              <w:spacing w:after="32" w:line="259" w:lineRule="auto"/>
              <w:ind w:left="0" w:firstLine="0"/>
              <w:rPr>
                <w:sz w:val="28"/>
                <w:szCs w:val="28"/>
                <w:lang w:val="en-US"/>
              </w:rPr>
            </w:pPr>
            <w:r w:rsidRPr="004142F1">
              <w:rPr>
                <w:sz w:val="28"/>
                <w:szCs w:val="28"/>
                <w:lang w:val="en-US"/>
              </w:rPr>
              <w:t xml:space="preserve">Enterobiasis  </w:t>
            </w:r>
          </w:p>
          <w:p w14:paraId="449C9D6C" w14:textId="77777777" w:rsidR="00B04E42" w:rsidRPr="004142F1" w:rsidRDefault="00B04E42" w:rsidP="00B04E42">
            <w:pPr>
              <w:spacing w:after="28" w:line="259" w:lineRule="auto"/>
              <w:ind w:left="0" w:firstLine="0"/>
              <w:rPr>
                <w:sz w:val="28"/>
                <w:szCs w:val="28"/>
                <w:lang w:val="en-US"/>
              </w:rPr>
            </w:pPr>
            <w:r w:rsidRPr="004142F1">
              <w:rPr>
                <w:sz w:val="28"/>
                <w:szCs w:val="28"/>
                <w:lang w:val="en-US"/>
              </w:rPr>
              <w:t xml:space="preserve">Hookworm infections  </w:t>
            </w:r>
          </w:p>
          <w:p w14:paraId="475014D8" w14:textId="77777777" w:rsidR="00B04E42" w:rsidRPr="004142F1" w:rsidRDefault="00B04E42" w:rsidP="00B04E42">
            <w:pPr>
              <w:spacing w:after="0" w:line="259" w:lineRule="auto"/>
              <w:ind w:left="0" w:firstLine="0"/>
              <w:rPr>
                <w:sz w:val="28"/>
                <w:szCs w:val="28"/>
                <w:lang w:val="en-US"/>
              </w:rPr>
            </w:pPr>
            <w:r w:rsidRPr="004142F1">
              <w:rPr>
                <w:sz w:val="28"/>
                <w:szCs w:val="28"/>
                <w:lang w:val="en-US"/>
              </w:rPr>
              <w:t xml:space="preserve">Trichostrongyliasis  </w:t>
            </w:r>
          </w:p>
        </w:tc>
        <w:tc>
          <w:tcPr>
            <w:tcW w:w="2052" w:type="dxa"/>
            <w:tcBorders>
              <w:top w:val="single" w:sz="4" w:space="0" w:color="A6A6A6"/>
              <w:left w:val="single" w:sz="4" w:space="0" w:color="A6A6A6"/>
              <w:bottom w:val="single" w:sz="4" w:space="0" w:color="A6A6A6"/>
              <w:right w:val="single" w:sz="4" w:space="0" w:color="A6A6A6"/>
            </w:tcBorders>
          </w:tcPr>
          <w:p w14:paraId="663C8FCA" w14:textId="4CCA24BD" w:rsidR="00B04E42" w:rsidRPr="004142F1" w:rsidRDefault="00B04E42" w:rsidP="00B04E42">
            <w:pPr>
              <w:spacing w:after="0" w:line="259" w:lineRule="auto"/>
              <w:ind w:left="0" w:firstLine="0"/>
              <w:jc w:val="center"/>
              <w:rPr>
                <w:sz w:val="28"/>
                <w:szCs w:val="28"/>
              </w:rPr>
            </w:pPr>
            <w:r w:rsidRPr="004142F1">
              <w:rPr>
                <w:sz w:val="28"/>
                <w:szCs w:val="28"/>
              </w:rPr>
              <w:t>400 mg once</w:t>
            </w:r>
          </w:p>
        </w:tc>
        <w:tc>
          <w:tcPr>
            <w:tcW w:w="2110" w:type="dxa"/>
            <w:tcBorders>
              <w:top w:val="single" w:sz="4" w:space="0" w:color="A6A6A6"/>
              <w:left w:val="single" w:sz="4" w:space="0" w:color="A6A6A6"/>
              <w:bottom w:val="single" w:sz="4" w:space="0" w:color="A6A6A6"/>
              <w:right w:val="single" w:sz="4" w:space="0" w:color="A6A6A6"/>
            </w:tcBorders>
          </w:tcPr>
          <w:p w14:paraId="3C6512BF" w14:textId="01F05303" w:rsidR="00B04E42" w:rsidRPr="004142F1" w:rsidRDefault="00B04E42" w:rsidP="00B04E42">
            <w:pPr>
              <w:spacing w:after="0" w:line="259" w:lineRule="auto"/>
              <w:ind w:left="0" w:firstLine="0"/>
              <w:jc w:val="center"/>
              <w:rPr>
                <w:sz w:val="28"/>
                <w:szCs w:val="28"/>
              </w:rPr>
            </w:pPr>
            <w:r w:rsidRPr="004142F1">
              <w:rPr>
                <w:sz w:val="28"/>
                <w:szCs w:val="28"/>
              </w:rPr>
              <w:t>200 mg once</w:t>
            </w:r>
          </w:p>
        </w:tc>
        <w:tc>
          <w:tcPr>
            <w:tcW w:w="1509" w:type="dxa"/>
            <w:tcBorders>
              <w:top w:val="single" w:sz="4" w:space="0" w:color="A6A6A6"/>
              <w:left w:val="single" w:sz="4" w:space="0" w:color="A6A6A6"/>
              <w:bottom w:val="single" w:sz="4" w:space="0" w:color="A6A6A6"/>
              <w:right w:val="single" w:sz="4" w:space="0" w:color="A6A6A6"/>
            </w:tcBorders>
          </w:tcPr>
          <w:p w14:paraId="0C8D057A" w14:textId="7BAD403A" w:rsidR="00B04E42" w:rsidRPr="004142F1" w:rsidRDefault="00B04E42" w:rsidP="00B04E42">
            <w:pPr>
              <w:spacing w:after="0" w:line="259" w:lineRule="auto"/>
              <w:ind w:left="0" w:firstLine="0"/>
              <w:jc w:val="center"/>
              <w:rPr>
                <w:sz w:val="28"/>
                <w:szCs w:val="28"/>
              </w:rPr>
            </w:pPr>
            <w:r w:rsidRPr="004142F1">
              <w:rPr>
                <w:sz w:val="28"/>
                <w:szCs w:val="28"/>
              </w:rPr>
              <w:t>Single dose</w:t>
            </w:r>
          </w:p>
        </w:tc>
      </w:tr>
      <w:tr w:rsidR="00B04E42" w:rsidRPr="004142F1" w14:paraId="49C8148C" w14:textId="77777777" w:rsidTr="00B04E42">
        <w:trPr>
          <w:trHeight w:val="639"/>
          <w:jc w:val="center"/>
        </w:trPr>
        <w:tc>
          <w:tcPr>
            <w:tcW w:w="2452" w:type="dxa"/>
            <w:tcBorders>
              <w:top w:val="single" w:sz="4" w:space="0" w:color="A6A6A6"/>
              <w:left w:val="single" w:sz="4" w:space="0" w:color="A6A6A6"/>
              <w:bottom w:val="single" w:sz="4" w:space="0" w:color="A6A6A6"/>
              <w:right w:val="single" w:sz="4" w:space="0" w:color="A6A6A6"/>
            </w:tcBorders>
          </w:tcPr>
          <w:p w14:paraId="42745022" w14:textId="77777777" w:rsidR="00B04E42" w:rsidRPr="004142F1" w:rsidRDefault="00B04E42" w:rsidP="00B04E42">
            <w:pPr>
              <w:spacing w:after="0" w:line="259" w:lineRule="auto"/>
              <w:ind w:left="0" w:firstLine="0"/>
              <w:rPr>
                <w:sz w:val="28"/>
                <w:szCs w:val="28"/>
              </w:rPr>
            </w:pPr>
            <w:r w:rsidRPr="004142F1">
              <w:rPr>
                <w:sz w:val="28"/>
                <w:szCs w:val="28"/>
              </w:rPr>
              <w:t xml:space="preserve">Trichuriasis, moderate  </w:t>
            </w:r>
          </w:p>
        </w:tc>
        <w:tc>
          <w:tcPr>
            <w:tcW w:w="2052" w:type="dxa"/>
            <w:tcBorders>
              <w:top w:val="single" w:sz="4" w:space="0" w:color="A6A6A6"/>
              <w:left w:val="single" w:sz="4" w:space="0" w:color="A6A6A6"/>
              <w:bottom w:val="single" w:sz="4" w:space="0" w:color="A6A6A6"/>
              <w:right w:val="single" w:sz="4" w:space="0" w:color="A6A6A6"/>
            </w:tcBorders>
          </w:tcPr>
          <w:p w14:paraId="033301D2" w14:textId="4085DC5F" w:rsidR="00B04E42" w:rsidRPr="004142F1" w:rsidRDefault="00B04E42" w:rsidP="00B04E42">
            <w:pPr>
              <w:spacing w:after="0" w:line="259" w:lineRule="auto"/>
              <w:ind w:left="0" w:firstLine="0"/>
              <w:jc w:val="center"/>
              <w:rPr>
                <w:sz w:val="28"/>
                <w:szCs w:val="28"/>
              </w:rPr>
            </w:pPr>
            <w:r w:rsidRPr="004142F1">
              <w:rPr>
                <w:sz w:val="28"/>
                <w:szCs w:val="28"/>
              </w:rPr>
              <w:t>400 mg once</w:t>
            </w:r>
          </w:p>
        </w:tc>
        <w:tc>
          <w:tcPr>
            <w:tcW w:w="2110" w:type="dxa"/>
            <w:tcBorders>
              <w:top w:val="single" w:sz="4" w:space="0" w:color="A6A6A6"/>
              <w:left w:val="single" w:sz="4" w:space="0" w:color="A6A6A6"/>
              <w:bottom w:val="single" w:sz="4" w:space="0" w:color="A6A6A6"/>
              <w:right w:val="single" w:sz="4" w:space="0" w:color="A6A6A6"/>
            </w:tcBorders>
          </w:tcPr>
          <w:p w14:paraId="56D9841E" w14:textId="6A63F71C" w:rsidR="00B04E42" w:rsidRPr="004142F1" w:rsidRDefault="00B04E42" w:rsidP="00B04E42">
            <w:pPr>
              <w:spacing w:after="0" w:line="259" w:lineRule="auto"/>
              <w:ind w:left="0" w:firstLine="0"/>
              <w:jc w:val="center"/>
              <w:rPr>
                <w:sz w:val="28"/>
                <w:szCs w:val="28"/>
              </w:rPr>
            </w:pPr>
            <w:r w:rsidRPr="004142F1">
              <w:rPr>
                <w:sz w:val="28"/>
                <w:szCs w:val="28"/>
              </w:rPr>
              <w:t>200 mg once</w:t>
            </w:r>
          </w:p>
        </w:tc>
        <w:tc>
          <w:tcPr>
            <w:tcW w:w="1509" w:type="dxa"/>
            <w:tcBorders>
              <w:top w:val="single" w:sz="4" w:space="0" w:color="A6A6A6"/>
              <w:left w:val="single" w:sz="4" w:space="0" w:color="A6A6A6"/>
              <w:bottom w:val="single" w:sz="4" w:space="0" w:color="A6A6A6"/>
              <w:right w:val="single" w:sz="4" w:space="0" w:color="A6A6A6"/>
            </w:tcBorders>
          </w:tcPr>
          <w:p w14:paraId="71AE60E5" w14:textId="180BDBC5" w:rsidR="00B04E42" w:rsidRPr="004142F1" w:rsidRDefault="00B04E42" w:rsidP="00B04E42">
            <w:pPr>
              <w:spacing w:after="0" w:line="259" w:lineRule="auto"/>
              <w:ind w:left="0" w:firstLine="0"/>
              <w:jc w:val="center"/>
              <w:rPr>
                <w:sz w:val="28"/>
                <w:szCs w:val="28"/>
              </w:rPr>
            </w:pPr>
            <w:r w:rsidRPr="004142F1">
              <w:rPr>
                <w:sz w:val="28"/>
                <w:szCs w:val="28"/>
              </w:rPr>
              <w:t>Single dose</w:t>
            </w:r>
          </w:p>
        </w:tc>
      </w:tr>
      <w:tr w:rsidR="00B04E42" w:rsidRPr="004142F1" w14:paraId="05D33C88" w14:textId="77777777" w:rsidTr="00B04E42">
        <w:trPr>
          <w:trHeight w:val="468"/>
          <w:jc w:val="center"/>
        </w:trPr>
        <w:tc>
          <w:tcPr>
            <w:tcW w:w="2452" w:type="dxa"/>
            <w:tcBorders>
              <w:top w:val="single" w:sz="4" w:space="0" w:color="A6A6A6"/>
              <w:left w:val="single" w:sz="4" w:space="0" w:color="A6A6A6"/>
              <w:bottom w:val="single" w:sz="4" w:space="0" w:color="A6A6A6"/>
              <w:right w:val="single" w:sz="4" w:space="0" w:color="A6A6A6"/>
            </w:tcBorders>
            <w:vAlign w:val="center"/>
          </w:tcPr>
          <w:p w14:paraId="1BC91328" w14:textId="77777777" w:rsidR="00B04E42" w:rsidRPr="004142F1" w:rsidRDefault="00B04E42" w:rsidP="00B04E42">
            <w:pPr>
              <w:spacing w:after="0" w:line="259" w:lineRule="auto"/>
              <w:ind w:left="0" w:firstLine="0"/>
              <w:rPr>
                <w:sz w:val="28"/>
                <w:szCs w:val="28"/>
              </w:rPr>
            </w:pPr>
            <w:r w:rsidRPr="004142F1">
              <w:rPr>
                <w:sz w:val="28"/>
                <w:szCs w:val="28"/>
              </w:rPr>
              <w:t xml:space="preserve">Trichuriasis, severe  </w:t>
            </w:r>
          </w:p>
        </w:tc>
        <w:tc>
          <w:tcPr>
            <w:tcW w:w="2052" w:type="dxa"/>
            <w:tcBorders>
              <w:top w:val="single" w:sz="4" w:space="0" w:color="A6A6A6"/>
              <w:left w:val="single" w:sz="4" w:space="0" w:color="A6A6A6"/>
              <w:bottom w:val="single" w:sz="4" w:space="0" w:color="A6A6A6"/>
              <w:right w:val="single" w:sz="4" w:space="0" w:color="A6A6A6"/>
            </w:tcBorders>
          </w:tcPr>
          <w:p w14:paraId="0BF0A646" w14:textId="19FACBF1" w:rsidR="00B04E42" w:rsidRPr="004142F1" w:rsidRDefault="00B04E42" w:rsidP="00B04E42">
            <w:pPr>
              <w:spacing w:after="0" w:line="259" w:lineRule="auto"/>
              <w:ind w:left="0" w:firstLine="0"/>
              <w:jc w:val="center"/>
              <w:rPr>
                <w:sz w:val="28"/>
                <w:szCs w:val="28"/>
              </w:rPr>
            </w:pPr>
            <w:r w:rsidRPr="004142F1">
              <w:rPr>
                <w:sz w:val="28"/>
                <w:szCs w:val="28"/>
              </w:rPr>
              <w:t>400 mg once daily</w:t>
            </w:r>
          </w:p>
        </w:tc>
        <w:tc>
          <w:tcPr>
            <w:tcW w:w="2110" w:type="dxa"/>
            <w:tcBorders>
              <w:top w:val="single" w:sz="4" w:space="0" w:color="A6A6A6"/>
              <w:left w:val="single" w:sz="4" w:space="0" w:color="A6A6A6"/>
              <w:bottom w:val="single" w:sz="4" w:space="0" w:color="A6A6A6"/>
              <w:right w:val="single" w:sz="4" w:space="0" w:color="A6A6A6"/>
            </w:tcBorders>
          </w:tcPr>
          <w:p w14:paraId="2A277C82" w14:textId="456E98F1" w:rsidR="00B04E42" w:rsidRPr="004142F1" w:rsidRDefault="00B04E42" w:rsidP="00B04E42">
            <w:pPr>
              <w:spacing w:after="0" w:line="259" w:lineRule="auto"/>
              <w:ind w:left="0" w:firstLine="0"/>
              <w:jc w:val="center"/>
              <w:rPr>
                <w:sz w:val="28"/>
                <w:szCs w:val="28"/>
              </w:rPr>
            </w:pPr>
            <w:r w:rsidRPr="004142F1">
              <w:rPr>
                <w:sz w:val="28"/>
                <w:szCs w:val="28"/>
              </w:rPr>
              <w:t>200 mg once daily</w:t>
            </w:r>
          </w:p>
        </w:tc>
        <w:tc>
          <w:tcPr>
            <w:tcW w:w="1509" w:type="dxa"/>
            <w:tcBorders>
              <w:top w:val="single" w:sz="4" w:space="0" w:color="A6A6A6"/>
              <w:left w:val="single" w:sz="4" w:space="0" w:color="A6A6A6"/>
              <w:bottom w:val="single" w:sz="4" w:space="0" w:color="A6A6A6"/>
              <w:right w:val="single" w:sz="4" w:space="0" w:color="A6A6A6"/>
            </w:tcBorders>
          </w:tcPr>
          <w:p w14:paraId="47E06017" w14:textId="3EEE3ED3" w:rsidR="00B04E42" w:rsidRPr="004142F1" w:rsidRDefault="00B04E42" w:rsidP="00B04E42">
            <w:pPr>
              <w:spacing w:after="0" w:line="259" w:lineRule="auto"/>
              <w:ind w:left="0" w:firstLine="0"/>
              <w:jc w:val="center"/>
              <w:rPr>
                <w:sz w:val="28"/>
                <w:szCs w:val="28"/>
              </w:rPr>
            </w:pPr>
            <w:r w:rsidRPr="004142F1">
              <w:rPr>
                <w:sz w:val="28"/>
                <w:szCs w:val="28"/>
              </w:rPr>
              <w:t>3 days</w:t>
            </w:r>
          </w:p>
        </w:tc>
      </w:tr>
      <w:tr w:rsidR="00B04E42" w:rsidRPr="004142F1" w14:paraId="396190E7" w14:textId="77777777" w:rsidTr="00B04E42">
        <w:trPr>
          <w:trHeight w:val="712"/>
          <w:jc w:val="center"/>
        </w:trPr>
        <w:tc>
          <w:tcPr>
            <w:tcW w:w="2452" w:type="dxa"/>
            <w:tcBorders>
              <w:top w:val="single" w:sz="4" w:space="0" w:color="A6A6A6"/>
              <w:left w:val="single" w:sz="4" w:space="0" w:color="A6A6A6"/>
              <w:bottom w:val="single" w:sz="4" w:space="0" w:color="A6A6A6"/>
              <w:right w:val="single" w:sz="4" w:space="0" w:color="A6A6A6"/>
            </w:tcBorders>
          </w:tcPr>
          <w:p w14:paraId="13C5EFA5" w14:textId="77777777" w:rsidR="00B04E42" w:rsidRPr="004142F1" w:rsidRDefault="00B04E42" w:rsidP="00B04E42">
            <w:pPr>
              <w:spacing w:after="0" w:line="259" w:lineRule="auto"/>
              <w:ind w:left="0" w:firstLine="0"/>
              <w:rPr>
                <w:sz w:val="28"/>
                <w:szCs w:val="28"/>
              </w:rPr>
            </w:pPr>
            <w:r w:rsidRPr="004142F1">
              <w:rPr>
                <w:sz w:val="28"/>
                <w:szCs w:val="28"/>
              </w:rPr>
              <w:t xml:space="preserve">Strongyloidiasis  </w:t>
            </w:r>
          </w:p>
        </w:tc>
        <w:tc>
          <w:tcPr>
            <w:tcW w:w="2052" w:type="dxa"/>
            <w:tcBorders>
              <w:top w:val="single" w:sz="4" w:space="0" w:color="A6A6A6"/>
              <w:left w:val="single" w:sz="4" w:space="0" w:color="A6A6A6"/>
              <w:bottom w:val="single" w:sz="4" w:space="0" w:color="A6A6A6"/>
              <w:right w:val="single" w:sz="4" w:space="0" w:color="A6A6A6"/>
            </w:tcBorders>
          </w:tcPr>
          <w:p w14:paraId="2B87564C" w14:textId="54ED065C" w:rsidR="00B04E42" w:rsidRPr="004142F1" w:rsidRDefault="00B04E42" w:rsidP="00B04E42">
            <w:pPr>
              <w:spacing w:after="0" w:line="259" w:lineRule="auto"/>
              <w:ind w:left="0" w:firstLine="0"/>
              <w:jc w:val="center"/>
              <w:rPr>
                <w:sz w:val="28"/>
                <w:szCs w:val="28"/>
                <w:lang w:val="en-US"/>
              </w:rPr>
            </w:pPr>
            <w:r w:rsidRPr="004142F1">
              <w:rPr>
                <w:sz w:val="28"/>
                <w:szCs w:val="28"/>
                <w:lang w:val="en-US"/>
              </w:rPr>
              <w:t>400 mg once or twice daily</w:t>
            </w:r>
          </w:p>
        </w:tc>
        <w:tc>
          <w:tcPr>
            <w:tcW w:w="2110" w:type="dxa"/>
            <w:tcBorders>
              <w:top w:val="single" w:sz="4" w:space="0" w:color="A6A6A6"/>
              <w:left w:val="single" w:sz="4" w:space="0" w:color="A6A6A6"/>
              <w:bottom w:val="single" w:sz="4" w:space="0" w:color="A6A6A6"/>
              <w:right w:val="single" w:sz="4" w:space="0" w:color="A6A6A6"/>
            </w:tcBorders>
          </w:tcPr>
          <w:p w14:paraId="020674C9" w14:textId="2419CBDE" w:rsidR="00B04E42" w:rsidRPr="004142F1" w:rsidRDefault="00B04E42" w:rsidP="00B04E42">
            <w:pPr>
              <w:spacing w:after="0" w:line="259" w:lineRule="auto"/>
              <w:ind w:left="0" w:firstLine="0"/>
              <w:jc w:val="center"/>
              <w:rPr>
                <w:sz w:val="28"/>
                <w:szCs w:val="28"/>
              </w:rPr>
            </w:pPr>
            <w:r w:rsidRPr="004142F1">
              <w:rPr>
                <w:sz w:val="28"/>
                <w:szCs w:val="28"/>
              </w:rPr>
              <w:t>Not recommended</w:t>
            </w:r>
          </w:p>
        </w:tc>
        <w:tc>
          <w:tcPr>
            <w:tcW w:w="1509" w:type="dxa"/>
            <w:tcBorders>
              <w:top w:val="single" w:sz="4" w:space="0" w:color="A6A6A6"/>
              <w:left w:val="single" w:sz="4" w:space="0" w:color="A6A6A6"/>
              <w:bottom w:val="single" w:sz="4" w:space="0" w:color="A6A6A6"/>
              <w:right w:val="single" w:sz="4" w:space="0" w:color="A6A6A6"/>
            </w:tcBorders>
          </w:tcPr>
          <w:p w14:paraId="4CBAE7F5" w14:textId="0CAED254" w:rsidR="00B04E42" w:rsidRPr="004142F1" w:rsidRDefault="00B04E42" w:rsidP="00B04E42">
            <w:pPr>
              <w:spacing w:after="0" w:line="259" w:lineRule="auto"/>
              <w:ind w:left="0" w:firstLine="0"/>
              <w:jc w:val="center"/>
              <w:rPr>
                <w:sz w:val="28"/>
                <w:szCs w:val="28"/>
              </w:rPr>
            </w:pPr>
            <w:r w:rsidRPr="004142F1">
              <w:rPr>
                <w:sz w:val="28"/>
                <w:szCs w:val="28"/>
              </w:rPr>
              <w:t>3 days</w:t>
            </w:r>
          </w:p>
        </w:tc>
      </w:tr>
      <w:tr w:rsidR="00B04E42" w:rsidRPr="004142F1" w14:paraId="71C65CDA" w14:textId="77777777" w:rsidTr="00B04E42">
        <w:trPr>
          <w:trHeight w:val="464"/>
          <w:jc w:val="center"/>
        </w:trPr>
        <w:tc>
          <w:tcPr>
            <w:tcW w:w="2452" w:type="dxa"/>
            <w:tcBorders>
              <w:top w:val="single" w:sz="4" w:space="0" w:color="A6A6A6"/>
              <w:left w:val="single" w:sz="4" w:space="0" w:color="A6A6A6"/>
              <w:bottom w:val="single" w:sz="4" w:space="0" w:color="A6A6A6"/>
              <w:right w:val="single" w:sz="4" w:space="0" w:color="A6A6A6"/>
            </w:tcBorders>
            <w:vAlign w:val="center"/>
          </w:tcPr>
          <w:p w14:paraId="6F00B1CD" w14:textId="77777777" w:rsidR="00B04E42" w:rsidRPr="004142F1" w:rsidRDefault="00B04E42" w:rsidP="00B04E42">
            <w:pPr>
              <w:spacing w:after="0" w:line="259" w:lineRule="auto"/>
              <w:ind w:left="0" w:firstLine="0"/>
              <w:rPr>
                <w:sz w:val="28"/>
                <w:szCs w:val="28"/>
              </w:rPr>
            </w:pPr>
            <w:r w:rsidRPr="004142F1">
              <w:rPr>
                <w:color w:val="222222"/>
                <w:sz w:val="28"/>
                <w:szCs w:val="28"/>
              </w:rPr>
              <w:t>Trichinellosis</w:t>
            </w:r>
            <w:r w:rsidRPr="004142F1">
              <w:rPr>
                <w:sz w:val="28"/>
                <w:szCs w:val="28"/>
              </w:rPr>
              <w:t xml:space="preserve">  </w:t>
            </w:r>
          </w:p>
        </w:tc>
        <w:tc>
          <w:tcPr>
            <w:tcW w:w="2052" w:type="dxa"/>
            <w:tcBorders>
              <w:top w:val="single" w:sz="4" w:space="0" w:color="A6A6A6"/>
              <w:left w:val="single" w:sz="4" w:space="0" w:color="A6A6A6"/>
              <w:bottom w:val="single" w:sz="4" w:space="0" w:color="A6A6A6"/>
              <w:right w:val="single" w:sz="4" w:space="0" w:color="A6A6A6"/>
            </w:tcBorders>
          </w:tcPr>
          <w:p w14:paraId="08B1F50B" w14:textId="29C7895A" w:rsidR="00B04E42" w:rsidRPr="004142F1" w:rsidRDefault="00B04E42" w:rsidP="00B04E42">
            <w:pPr>
              <w:spacing w:after="0" w:line="259" w:lineRule="auto"/>
              <w:ind w:left="0" w:firstLine="0"/>
              <w:jc w:val="center"/>
              <w:rPr>
                <w:sz w:val="28"/>
                <w:szCs w:val="28"/>
              </w:rPr>
            </w:pPr>
            <w:r w:rsidRPr="004142F1">
              <w:rPr>
                <w:sz w:val="28"/>
                <w:szCs w:val="28"/>
              </w:rPr>
              <w:t>400 mg once daily</w:t>
            </w:r>
          </w:p>
        </w:tc>
        <w:tc>
          <w:tcPr>
            <w:tcW w:w="2110" w:type="dxa"/>
            <w:tcBorders>
              <w:top w:val="single" w:sz="4" w:space="0" w:color="A6A6A6"/>
              <w:left w:val="single" w:sz="4" w:space="0" w:color="A6A6A6"/>
              <w:bottom w:val="single" w:sz="4" w:space="0" w:color="A6A6A6"/>
              <w:right w:val="single" w:sz="4" w:space="0" w:color="A6A6A6"/>
            </w:tcBorders>
          </w:tcPr>
          <w:p w14:paraId="2E126C4E" w14:textId="66ED1B4F" w:rsidR="00B04E42" w:rsidRPr="004142F1" w:rsidRDefault="00B04E42" w:rsidP="00B04E42">
            <w:pPr>
              <w:spacing w:after="0" w:line="259" w:lineRule="auto"/>
              <w:ind w:left="0" w:firstLine="0"/>
              <w:jc w:val="center"/>
              <w:rPr>
                <w:sz w:val="28"/>
                <w:szCs w:val="28"/>
              </w:rPr>
            </w:pPr>
            <w:r w:rsidRPr="004142F1">
              <w:rPr>
                <w:sz w:val="28"/>
                <w:szCs w:val="28"/>
              </w:rPr>
              <w:t>Not recommended</w:t>
            </w:r>
          </w:p>
        </w:tc>
        <w:tc>
          <w:tcPr>
            <w:tcW w:w="1509" w:type="dxa"/>
            <w:tcBorders>
              <w:top w:val="single" w:sz="4" w:space="0" w:color="A6A6A6"/>
              <w:left w:val="single" w:sz="4" w:space="0" w:color="A6A6A6"/>
              <w:bottom w:val="single" w:sz="4" w:space="0" w:color="A6A6A6"/>
              <w:right w:val="single" w:sz="4" w:space="0" w:color="A6A6A6"/>
            </w:tcBorders>
          </w:tcPr>
          <w:p w14:paraId="13D1C6DA" w14:textId="313D88D5" w:rsidR="00B04E42" w:rsidRPr="004142F1" w:rsidRDefault="00B04E42" w:rsidP="00B04E42">
            <w:pPr>
              <w:spacing w:after="0" w:line="259" w:lineRule="auto"/>
              <w:ind w:left="0" w:firstLine="0"/>
              <w:jc w:val="center"/>
              <w:rPr>
                <w:sz w:val="28"/>
                <w:szCs w:val="28"/>
              </w:rPr>
            </w:pPr>
            <w:r w:rsidRPr="004142F1">
              <w:rPr>
                <w:sz w:val="28"/>
                <w:szCs w:val="28"/>
              </w:rPr>
              <w:t>3 days</w:t>
            </w:r>
          </w:p>
        </w:tc>
      </w:tr>
      <w:tr w:rsidR="00B04E42" w:rsidRPr="004142F1" w14:paraId="316FB408" w14:textId="77777777" w:rsidTr="00B04E42">
        <w:trPr>
          <w:trHeight w:val="468"/>
          <w:jc w:val="center"/>
        </w:trPr>
        <w:tc>
          <w:tcPr>
            <w:tcW w:w="2452" w:type="dxa"/>
            <w:tcBorders>
              <w:top w:val="single" w:sz="4" w:space="0" w:color="A6A6A6"/>
              <w:left w:val="single" w:sz="4" w:space="0" w:color="A6A6A6"/>
              <w:bottom w:val="single" w:sz="4" w:space="0" w:color="A6A6A6"/>
              <w:right w:val="single" w:sz="4" w:space="0" w:color="A6A6A6"/>
            </w:tcBorders>
            <w:vAlign w:val="center"/>
          </w:tcPr>
          <w:p w14:paraId="61E51838" w14:textId="77777777" w:rsidR="00B04E42" w:rsidRPr="004142F1" w:rsidRDefault="00B04E42" w:rsidP="00B04E42">
            <w:pPr>
              <w:spacing w:after="0" w:line="259" w:lineRule="auto"/>
              <w:ind w:left="0" w:firstLine="0"/>
              <w:rPr>
                <w:sz w:val="28"/>
                <w:szCs w:val="28"/>
              </w:rPr>
            </w:pPr>
            <w:r w:rsidRPr="004142F1">
              <w:rPr>
                <w:sz w:val="28"/>
                <w:szCs w:val="28"/>
              </w:rPr>
              <w:t xml:space="preserve">Capillariasis  </w:t>
            </w:r>
          </w:p>
        </w:tc>
        <w:tc>
          <w:tcPr>
            <w:tcW w:w="2052" w:type="dxa"/>
            <w:tcBorders>
              <w:top w:val="single" w:sz="4" w:space="0" w:color="A6A6A6"/>
              <w:left w:val="single" w:sz="4" w:space="0" w:color="A6A6A6"/>
              <w:bottom w:val="single" w:sz="4" w:space="0" w:color="A6A6A6"/>
              <w:right w:val="single" w:sz="4" w:space="0" w:color="A6A6A6"/>
            </w:tcBorders>
          </w:tcPr>
          <w:p w14:paraId="2CDF144E" w14:textId="20B712C5" w:rsidR="00B04E42" w:rsidRPr="004142F1" w:rsidRDefault="00B04E42" w:rsidP="00B04E42">
            <w:pPr>
              <w:spacing w:after="0" w:line="259" w:lineRule="auto"/>
              <w:ind w:left="0" w:firstLine="0"/>
              <w:jc w:val="center"/>
              <w:rPr>
                <w:sz w:val="28"/>
                <w:szCs w:val="28"/>
              </w:rPr>
            </w:pPr>
            <w:r w:rsidRPr="004142F1">
              <w:rPr>
                <w:sz w:val="28"/>
                <w:szCs w:val="28"/>
              </w:rPr>
              <w:t>400 mg once daily</w:t>
            </w:r>
          </w:p>
        </w:tc>
        <w:tc>
          <w:tcPr>
            <w:tcW w:w="2110" w:type="dxa"/>
            <w:tcBorders>
              <w:top w:val="single" w:sz="4" w:space="0" w:color="A6A6A6"/>
              <w:left w:val="single" w:sz="4" w:space="0" w:color="A6A6A6"/>
              <w:bottom w:val="single" w:sz="4" w:space="0" w:color="A6A6A6"/>
              <w:right w:val="single" w:sz="4" w:space="0" w:color="A6A6A6"/>
            </w:tcBorders>
          </w:tcPr>
          <w:p w14:paraId="051AC6C3" w14:textId="2A57DCAB" w:rsidR="00B04E42" w:rsidRPr="004142F1" w:rsidRDefault="00B04E42" w:rsidP="00B04E42">
            <w:pPr>
              <w:spacing w:after="0" w:line="259" w:lineRule="auto"/>
              <w:ind w:left="0" w:firstLine="0"/>
              <w:jc w:val="center"/>
              <w:rPr>
                <w:sz w:val="28"/>
                <w:szCs w:val="28"/>
              </w:rPr>
            </w:pPr>
            <w:r w:rsidRPr="004142F1">
              <w:rPr>
                <w:sz w:val="28"/>
                <w:szCs w:val="28"/>
              </w:rPr>
              <w:t>Not recommended</w:t>
            </w:r>
          </w:p>
        </w:tc>
        <w:tc>
          <w:tcPr>
            <w:tcW w:w="1509" w:type="dxa"/>
            <w:tcBorders>
              <w:top w:val="single" w:sz="4" w:space="0" w:color="A6A6A6"/>
              <w:left w:val="single" w:sz="4" w:space="0" w:color="A6A6A6"/>
              <w:bottom w:val="single" w:sz="4" w:space="0" w:color="A6A6A6"/>
              <w:right w:val="single" w:sz="4" w:space="0" w:color="A6A6A6"/>
            </w:tcBorders>
          </w:tcPr>
          <w:p w14:paraId="6F47D2D2" w14:textId="07B96271" w:rsidR="00B04E42" w:rsidRPr="004142F1" w:rsidRDefault="00B04E42" w:rsidP="00B04E42">
            <w:pPr>
              <w:spacing w:after="0" w:line="259" w:lineRule="auto"/>
              <w:ind w:left="0" w:firstLine="0"/>
              <w:jc w:val="center"/>
              <w:rPr>
                <w:sz w:val="28"/>
                <w:szCs w:val="28"/>
              </w:rPr>
            </w:pPr>
            <w:r w:rsidRPr="004142F1">
              <w:rPr>
                <w:sz w:val="28"/>
                <w:szCs w:val="28"/>
              </w:rPr>
              <w:t>10 days</w:t>
            </w:r>
          </w:p>
        </w:tc>
      </w:tr>
      <w:tr w:rsidR="00B04E42" w:rsidRPr="004142F1" w14:paraId="4F331AB6" w14:textId="77777777" w:rsidTr="00B04E42">
        <w:trPr>
          <w:trHeight w:val="712"/>
          <w:jc w:val="center"/>
        </w:trPr>
        <w:tc>
          <w:tcPr>
            <w:tcW w:w="2452" w:type="dxa"/>
            <w:tcBorders>
              <w:top w:val="single" w:sz="4" w:space="0" w:color="A6A6A6"/>
              <w:left w:val="single" w:sz="4" w:space="0" w:color="A6A6A6"/>
              <w:bottom w:val="single" w:sz="4" w:space="0" w:color="A6A6A6"/>
              <w:right w:val="single" w:sz="4" w:space="0" w:color="A6A6A6"/>
            </w:tcBorders>
          </w:tcPr>
          <w:p w14:paraId="255A6668" w14:textId="77777777" w:rsidR="00B04E42" w:rsidRPr="004142F1" w:rsidRDefault="00B04E42" w:rsidP="00B04E42">
            <w:pPr>
              <w:spacing w:after="0" w:line="259" w:lineRule="auto"/>
              <w:ind w:left="0" w:firstLine="0"/>
              <w:rPr>
                <w:sz w:val="28"/>
                <w:szCs w:val="28"/>
              </w:rPr>
            </w:pPr>
            <w:r w:rsidRPr="004142F1">
              <w:rPr>
                <w:sz w:val="28"/>
                <w:szCs w:val="28"/>
              </w:rPr>
              <w:t xml:space="preserve">Cutaneous larva migrans  </w:t>
            </w:r>
          </w:p>
        </w:tc>
        <w:tc>
          <w:tcPr>
            <w:tcW w:w="2052" w:type="dxa"/>
            <w:tcBorders>
              <w:top w:val="single" w:sz="4" w:space="0" w:color="A6A6A6"/>
              <w:left w:val="single" w:sz="4" w:space="0" w:color="A6A6A6"/>
              <w:bottom w:val="single" w:sz="4" w:space="0" w:color="A6A6A6"/>
              <w:right w:val="single" w:sz="4" w:space="0" w:color="A6A6A6"/>
            </w:tcBorders>
          </w:tcPr>
          <w:p w14:paraId="181772E9" w14:textId="6E02461D" w:rsidR="00B04E42" w:rsidRPr="004142F1" w:rsidRDefault="00B04E42" w:rsidP="00B04E42">
            <w:pPr>
              <w:spacing w:after="0" w:line="259" w:lineRule="auto"/>
              <w:ind w:left="0" w:firstLine="0"/>
              <w:jc w:val="center"/>
              <w:rPr>
                <w:sz w:val="28"/>
                <w:szCs w:val="28"/>
                <w:lang w:val="en-US"/>
              </w:rPr>
            </w:pPr>
            <w:r w:rsidRPr="004142F1">
              <w:rPr>
                <w:sz w:val="28"/>
                <w:szCs w:val="28"/>
                <w:lang w:val="en-US"/>
              </w:rPr>
              <w:t>400 mg once or twice daily</w:t>
            </w:r>
          </w:p>
        </w:tc>
        <w:tc>
          <w:tcPr>
            <w:tcW w:w="2110" w:type="dxa"/>
            <w:tcBorders>
              <w:top w:val="single" w:sz="4" w:space="0" w:color="A6A6A6"/>
              <w:left w:val="single" w:sz="4" w:space="0" w:color="A6A6A6"/>
              <w:bottom w:val="single" w:sz="4" w:space="0" w:color="A6A6A6"/>
              <w:right w:val="single" w:sz="4" w:space="0" w:color="A6A6A6"/>
            </w:tcBorders>
          </w:tcPr>
          <w:p w14:paraId="56A000ED" w14:textId="6848C829" w:rsidR="00B04E42" w:rsidRPr="004142F1" w:rsidRDefault="00B04E42" w:rsidP="00B04E42">
            <w:pPr>
              <w:spacing w:after="0" w:line="259" w:lineRule="auto"/>
              <w:ind w:left="0" w:firstLine="0"/>
              <w:jc w:val="center"/>
              <w:rPr>
                <w:sz w:val="28"/>
                <w:szCs w:val="28"/>
              </w:rPr>
            </w:pPr>
            <w:r w:rsidRPr="004142F1">
              <w:rPr>
                <w:sz w:val="28"/>
                <w:szCs w:val="28"/>
              </w:rPr>
              <w:t>Not recommended</w:t>
            </w:r>
          </w:p>
        </w:tc>
        <w:tc>
          <w:tcPr>
            <w:tcW w:w="1509" w:type="dxa"/>
            <w:tcBorders>
              <w:top w:val="single" w:sz="4" w:space="0" w:color="A6A6A6"/>
              <w:left w:val="single" w:sz="4" w:space="0" w:color="A6A6A6"/>
              <w:bottom w:val="single" w:sz="4" w:space="0" w:color="A6A6A6"/>
              <w:right w:val="single" w:sz="4" w:space="0" w:color="A6A6A6"/>
            </w:tcBorders>
          </w:tcPr>
          <w:p w14:paraId="53506B59" w14:textId="4B33AFE0" w:rsidR="00B04E42" w:rsidRPr="004142F1" w:rsidRDefault="00B04E42" w:rsidP="00B04E42">
            <w:pPr>
              <w:spacing w:after="0" w:line="259" w:lineRule="auto"/>
              <w:ind w:left="0" w:firstLine="0"/>
              <w:jc w:val="center"/>
              <w:rPr>
                <w:sz w:val="28"/>
                <w:szCs w:val="28"/>
              </w:rPr>
            </w:pPr>
            <w:r w:rsidRPr="004142F1">
              <w:rPr>
                <w:sz w:val="28"/>
                <w:szCs w:val="28"/>
              </w:rPr>
              <w:t>3-7 days</w:t>
            </w:r>
          </w:p>
        </w:tc>
      </w:tr>
    </w:tbl>
    <w:p w14:paraId="287B6875" w14:textId="77777777" w:rsidR="00B04E42" w:rsidRDefault="00B04E42" w:rsidP="00B04E42">
      <w:pPr>
        <w:spacing w:before="240" w:after="240"/>
        <w:ind w:left="11" w:firstLine="709"/>
        <w:rPr>
          <w:rFonts w:cs="Times New Roman"/>
          <w:bCs/>
          <w:i/>
          <w:iCs/>
          <w:sz w:val="28"/>
          <w:szCs w:val="28"/>
          <w:lang w:val="en-TH" w:eastAsia="en-US"/>
        </w:rPr>
      </w:pPr>
      <w:r w:rsidRPr="00B04E42">
        <w:rPr>
          <w:rFonts w:cs="Times New Roman"/>
          <w:bCs/>
          <w:i/>
          <w:iCs/>
          <w:sz w:val="28"/>
          <w:szCs w:val="28"/>
          <w:lang w:val="en-TH" w:eastAsia="en-US"/>
        </w:rPr>
        <w:t>Mass drug</w:t>
      </w:r>
      <w:r w:rsidRPr="00B04E42">
        <w:rPr>
          <w:rFonts w:cs="Times New Roman"/>
          <w:bCs/>
          <w:i/>
          <w:iCs/>
          <w:sz w:val="28"/>
          <w:szCs w:val="28"/>
          <w:lang w:val="en-TH" w:eastAsia="en-US"/>
        </w:rPr>
        <w:t xml:space="preserve"> administration</w:t>
      </w:r>
    </w:p>
    <w:p w14:paraId="2B4ED5E0" w14:textId="16B7B4E3" w:rsidR="00B04E42" w:rsidRPr="00B04E42" w:rsidRDefault="00000000" w:rsidP="00B04E42">
      <w:pPr>
        <w:spacing w:before="240" w:after="240" w:line="360" w:lineRule="auto"/>
        <w:ind w:left="720" w:firstLine="0"/>
        <w:jc w:val="thaiDistribute"/>
        <w:rPr>
          <w:rFonts w:cs="Times New Roman"/>
          <w:bCs/>
          <w:i/>
          <w:iCs/>
          <w:sz w:val="28"/>
          <w:szCs w:val="28"/>
          <w:lang w:val="en-TH" w:eastAsia="en-US"/>
        </w:rPr>
      </w:pPr>
      <w:r w:rsidRPr="004142F1">
        <w:rPr>
          <w:rFonts w:cs="Times New Roman"/>
          <w:sz w:val="28"/>
          <w:szCs w:val="28"/>
          <w:lang w:val="en-US"/>
        </w:rPr>
        <w:t xml:space="preserve">For the elimination of </w:t>
      </w:r>
      <w:r w:rsidRPr="004142F1">
        <w:rPr>
          <w:rFonts w:cs="Times New Roman"/>
          <w:i/>
          <w:sz w:val="28"/>
          <w:szCs w:val="28"/>
          <w:lang w:val="en-US"/>
        </w:rPr>
        <w:t>lymphatic filariasis</w:t>
      </w:r>
      <w:r w:rsidRPr="004142F1">
        <w:rPr>
          <w:rFonts w:cs="Times New Roman"/>
          <w:sz w:val="28"/>
          <w:szCs w:val="28"/>
          <w:lang w:val="en-US"/>
        </w:rPr>
        <w:t xml:space="preserve"> and the control</w:t>
      </w:r>
      <w:r w:rsidRPr="004142F1">
        <w:rPr>
          <w:rFonts w:cs="Times New Roman"/>
          <w:i/>
          <w:sz w:val="28"/>
          <w:szCs w:val="28"/>
          <w:lang w:val="en-US"/>
        </w:rPr>
        <w:t xml:space="preserve"> </w:t>
      </w:r>
      <w:r w:rsidRPr="004142F1">
        <w:rPr>
          <w:rFonts w:cs="Times New Roman"/>
          <w:sz w:val="28"/>
          <w:szCs w:val="28"/>
          <w:lang w:val="en-US"/>
        </w:rPr>
        <w:t>of</w:t>
      </w:r>
      <w:r w:rsidRPr="004142F1">
        <w:rPr>
          <w:rFonts w:cs="Times New Roman"/>
          <w:i/>
          <w:sz w:val="28"/>
          <w:szCs w:val="28"/>
          <w:lang w:val="en-US"/>
        </w:rPr>
        <w:t xml:space="preserve"> soil-transmitted helminthiasis</w:t>
      </w:r>
      <w:r w:rsidRPr="004142F1">
        <w:rPr>
          <w:rFonts w:cs="Times New Roman"/>
          <w:sz w:val="28"/>
          <w:szCs w:val="28"/>
          <w:lang w:val="en-US"/>
        </w:rPr>
        <w:t xml:space="preserve"> </w:t>
      </w:r>
      <w:r w:rsidRPr="004142F1">
        <w:rPr>
          <w:rFonts w:eastAsia="Calibri" w:cs="Times New Roman"/>
          <w:sz w:val="28"/>
          <w:szCs w:val="28"/>
          <w:lang w:val="en-US"/>
        </w:rPr>
        <w:t>(</w:t>
      </w:r>
      <w:r w:rsidRPr="004142F1">
        <w:rPr>
          <w:rFonts w:cs="Times New Roman"/>
          <w:sz w:val="28"/>
          <w:szCs w:val="28"/>
          <w:lang w:val="en-US"/>
        </w:rPr>
        <w:t xml:space="preserve">ascariasis, trichuriasis, or hookworm disease), </w:t>
      </w:r>
      <w:r w:rsidRPr="004142F1">
        <w:rPr>
          <w:rFonts w:cs="Times New Roman"/>
          <w:color w:val="FF0000"/>
          <w:sz w:val="28"/>
          <w:szCs w:val="28"/>
          <w:lang w:val="en-US"/>
        </w:rPr>
        <w:t>&lt;Generic Name&gt;</w:t>
      </w:r>
      <w:r w:rsidRPr="004142F1">
        <w:rPr>
          <w:rFonts w:cs="Times New Roman"/>
          <w:sz w:val="28"/>
          <w:szCs w:val="28"/>
          <w:lang w:val="en-US"/>
        </w:rPr>
        <w:t xml:space="preserve"> is taken once or twice a year as needed (see WHO guidelines).  </w:t>
      </w:r>
    </w:p>
    <w:p w14:paraId="16BEDD17" w14:textId="61C0627A" w:rsidR="00B04E42" w:rsidRPr="00B04E42" w:rsidRDefault="00000000" w:rsidP="00B04E42">
      <w:pPr>
        <w:pStyle w:val="ListParagraph"/>
        <w:numPr>
          <w:ilvl w:val="0"/>
          <w:numId w:val="5"/>
        </w:numPr>
        <w:spacing w:before="240" w:after="240" w:line="360" w:lineRule="auto"/>
        <w:ind w:left="1434" w:hanging="357"/>
        <w:contextualSpacing w:val="0"/>
        <w:rPr>
          <w:rFonts w:cs="Times New Roman"/>
          <w:bCs/>
          <w:sz w:val="28"/>
          <w:szCs w:val="28"/>
          <w:lang w:val="en-TH" w:eastAsia="en-US"/>
        </w:rPr>
      </w:pPr>
      <w:r w:rsidRPr="00B04E42">
        <w:rPr>
          <w:rFonts w:cs="Times New Roman"/>
          <w:i/>
          <w:iCs/>
          <w:sz w:val="28"/>
          <w:szCs w:val="28"/>
          <w:lang w:val="en-US"/>
        </w:rPr>
        <w:t>Adults</w:t>
      </w:r>
      <w:r w:rsidRPr="00B04E42">
        <w:rPr>
          <w:rFonts w:cs="Times New Roman"/>
          <w:sz w:val="28"/>
          <w:szCs w:val="28"/>
          <w:lang w:val="en-US"/>
        </w:rPr>
        <w:t xml:space="preserve"> and children aged over 2 years</w:t>
      </w:r>
      <w:r w:rsidR="00B04E42" w:rsidRPr="00B04E42">
        <w:rPr>
          <w:rFonts w:cs="Times New Roman"/>
          <w:sz w:val="28"/>
          <w:szCs w:val="28"/>
          <w:lang w:val="en-US"/>
        </w:rPr>
        <w:t xml:space="preserve">: </w:t>
      </w:r>
      <w:r w:rsidRPr="00B04E42">
        <w:rPr>
          <w:rFonts w:cs="Times New Roman"/>
          <w:sz w:val="28"/>
          <w:szCs w:val="28"/>
          <w:lang w:val="en-US"/>
        </w:rPr>
        <w:t xml:space="preserve">In adults and children aged over 2 years, the dose of </w:t>
      </w:r>
      <w:r w:rsidRPr="00B04E42">
        <w:rPr>
          <w:rFonts w:cs="Times New Roman"/>
          <w:color w:val="FF0000"/>
          <w:sz w:val="28"/>
          <w:szCs w:val="28"/>
          <w:lang w:val="en-US"/>
        </w:rPr>
        <w:t>&lt;Generic Name&gt;</w:t>
      </w:r>
      <w:r w:rsidRPr="00B04E42">
        <w:rPr>
          <w:rFonts w:cs="Times New Roman"/>
          <w:sz w:val="28"/>
          <w:szCs w:val="28"/>
          <w:lang w:val="en-US"/>
        </w:rPr>
        <w:t xml:space="preserve"> for mass drug administration is 400 mg once a year.  </w:t>
      </w:r>
    </w:p>
    <w:p w14:paraId="0C17CF21" w14:textId="77777777" w:rsidR="00B04E42" w:rsidRPr="00B04E42" w:rsidRDefault="00000000" w:rsidP="00B04E42">
      <w:pPr>
        <w:pStyle w:val="ListParagraph"/>
        <w:numPr>
          <w:ilvl w:val="0"/>
          <w:numId w:val="5"/>
        </w:numPr>
        <w:spacing w:before="240" w:after="240" w:line="360" w:lineRule="auto"/>
        <w:ind w:left="1434" w:hanging="357"/>
        <w:contextualSpacing w:val="0"/>
        <w:rPr>
          <w:rFonts w:cs="Times New Roman"/>
          <w:bCs/>
          <w:i/>
          <w:iCs/>
          <w:sz w:val="28"/>
          <w:szCs w:val="28"/>
          <w:lang w:val="en-TH" w:eastAsia="en-US"/>
        </w:rPr>
      </w:pPr>
      <w:r w:rsidRPr="00B04E42">
        <w:rPr>
          <w:i/>
          <w:iCs/>
          <w:sz w:val="28"/>
          <w:szCs w:val="28"/>
          <w:lang w:val="en-US"/>
        </w:rPr>
        <w:lastRenderedPageBreak/>
        <w:t>Children aged 1–2 years</w:t>
      </w:r>
      <w:r w:rsidR="00B04E42">
        <w:rPr>
          <w:i/>
          <w:iCs/>
          <w:sz w:val="28"/>
          <w:szCs w:val="28"/>
          <w:lang w:val="en-US"/>
        </w:rPr>
        <w:t xml:space="preserve">: </w:t>
      </w:r>
      <w:r w:rsidRPr="00B04E42">
        <w:rPr>
          <w:rFonts w:cs="Times New Roman"/>
          <w:sz w:val="28"/>
          <w:szCs w:val="28"/>
          <w:lang w:val="en-US"/>
        </w:rPr>
        <w:t xml:space="preserve">In children aged 1–2 years, the dose of </w:t>
      </w:r>
      <w:r w:rsidRPr="00B04E42">
        <w:rPr>
          <w:rFonts w:cs="Times New Roman"/>
          <w:color w:val="FF0000"/>
          <w:sz w:val="28"/>
          <w:szCs w:val="28"/>
          <w:lang w:val="en-US"/>
        </w:rPr>
        <w:t>&lt;Generic Name&gt;</w:t>
      </w:r>
      <w:r w:rsidRPr="00B04E42">
        <w:rPr>
          <w:rFonts w:cs="Times New Roman"/>
          <w:sz w:val="28"/>
          <w:szCs w:val="28"/>
          <w:lang w:val="en-US"/>
        </w:rPr>
        <w:t xml:space="preserve"> for the control</w:t>
      </w:r>
      <w:r w:rsidRPr="00B04E42">
        <w:rPr>
          <w:rFonts w:cs="Times New Roman"/>
          <w:i/>
          <w:sz w:val="28"/>
          <w:szCs w:val="28"/>
          <w:lang w:val="en-US"/>
        </w:rPr>
        <w:t xml:space="preserve"> </w:t>
      </w:r>
      <w:r w:rsidRPr="00B04E42">
        <w:rPr>
          <w:rFonts w:cs="Times New Roman"/>
          <w:sz w:val="28"/>
          <w:szCs w:val="28"/>
          <w:lang w:val="en-US"/>
        </w:rPr>
        <w:t>of</w:t>
      </w:r>
      <w:r w:rsidRPr="00B04E42">
        <w:rPr>
          <w:rFonts w:cs="Times New Roman"/>
          <w:i/>
          <w:sz w:val="28"/>
          <w:szCs w:val="28"/>
          <w:lang w:val="en-US"/>
        </w:rPr>
        <w:t xml:space="preserve"> </w:t>
      </w:r>
      <w:r w:rsidRPr="00B04E42">
        <w:rPr>
          <w:rFonts w:cs="Times New Roman"/>
          <w:sz w:val="28"/>
          <w:szCs w:val="28"/>
          <w:lang w:val="en-US"/>
        </w:rPr>
        <w:t xml:space="preserve">soil-transmitted helminthiasis is 200 mg.   </w:t>
      </w:r>
    </w:p>
    <w:p w14:paraId="6AE0BD69" w14:textId="6565C3DD" w:rsidR="00C05E4B" w:rsidRPr="00B04E42" w:rsidRDefault="00000000" w:rsidP="00B04E42">
      <w:pPr>
        <w:pStyle w:val="ListParagraph"/>
        <w:numPr>
          <w:ilvl w:val="0"/>
          <w:numId w:val="5"/>
        </w:numPr>
        <w:spacing w:before="240" w:after="240" w:line="360" w:lineRule="auto"/>
        <w:ind w:left="1434" w:hanging="357"/>
        <w:contextualSpacing w:val="0"/>
        <w:rPr>
          <w:rFonts w:cs="Times New Roman"/>
          <w:bCs/>
          <w:i/>
          <w:iCs/>
          <w:sz w:val="28"/>
          <w:szCs w:val="28"/>
          <w:lang w:val="en-TH" w:eastAsia="en-US"/>
        </w:rPr>
      </w:pPr>
      <w:r w:rsidRPr="00B04E42">
        <w:rPr>
          <w:rFonts w:cs="Times New Roman"/>
          <w:color w:val="FF0000"/>
          <w:sz w:val="28"/>
          <w:szCs w:val="28"/>
          <w:lang w:val="en-US"/>
        </w:rPr>
        <w:t>&lt;Generic Name&gt;</w:t>
      </w:r>
      <w:r w:rsidRPr="00B04E42">
        <w:rPr>
          <w:rFonts w:cs="Times New Roman"/>
          <w:sz w:val="28"/>
          <w:szCs w:val="28"/>
          <w:lang w:val="en-US"/>
        </w:rPr>
        <w:t xml:space="preserve"> is not used in children below 2 years for the elimination of lymphatic filariasis</w:t>
      </w:r>
      <w:r w:rsidRPr="00B04E42">
        <w:rPr>
          <w:rFonts w:cs="Times New Roman"/>
          <w:i/>
          <w:sz w:val="28"/>
          <w:szCs w:val="28"/>
          <w:lang w:val="en-US"/>
        </w:rPr>
        <w:t>.</w:t>
      </w:r>
      <w:r w:rsidRPr="00B04E42">
        <w:rPr>
          <w:rFonts w:cs="Times New Roman"/>
          <w:sz w:val="28"/>
          <w:szCs w:val="28"/>
          <w:lang w:val="en-US"/>
        </w:rPr>
        <w:t xml:space="preserve">  </w:t>
      </w:r>
    </w:p>
    <w:p w14:paraId="7C03851C" w14:textId="77777777" w:rsidR="00B04E42" w:rsidRDefault="00000000" w:rsidP="00B04E42">
      <w:pPr>
        <w:pStyle w:val="Heading2"/>
        <w:spacing w:after="240"/>
        <w:ind w:left="352" w:firstLine="726"/>
        <w:rPr>
          <w:b w:val="0"/>
          <w:bCs/>
          <w:i/>
          <w:iCs/>
          <w:sz w:val="28"/>
          <w:szCs w:val="28"/>
        </w:rPr>
      </w:pPr>
      <w:r w:rsidRPr="00B04E42">
        <w:rPr>
          <w:b w:val="0"/>
          <w:bCs/>
          <w:i/>
          <w:iCs/>
          <w:sz w:val="28"/>
          <w:szCs w:val="28"/>
        </w:rPr>
        <w:t xml:space="preserve">Special populations </w:t>
      </w:r>
    </w:p>
    <w:p w14:paraId="46DEE5CB" w14:textId="77777777" w:rsidR="00B04E42" w:rsidRDefault="00000000" w:rsidP="00B04E42">
      <w:pPr>
        <w:pStyle w:val="Heading2"/>
        <w:spacing w:after="240"/>
        <w:ind w:left="352" w:firstLine="726"/>
        <w:rPr>
          <w:b w:val="0"/>
          <w:bCs/>
          <w:iCs/>
          <w:sz w:val="28"/>
          <w:szCs w:val="28"/>
          <w:u w:val="single"/>
          <w:lang w:val="en-US"/>
        </w:rPr>
      </w:pPr>
      <w:r w:rsidRPr="00B04E42">
        <w:rPr>
          <w:b w:val="0"/>
          <w:bCs/>
          <w:iCs/>
          <w:sz w:val="28"/>
          <w:szCs w:val="28"/>
          <w:u w:val="single"/>
          <w:lang w:val="en-US"/>
        </w:rPr>
        <w:t xml:space="preserve">Renal impairment  </w:t>
      </w:r>
    </w:p>
    <w:p w14:paraId="41DE566E" w14:textId="77777777" w:rsidR="00B04E42" w:rsidRPr="00B04E42" w:rsidRDefault="00000000" w:rsidP="00B04E42">
      <w:pPr>
        <w:pStyle w:val="Heading2"/>
        <w:spacing w:after="240"/>
        <w:ind w:left="352" w:firstLine="726"/>
        <w:jc w:val="thaiDistribute"/>
        <w:rPr>
          <w:b w:val="0"/>
          <w:bCs/>
          <w:sz w:val="28"/>
          <w:szCs w:val="28"/>
          <w:lang w:val="en-US"/>
        </w:rPr>
      </w:pPr>
      <w:r w:rsidRPr="00B04E42">
        <w:rPr>
          <w:b w:val="0"/>
          <w:bCs/>
          <w:sz w:val="28"/>
          <w:szCs w:val="28"/>
          <w:lang w:val="en-US"/>
        </w:rPr>
        <w:t xml:space="preserve">No dose adjustment is required.   </w:t>
      </w:r>
    </w:p>
    <w:p w14:paraId="5C7B4931" w14:textId="77777777" w:rsidR="00B04E42" w:rsidRPr="00B04E42" w:rsidRDefault="00000000" w:rsidP="00B04E42">
      <w:pPr>
        <w:pStyle w:val="Heading2"/>
        <w:spacing w:after="240"/>
        <w:ind w:left="352" w:firstLine="726"/>
        <w:jc w:val="thaiDistribute"/>
        <w:rPr>
          <w:b w:val="0"/>
          <w:bCs/>
          <w:sz w:val="28"/>
          <w:szCs w:val="28"/>
          <w:u w:val="single"/>
        </w:rPr>
      </w:pPr>
      <w:r w:rsidRPr="00B04E42">
        <w:rPr>
          <w:b w:val="0"/>
          <w:bCs/>
          <w:sz w:val="28"/>
          <w:szCs w:val="28"/>
          <w:u w:val="single"/>
        </w:rPr>
        <w:t xml:space="preserve">Hepatic impairment  </w:t>
      </w:r>
    </w:p>
    <w:p w14:paraId="5A62B941" w14:textId="77777777" w:rsidR="00B04E42" w:rsidRDefault="00000000" w:rsidP="00B04E42">
      <w:pPr>
        <w:pStyle w:val="Heading2"/>
        <w:spacing w:after="240" w:line="360" w:lineRule="auto"/>
        <w:ind w:left="1077" w:firstLine="0"/>
        <w:jc w:val="thaiDistribute"/>
        <w:rPr>
          <w:b w:val="0"/>
          <w:bCs/>
          <w:iCs/>
          <w:sz w:val="28"/>
          <w:szCs w:val="28"/>
          <w:u w:val="single"/>
        </w:rPr>
      </w:pPr>
      <w:r w:rsidRPr="00B04E42">
        <w:rPr>
          <w:b w:val="0"/>
          <w:bCs/>
          <w:sz w:val="28"/>
          <w:szCs w:val="28"/>
          <w:lang w:val="en-US"/>
        </w:rPr>
        <w:t xml:space="preserve">Caution should be used if </w:t>
      </w:r>
      <w:r w:rsidRPr="00B04E42">
        <w:rPr>
          <w:b w:val="0"/>
          <w:bCs/>
          <w:color w:val="FF0000"/>
          <w:sz w:val="28"/>
          <w:szCs w:val="28"/>
          <w:lang w:val="en-US"/>
        </w:rPr>
        <w:t>&lt;Generic Name&gt;</w:t>
      </w:r>
      <w:r w:rsidRPr="00B04E42">
        <w:rPr>
          <w:b w:val="0"/>
          <w:bCs/>
          <w:sz w:val="28"/>
          <w:szCs w:val="28"/>
          <w:lang w:val="en-US"/>
        </w:rPr>
        <w:t xml:space="preserve"> is given to patients with liver disease, since albendazole is metabolised by the liver and has been associated with idiosyncratic hepatotoxicity.  </w:t>
      </w:r>
    </w:p>
    <w:p w14:paraId="27D60D0F" w14:textId="77777777" w:rsidR="00B04E42" w:rsidRDefault="00000000" w:rsidP="00B04E42">
      <w:pPr>
        <w:pStyle w:val="Heading2"/>
        <w:spacing w:after="240" w:line="360" w:lineRule="auto"/>
        <w:ind w:left="1077" w:firstLine="0"/>
        <w:jc w:val="thaiDistribute"/>
        <w:rPr>
          <w:b w:val="0"/>
          <w:bCs/>
          <w:sz w:val="28"/>
          <w:szCs w:val="28"/>
          <w:u w:val="single"/>
        </w:rPr>
      </w:pPr>
      <w:r w:rsidRPr="00B04E42">
        <w:rPr>
          <w:b w:val="0"/>
          <w:bCs/>
          <w:sz w:val="28"/>
          <w:szCs w:val="28"/>
          <w:u w:val="single"/>
        </w:rPr>
        <w:t xml:space="preserve">Method of administration  </w:t>
      </w:r>
    </w:p>
    <w:p w14:paraId="626B71E4" w14:textId="77777777" w:rsidR="00B04E42" w:rsidRDefault="00000000" w:rsidP="00B04E42">
      <w:pPr>
        <w:pStyle w:val="Heading2"/>
        <w:spacing w:after="240" w:line="360" w:lineRule="auto"/>
        <w:ind w:left="1077" w:firstLine="0"/>
        <w:jc w:val="thaiDistribute"/>
        <w:rPr>
          <w:b w:val="0"/>
          <w:bCs/>
          <w:sz w:val="28"/>
          <w:szCs w:val="28"/>
          <w:lang w:val="en-US"/>
        </w:rPr>
      </w:pPr>
      <w:r w:rsidRPr="00B04E42">
        <w:rPr>
          <w:b w:val="0"/>
          <w:bCs/>
          <w:sz w:val="28"/>
          <w:szCs w:val="28"/>
          <w:lang w:val="en-US"/>
        </w:rPr>
        <w:t xml:space="preserve">For oral use. </w:t>
      </w:r>
      <w:r w:rsidRPr="00B04E42">
        <w:rPr>
          <w:b w:val="0"/>
          <w:bCs/>
          <w:color w:val="FF0000"/>
          <w:sz w:val="28"/>
          <w:szCs w:val="28"/>
          <w:lang w:val="en-US"/>
        </w:rPr>
        <w:t>&lt;Generic Name&gt;</w:t>
      </w:r>
      <w:r w:rsidRPr="00B04E42">
        <w:rPr>
          <w:b w:val="0"/>
          <w:bCs/>
          <w:sz w:val="28"/>
          <w:szCs w:val="28"/>
          <w:lang w:val="en-US"/>
        </w:rPr>
        <w:t xml:space="preserve"> is not a chewable </w:t>
      </w:r>
      <w:r w:rsidR="00B04E42" w:rsidRPr="00B04E42">
        <w:rPr>
          <w:b w:val="0"/>
          <w:bCs/>
          <w:sz w:val="28"/>
          <w:szCs w:val="28"/>
          <w:lang w:val="en-US"/>
        </w:rPr>
        <w:t>tablet but</w:t>
      </w:r>
      <w:r w:rsidRPr="00B04E42">
        <w:rPr>
          <w:b w:val="0"/>
          <w:bCs/>
          <w:sz w:val="28"/>
          <w:szCs w:val="28"/>
          <w:lang w:val="en-US"/>
        </w:rPr>
        <w:t xml:space="preserve"> may be crushed or swallowed whole.  </w:t>
      </w:r>
    </w:p>
    <w:p w14:paraId="374FC20C" w14:textId="0163D1F2" w:rsidR="00C05E4B" w:rsidRPr="00B04E42" w:rsidRDefault="00000000" w:rsidP="00B04E42">
      <w:pPr>
        <w:pStyle w:val="Heading2"/>
        <w:spacing w:after="240" w:line="360" w:lineRule="auto"/>
        <w:ind w:left="1077" w:firstLine="0"/>
        <w:jc w:val="thaiDistribute"/>
        <w:rPr>
          <w:b w:val="0"/>
          <w:bCs/>
          <w:iCs/>
          <w:sz w:val="28"/>
          <w:szCs w:val="28"/>
          <w:u w:val="single"/>
        </w:rPr>
      </w:pPr>
      <w:r w:rsidRPr="00B04E42">
        <w:rPr>
          <w:b w:val="0"/>
          <w:bCs/>
          <w:sz w:val="28"/>
          <w:szCs w:val="28"/>
          <w:lang w:val="en-US"/>
        </w:rPr>
        <w:t>For young children or patients not able to swallow the tablets whole, the tablets may be crushed and added to a small amount of semi-solid food or liquid, all of which should be consumed immediately</w:t>
      </w:r>
      <w:r w:rsidR="00B04E42" w:rsidRPr="00B04E42">
        <w:rPr>
          <w:b w:val="0"/>
          <w:bCs/>
          <w:sz w:val="28"/>
          <w:szCs w:val="28"/>
          <w:lang w:val="en-US"/>
        </w:rPr>
        <w:t>.</w:t>
      </w:r>
      <w:r w:rsidRPr="00B04E42">
        <w:rPr>
          <w:b w:val="0"/>
          <w:bCs/>
          <w:sz w:val="28"/>
          <w:szCs w:val="28"/>
          <w:lang w:val="en-US"/>
        </w:rPr>
        <w:t xml:space="preserve"> </w:t>
      </w:r>
    </w:p>
    <w:p w14:paraId="28D5E25C" w14:textId="43EC3BB0" w:rsidR="00C05E4B" w:rsidRPr="004142F1" w:rsidRDefault="00000000" w:rsidP="00B04E42">
      <w:pPr>
        <w:spacing w:after="240" w:line="360" w:lineRule="auto"/>
        <w:ind w:left="1077" w:firstLine="0"/>
        <w:jc w:val="thaiDistribute"/>
        <w:rPr>
          <w:rFonts w:cs="Times New Roman"/>
          <w:sz w:val="28"/>
          <w:szCs w:val="28"/>
          <w:lang w:val="en-US"/>
        </w:rPr>
      </w:pPr>
      <w:r w:rsidRPr="004142F1">
        <w:rPr>
          <w:rFonts w:cs="Times New Roman"/>
          <w:sz w:val="28"/>
          <w:szCs w:val="28"/>
          <w:lang w:val="en-US"/>
        </w:rPr>
        <w:t xml:space="preserve">For intestinal infections, where absorption into the blood is not required, albendazole should be given on an empty stomach. For systemic effect, albendazole should be given with or after a meal.  </w:t>
      </w:r>
    </w:p>
    <w:p w14:paraId="30599A32" w14:textId="77777777" w:rsidR="00C05E4B" w:rsidRPr="004142F1" w:rsidRDefault="00000000">
      <w:pPr>
        <w:spacing w:after="232" w:line="259" w:lineRule="auto"/>
        <w:ind w:left="14" w:firstLine="0"/>
        <w:rPr>
          <w:rFonts w:cs="Times New Roman"/>
          <w:sz w:val="28"/>
          <w:szCs w:val="28"/>
          <w:lang w:val="en-US"/>
        </w:rPr>
      </w:pPr>
      <w:r w:rsidRPr="004142F1">
        <w:rPr>
          <w:rFonts w:cs="Times New Roman"/>
          <w:sz w:val="28"/>
          <w:szCs w:val="28"/>
          <w:lang w:val="en-US"/>
        </w:rPr>
        <w:t xml:space="preserve">  </w:t>
      </w:r>
    </w:p>
    <w:p w14:paraId="694460BE" w14:textId="77777777" w:rsidR="00B04E42" w:rsidRDefault="00000000" w:rsidP="00B04E42">
      <w:pPr>
        <w:pStyle w:val="ListParagraph"/>
        <w:numPr>
          <w:ilvl w:val="1"/>
          <w:numId w:val="2"/>
        </w:numPr>
        <w:tabs>
          <w:tab w:val="center" w:pos="1586"/>
        </w:tabs>
        <w:spacing w:after="240" w:line="259" w:lineRule="auto"/>
        <w:ind w:left="788" w:hanging="431"/>
        <w:contextualSpacing w:val="0"/>
        <w:rPr>
          <w:rFonts w:cs="Times New Roman"/>
          <w:sz w:val="28"/>
          <w:szCs w:val="28"/>
          <w:lang w:val="en-US"/>
        </w:rPr>
      </w:pPr>
      <w:r w:rsidRPr="00B04E42">
        <w:rPr>
          <w:rFonts w:cs="Times New Roman"/>
          <w:b/>
          <w:sz w:val="28"/>
          <w:szCs w:val="28"/>
          <w:lang w:val="en-US"/>
        </w:rPr>
        <w:lastRenderedPageBreak/>
        <w:t xml:space="preserve">Contraindications </w:t>
      </w:r>
      <w:r w:rsidRPr="00B04E42">
        <w:rPr>
          <w:rFonts w:cs="Times New Roman"/>
          <w:sz w:val="28"/>
          <w:szCs w:val="28"/>
          <w:lang w:val="en-US"/>
        </w:rPr>
        <w:t xml:space="preserve"> </w:t>
      </w:r>
    </w:p>
    <w:p w14:paraId="784808A5" w14:textId="4B6127E5" w:rsidR="00C05E4B" w:rsidRPr="00B04E42" w:rsidRDefault="00000000" w:rsidP="00B04E42">
      <w:pPr>
        <w:pStyle w:val="ListParagraph"/>
        <w:tabs>
          <w:tab w:val="center" w:pos="1586"/>
        </w:tabs>
        <w:spacing w:after="240" w:line="360" w:lineRule="auto"/>
        <w:ind w:left="794" w:firstLine="0"/>
        <w:contextualSpacing w:val="0"/>
        <w:rPr>
          <w:rFonts w:cs="Times New Roman"/>
          <w:sz w:val="28"/>
          <w:szCs w:val="28"/>
          <w:lang w:val="en-US"/>
        </w:rPr>
      </w:pPr>
      <w:r w:rsidRPr="00B04E42">
        <w:rPr>
          <w:rFonts w:cs="Times New Roman"/>
          <w:sz w:val="28"/>
          <w:szCs w:val="28"/>
          <w:lang w:val="en-US"/>
        </w:rPr>
        <w:t xml:space="preserve">Hypersensitivity to the active substance or to any excipients listed in section 6.1.  </w:t>
      </w:r>
    </w:p>
    <w:p w14:paraId="06813A1A" w14:textId="77777777" w:rsidR="00B04E42" w:rsidRDefault="00000000" w:rsidP="00B04E42">
      <w:pPr>
        <w:pStyle w:val="ListParagraph"/>
        <w:numPr>
          <w:ilvl w:val="1"/>
          <w:numId w:val="2"/>
        </w:numPr>
        <w:spacing w:after="240" w:line="259" w:lineRule="auto"/>
        <w:ind w:left="788" w:hanging="431"/>
        <w:contextualSpacing w:val="0"/>
        <w:rPr>
          <w:rFonts w:cs="Times New Roman"/>
          <w:sz w:val="28"/>
          <w:szCs w:val="28"/>
          <w:lang w:val="en-US"/>
        </w:rPr>
      </w:pPr>
      <w:r w:rsidRPr="00B04E42">
        <w:rPr>
          <w:rFonts w:cs="Times New Roman"/>
          <w:b/>
          <w:sz w:val="28"/>
          <w:szCs w:val="28"/>
          <w:lang w:val="en-US"/>
        </w:rPr>
        <w:t xml:space="preserve">Special warnings and precautions for use </w:t>
      </w:r>
      <w:r w:rsidRPr="00B04E42">
        <w:rPr>
          <w:rFonts w:cs="Times New Roman"/>
          <w:sz w:val="28"/>
          <w:szCs w:val="28"/>
          <w:lang w:val="en-US"/>
        </w:rPr>
        <w:t xml:space="preserve"> </w:t>
      </w:r>
    </w:p>
    <w:p w14:paraId="751F2E34" w14:textId="77777777" w:rsidR="00B04E42" w:rsidRDefault="00000000" w:rsidP="00B04E42">
      <w:pPr>
        <w:pStyle w:val="ListParagraph"/>
        <w:spacing w:after="240" w:line="259" w:lineRule="auto"/>
        <w:ind w:left="794" w:firstLine="0"/>
        <w:contextualSpacing w:val="0"/>
        <w:rPr>
          <w:sz w:val="28"/>
          <w:szCs w:val="28"/>
          <w:u w:val="single"/>
          <w:lang w:val="en-US"/>
        </w:rPr>
      </w:pPr>
      <w:r w:rsidRPr="00B04E42">
        <w:rPr>
          <w:sz w:val="28"/>
          <w:szCs w:val="28"/>
          <w:u w:val="single"/>
          <w:lang w:val="en-US"/>
        </w:rPr>
        <w:t xml:space="preserve">Uncovering pre-existing neurocysticercosis   </w:t>
      </w:r>
    </w:p>
    <w:p w14:paraId="7FC60D1D" w14:textId="77777777" w:rsidR="00B04E42" w:rsidRDefault="00000000" w:rsidP="00B04E42">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Treatment with albendazole may uncover pre-existing neurocysticercosis, particularly in areas with high taenia infection. Patients may experience neurological symptoms such as seizures, increased intracranial pressure and focal signs </w:t>
      </w:r>
      <w:proofErr w:type="gramStart"/>
      <w:r w:rsidRPr="004142F1">
        <w:rPr>
          <w:rFonts w:cs="Times New Roman"/>
          <w:sz w:val="28"/>
          <w:szCs w:val="28"/>
          <w:lang w:val="en-US"/>
        </w:rPr>
        <w:t>as a result of</w:t>
      </w:r>
      <w:proofErr w:type="gramEnd"/>
      <w:r w:rsidRPr="004142F1">
        <w:rPr>
          <w:rFonts w:cs="Times New Roman"/>
          <w:sz w:val="28"/>
          <w:szCs w:val="28"/>
          <w:lang w:val="en-US"/>
        </w:rPr>
        <w:t xml:space="preserve"> an inflammatory reaction caused by death of the parasite within the brain. Symptoms may occur soon after treatment, and appropriate steroid and anticonvulsant therapy should be started.  </w:t>
      </w:r>
    </w:p>
    <w:p w14:paraId="7FFEC67F" w14:textId="77777777" w:rsidR="00B04E42" w:rsidRDefault="00000000" w:rsidP="00B04E42">
      <w:pPr>
        <w:pStyle w:val="ListParagraph"/>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 xml:space="preserve">Risk of retinal damage in patients with retinal neurocysticercosis  </w:t>
      </w:r>
    </w:p>
    <w:p w14:paraId="3383C57A" w14:textId="77777777" w:rsidR="00B04E42" w:rsidRDefault="00000000" w:rsidP="00B04E42">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Cysticercosis may, in rare cases, involve the retina. Before initiating therapy for neurocysticercosis, the patient should be examined for the presence of retinal lesions. If such lesions are visualised, the need for anticysticeral therapy should be weighed against the possibility of retinal damage caused by albendazoleinduced changes to the retinal lesion.  </w:t>
      </w:r>
    </w:p>
    <w:p w14:paraId="6A9BF04A" w14:textId="77777777" w:rsidR="00B04E42" w:rsidRDefault="00000000" w:rsidP="00B04E42">
      <w:pPr>
        <w:pStyle w:val="ListParagraph"/>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 xml:space="preserve">Hepatic effects  </w:t>
      </w:r>
    </w:p>
    <w:p w14:paraId="5418C598" w14:textId="77777777" w:rsidR="00B04E42" w:rsidRDefault="00000000" w:rsidP="00B04E42">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Mild to moderate elevations of liver enzymes have been reported with albendazole. In prolonged higher dose albendazole therapy for hydatid disease there have been rare reports of severe hepatic abnormalities </w:t>
      </w:r>
      <w:r w:rsidRPr="004142F1">
        <w:rPr>
          <w:rFonts w:cs="Times New Roman"/>
          <w:sz w:val="28"/>
          <w:szCs w:val="28"/>
          <w:lang w:val="en-US"/>
        </w:rPr>
        <w:lastRenderedPageBreak/>
        <w:t xml:space="preserve">such as jaundice and histological hepatocellular damage, which may be irreversible. Enzyme abnormalities are usually reversible on discontinuation of treatment.  </w:t>
      </w:r>
    </w:p>
    <w:p w14:paraId="024428DD" w14:textId="77777777" w:rsidR="00B04E42" w:rsidRDefault="00000000" w:rsidP="00B04E42">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Patients with disturbed liver function tests prior to commencing albendazole therapy should be carefully evaluated, since the medicine is metabolised by the liver and has been associated with idiosyncratic hepatotoxicity. If enzymes are significantly increased (greater than twice the upper limit of normal) during treatment, </w:t>
      </w:r>
      <w:r w:rsidRPr="004142F1">
        <w:rPr>
          <w:rFonts w:cs="Times New Roman"/>
          <w:color w:val="FF0000"/>
          <w:sz w:val="28"/>
          <w:szCs w:val="28"/>
          <w:lang w:val="en-US"/>
        </w:rPr>
        <w:t>&lt;Generic Name&gt;</w:t>
      </w:r>
      <w:r w:rsidRPr="004142F1">
        <w:rPr>
          <w:rFonts w:cs="Times New Roman"/>
          <w:sz w:val="28"/>
          <w:szCs w:val="28"/>
          <w:lang w:val="en-US"/>
        </w:rPr>
        <w:t xml:space="preserve"> should be discontinued. </w:t>
      </w:r>
      <w:r w:rsidRPr="004142F1">
        <w:rPr>
          <w:rFonts w:cs="Times New Roman"/>
          <w:color w:val="FF0000"/>
          <w:sz w:val="28"/>
          <w:szCs w:val="28"/>
          <w:lang w:val="en-US"/>
        </w:rPr>
        <w:t>&lt;Generic Name&gt;</w:t>
      </w:r>
      <w:r w:rsidRPr="004142F1">
        <w:rPr>
          <w:rFonts w:cs="Times New Roman"/>
          <w:sz w:val="28"/>
          <w:szCs w:val="28"/>
          <w:lang w:val="en-US"/>
        </w:rPr>
        <w:t xml:space="preserve"> treatment may be reinstituted when levels have returned to normal limits, but liver function should be monitored frequently during repeat therapy.  </w:t>
      </w:r>
    </w:p>
    <w:p w14:paraId="4D5E5C47" w14:textId="77777777" w:rsidR="00B04E42" w:rsidRDefault="00000000" w:rsidP="00B04E42">
      <w:pPr>
        <w:pStyle w:val="ListParagraph"/>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 xml:space="preserve">Bone marrow suppression  </w:t>
      </w:r>
    </w:p>
    <w:p w14:paraId="1BE0D603" w14:textId="77777777" w:rsidR="00B04E42" w:rsidRDefault="00000000" w:rsidP="00B04E42">
      <w:pPr>
        <w:pStyle w:val="ListParagraph"/>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Albendazole can cause bone marrow suppression and therefore blood counts are needed at the start and every two weeks during each </w:t>
      </w:r>
      <w:proofErr w:type="gramStart"/>
      <w:r w:rsidRPr="004142F1">
        <w:rPr>
          <w:rFonts w:cs="Times New Roman"/>
          <w:sz w:val="28"/>
          <w:szCs w:val="28"/>
          <w:lang w:val="en-US"/>
        </w:rPr>
        <w:t>28 day</w:t>
      </w:r>
      <w:proofErr w:type="gramEnd"/>
      <w:r w:rsidRPr="004142F1">
        <w:rPr>
          <w:rFonts w:cs="Times New Roman"/>
          <w:sz w:val="28"/>
          <w:szCs w:val="28"/>
          <w:lang w:val="en-US"/>
        </w:rPr>
        <w:t xml:space="preserve"> cycle for treating echinococcosis. Patients with liver disease, including hepatic echinococcosis, may be more susceptible to bone marrow suppression leading to pancytopenia, aplastic anaemia, agranulocytosis and leucopenia and therefore warrant closer monitoring of blood counts. Albendazole should be discontinued if clinically significant decreases in blood cell counts occur.  </w:t>
      </w:r>
    </w:p>
    <w:p w14:paraId="6375F183" w14:textId="77777777" w:rsidR="00B04E42" w:rsidRDefault="00000000" w:rsidP="00B04E42">
      <w:pPr>
        <w:pStyle w:val="ListParagraph"/>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Excipients</w:t>
      </w:r>
      <w:r w:rsidRPr="00B04E42">
        <w:rPr>
          <w:rFonts w:cs="Times New Roman"/>
          <w:b/>
          <w:sz w:val="28"/>
          <w:szCs w:val="28"/>
          <w:u w:val="single"/>
          <w:lang w:val="en-US"/>
        </w:rPr>
        <w:t xml:space="preserve"> </w:t>
      </w:r>
      <w:r w:rsidRPr="00B04E42">
        <w:rPr>
          <w:rFonts w:cs="Times New Roman"/>
          <w:sz w:val="28"/>
          <w:szCs w:val="28"/>
          <w:u w:val="single"/>
          <w:lang w:val="en-US"/>
        </w:rPr>
        <w:t xml:space="preserve"> </w:t>
      </w:r>
    </w:p>
    <w:p w14:paraId="2C18232D" w14:textId="77777777" w:rsidR="00B04E42" w:rsidRDefault="00000000" w:rsidP="00B04E42">
      <w:pPr>
        <w:pStyle w:val="ListParagraph"/>
        <w:spacing w:after="240" w:line="360" w:lineRule="auto"/>
        <w:ind w:left="794" w:firstLine="0"/>
        <w:contextualSpacing w:val="0"/>
        <w:jc w:val="thaiDistribute"/>
        <w:rPr>
          <w:rFonts w:cs="Times New Roman"/>
          <w:color w:val="FF0000"/>
          <w:sz w:val="28"/>
          <w:szCs w:val="28"/>
          <w:lang w:val="en-US"/>
        </w:rPr>
      </w:pPr>
      <w:r w:rsidRPr="004142F1">
        <w:rPr>
          <w:rFonts w:cs="Times New Roman"/>
          <w:color w:val="FF0000"/>
          <w:sz w:val="28"/>
          <w:szCs w:val="28"/>
          <w:lang w:val="en-US"/>
        </w:rPr>
        <w:t xml:space="preserve">&lt;Regarding the approval&gt; </w:t>
      </w:r>
    </w:p>
    <w:p w14:paraId="6CBA8181" w14:textId="4E30401B" w:rsidR="00C05E4B" w:rsidRPr="00B04E42" w:rsidRDefault="00000000" w:rsidP="00B04E42">
      <w:pPr>
        <w:pStyle w:val="ListParagraph"/>
        <w:spacing w:after="239" w:line="360" w:lineRule="auto"/>
        <w:ind w:left="792" w:firstLine="0"/>
        <w:jc w:val="thaiDistribute"/>
        <w:rPr>
          <w:rFonts w:cs="Times New Roman"/>
          <w:sz w:val="28"/>
          <w:szCs w:val="28"/>
          <w:u w:val="single"/>
          <w:lang w:val="en-US"/>
        </w:rPr>
      </w:pPr>
      <w:r w:rsidRPr="004142F1">
        <w:rPr>
          <w:rFonts w:cs="Times New Roman"/>
          <w:sz w:val="28"/>
          <w:szCs w:val="28"/>
          <w:lang w:val="en-US"/>
        </w:rPr>
        <w:lastRenderedPageBreak/>
        <w:t xml:space="preserve">It is important to consider the contribution of excipients from all the medicines that the patient is taking.  </w:t>
      </w:r>
    </w:p>
    <w:p w14:paraId="7257F9F3" w14:textId="77777777" w:rsidR="00B04E42" w:rsidRDefault="00000000" w:rsidP="00B04E42">
      <w:pPr>
        <w:pStyle w:val="Heading4"/>
        <w:numPr>
          <w:ilvl w:val="1"/>
          <w:numId w:val="2"/>
        </w:numPr>
        <w:tabs>
          <w:tab w:val="center" w:pos="4146"/>
        </w:tabs>
        <w:spacing w:after="240" w:line="360" w:lineRule="auto"/>
        <w:ind w:left="788" w:hanging="431"/>
        <w:rPr>
          <w:sz w:val="28"/>
          <w:szCs w:val="28"/>
        </w:rPr>
      </w:pPr>
      <w:r w:rsidRPr="004142F1">
        <w:rPr>
          <w:sz w:val="28"/>
          <w:szCs w:val="28"/>
        </w:rPr>
        <w:t xml:space="preserve">Interaction with other medicinal products and other forms of interaction  </w:t>
      </w:r>
    </w:p>
    <w:p w14:paraId="54965AC2" w14:textId="77777777" w:rsidR="00B04E42" w:rsidRDefault="00000000" w:rsidP="00B04E42">
      <w:pPr>
        <w:pStyle w:val="Heading4"/>
        <w:tabs>
          <w:tab w:val="center" w:pos="4146"/>
        </w:tabs>
        <w:spacing w:after="240" w:line="360" w:lineRule="auto"/>
        <w:ind w:left="794" w:firstLine="0"/>
        <w:jc w:val="thaiDistribute"/>
        <w:rPr>
          <w:b w:val="0"/>
          <w:bCs/>
          <w:sz w:val="28"/>
          <w:szCs w:val="28"/>
          <w:lang w:val="en-US"/>
        </w:rPr>
      </w:pPr>
      <w:r w:rsidRPr="00B04E42">
        <w:rPr>
          <w:b w:val="0"/>
          <w:bCs/>
          <w:sz w:val="28"/>
          <w:szCs w:val="28"/>
          <w:lang w:val="en-US"/>
        </w:rPr>
        <w:t xml:space="preserve">Dexamethasone, praziquantel and cimetidine may increase the plasma concentration of the active metabolite of albendazole, albendazole sulphoxide.  </w:t>
      </w:r>
    </w:p>
    <w:p w14:paraId="0EB3C9CE" w14:textId="41898A95" w:rsidR="00C05E4B" w:rsidRPr="00B04E42" w:rsidRDefault="00000000" w:rsidP="00B04E42">
      <w:pPr>
        <w:pStyle w:val="Heading4"/>
        <w:tabs>
          <w:tab w:val="center" w:pos="4146"/>
        </w:tabs>
        <w:spacing w:after="240" w:line="360" w:lineRule="auto"/>
        <w:ind w:left="794" w:firstLine="0"/>
        <w:rPr>
          <w:b w:val="0"/>
          <w:bCs/>
          <w:sz w:val="28"/>
          <w:szCs w:val="28"/>
        </w:rPr>
      </w:pPr>
      <w:r w:rsidRPr="00B04E42">
        <w:rPr>
          <w:b w:val="0"/>
          <w:bCs/>
          <w:sz w:val="28"/>
          <w:szCs w:val="28"/>
          <w:lang w:val="en-US"/>
        </w:rPr>
        <w:t xml:space="preserve">Ritonavir, phenytoin, carbamazepine and phenobarbital may have the potential to reduce plasma concentrations of the active metabolite of albendazole. The clinical relevance of this is unknown, but may result in decreased efficacy, especially in the treatment of systemic helminth infections. Patients should be monitored for efficacy and may require alternative dose regimens or therapies.  </w:t>
      </w:r>
    </w:p>
    <w:p w14:paraId="7F594BB6" w14:textId="77777777" w:rsidR="00B04E42" w:rsidRDefault="00000000" w:rsidP="00B04E42">
      <w:pPr>
        <w:pStyle w:val="ListParagraph"/>
        <w:numPr>
          <w:ilvl w:val="1"/>
          <w:numId w:val="2"/>
        </w:numPr>
        <w:tabs>
          <w:tab w:val="center" w:pos="2543"/>
        </w:tabs>
        <w:spacing w:after="240" w:line="259" w:lineRule="auto"/>
        <w:ind w:left="788" w:hanging="431"/>
        <w:contextualSpacing w:val="0"/>
        <w:rPr>
          <w:rFonts w:cs="Times New Roman"/>
          <w:sz w:val="28"/>
          <w:szCs w:val="28"/>
          <w:lang w:val="en-US"/>
        </w:rPr>
      </w:pPr>
      <w:r w:rsidRPr="00B04E42">
        <w:rPr>
          <w:rFonts w:cs="Times New Roman"/>
          <w:b/>
          <w:sz w:val="28"/>
          <w:szCs w:val="28"/>
          <w:lang w:val="en-US"/>
        </w:rPr>
        <w:t xml:space="preserve">Fertility, pregnancy and breastfeeding </w:t>
      </w:r>
      <w:r w:rsidRPr="00B04E42">
        <w:rPr>
          <w:rFonts w:cs="Times New Roman"/>
          <w:sz w:val="28"/>
          <w:szCs w:val="28"/>
          <w:lang w:val="en-US"/>
        </w:rPr>
        <w:t xml:space="preserve"> </w:t>
      </w:r>
    </w:p>
    <w:p w14:paraId="4A34DCAF" w14:textId="77777777" w:rsidR="00B04E42" w:rsidRDefault="00000000" w:rsidP="00B04E42">
      <w:pPr>
        <w:pStyle w:val="ListParagraph"/>
        <w:tabs>
          <w:tab w:val="center" w:pos="2543"/>
        </w:tabs>
        <w:spacing w:after="240" w:line="259" w:lineRule="auto"/>
        <w:ind w:left="794" w:firstLine="0"/>
        <w:contextualSpacing w:val="0"/>
        <w:rPr>
          <w:sz w:val="28"/>
          <w:szCs w:val="28"/>
          <w:u w:val="single"/>
          <w:lang w:val="en-US"/>
        </w:rPr>
      </w:pPr>
      <w:r w:rsidRPr="00B04E42">
        <w:rPr>
          <w:sz w:val="28"/>
          <w:szCs w:val="28"/>
          <w:u w:val="single"/>
        </w:rPr>
        <w:t xml:space="preserve">Women of childbearing potential  </w:t>
      </w:r>
    </w:p>
    <w:p w14:paraId="47094727" w14:textId="77777777" w:rsid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Pregnancy should be avoided in women treated with albendazole. Adequate contraceptive measures should be taken.  </w:t>
      </w:r>
    </w:p>
    <w:p w14:paraId="2EABEC62" w14:textId="77777777" w:rsid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 xml:space="preserve">Pregnancy  </w:t>
      </w:r>
    </w:p>
    <w:p w14:paraId="464AC2E6" w14:textId="77777777" w:rsid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There are no adequate and well-controlled studies of </w:t>
      </w:r>
      <w:r w:rsidRPr="004142F1">
        <w:rPr>
          <w:rFonts w:cs="Times New Roman"/>
          <w:color w:val="FF0000"/>
          <w:sz w:val="28"/>
          <w:szCs w:val="28"/>
          <w:lang w:val="en-US"/>
        </w:rPr>
        <w:t>&lt;Generic Name&gt;</w:t>
      </w:r>
      <w:r w:rsidRPr="004142F1">
        <w:rPr>
          <w:rFonts w:cs="Times New Roman"/>
          <w:sz w:val="28"/>
          <w:szCs w:val="28"/>
          <w:lang w:val="en-US"/>
        </w:rPr>
        <w:t xml:space="preserve"> administration in pregnant women. Animal studies have revealed evidence of teratogenicity in rats and rabbits (see section 5.3).  </w:t>
      </w:r>
    </w:p>
    <w:p w14:paraId="517114B5" w14:textId="77777777" w:rsid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lang w:val="en-US"/>
        </w:rPr>
      </w:pPr>
      <w:r w:rsidRPr="004142F1">
        <w:rPr>
          <w:rFonts w:cs="Times New Roman"/>
          <w:color w:val="FF0000"/>
          <w:sz w:val="28"/>
          <w:szCs w:val="28"/>
          <w:lang w:val="en-US"/>
        </w:rPr>
        <w:lastRenderedPageBreak/>
        <w:t>&lt;Generic Name&gt;</w:t>
      </w:r>
      <w:r w:rsidRPr="004142F1">
        <w:rPr>
          <w:rFonts w:cs="Times New Roman"/>
          <w:sz w:val="28"/>
          <w:szCs w:val="28"/>
          <w:lang w:val="en-US"/>
        </w:rPr>
        <w:t xml:space="preserve"> should be used in pregnant women only if there are no alternatives and the potential benefit justifies the potential risk to the fetus.  </w:t>
      </w:r>
    </w:p>
    <w:p w14:paraId="2EE8EDA0" w14:textId="77777777" w:rsid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 xml:space="preserve">Lactation  </w:t>
      </w:r>
    </w:p>
    <w:p w14:paraId="0244FE2A" w14:textId="77777777" w:rsid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Albendazole acts primarily in the intestinal system of the </w:t>
      </w:r>
      <w:proofErr w:type="gramStart"/>
      <w:r w:rsidRPr="004142F1">
        <w:rPr>
          <w:rFonts w:cs="Times New Roman"/>
          <w:sz w:val="28"/>
          <w:szCs w:val="28"/>
          <w:lang w:val="en-US"/>
        </w:rPr>
        <w:t>mother</w:t>
      </w:r>
      <w:proofErr w:type="gramEnd"/>
      <w:r w:rsidRPr="004142F1">
        <w:rPr>
          <w:rFonts w:cs="Times New Roman"/>
          <w:sz w:val="28"/>
          <w:szCs w:val="28"/>
          <w:lang w:val="en-US"/>
        </w:rPr>
        <w:t xml:space="preserve"> and little is absorbed systemically; therefore, it is compatible with breastfeeding.  </w:t>
      </w:r>
    </w:p>
    <w:p w14:paraId="7C330A90" w14:textId="77777777" w:rsidR="00B04E42" w:rsidRP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 xml:space="preserve">Fertility  </w:t>
      </w:r>
    </w:p>
    <w:p w14:paraId="3494D355" w14:textId="79F662A3" w:rsidR="00C05E4B" w:rsidRPr="00B04E42" w:rsidRDefault="00000000" w:rsidP="00B04E42">
      <w:pPr>
        <w:pStyle w:val="ListParagraph"/>
        <w:tabs>
          <w:tab w:val="center" w:pos="2543"/>
        </w:tabs>
        <w:spacing w:after="240" w:line="360" w:lineRule="auto"/>
        <w:ind w:left="794" w:firstLine="0"/>
        <w:contextualSpacing w:val="0"/>
        <w:jc w:val="thaiDistribute"/>
        <w:rPr>
          <w:rFonts w:cs="Times New Roman"/>
          <w:sz w:val="28"/>
          <w:szCs w:val="28"/>
          <w:u w:val="single"/>
          <w:lang w:val="en-US"/>
        </w:rPr>
      </w:pPr>
      <w:r w:rsidRPr="004142F1">
        <w:rPr>
          <w:rFonts w:cs="Times New Roman"/>
          <w:sz w:val="28"/>
          <w:szCs w:val="28"/>
          <w:lang w:val="en-US"/>
        </w:rPr>
        <w:t xml:space="preserve">There are no data on the effects of </w:t>
      </w:r>
      <w:r w:rsidRPr="004142F1">
        <w:rPr>
          <w:rFonts w:cs="Times New Roman"/>
          <w:color w:val="FF0000"/>
          <w:sz w:val="28"/>
          <w:szCs w:val="28"/>
          <w:lang w:val="en-US"/>
        </w:rPr>
        <w:t>&lt;Generic Name&gt;</w:t>
      </w:r>
      <w:r w:rsidRPr="004142F1">
        <w:rPr>
          <w:rFonts w:cs="Times New Roman"/>
          <w:sz w:val="28"/>
          <w:szCs w:val="28"/>
          <w:lang w:val="en-US"/>
        </w:rPr>
        <w:t xml:space="preserve"> on human male or female fertility.  Animal studies indicate no effects of albendazole on fertility (see section 5.3).  </w:t>
      </w:r>
    </w:p>
    <w:p w14:paraId="6A76B830" w14:textId="77777777" w:rsidR="00B04E42" w:rsidRDefault="00000000" w:rsidP="00B04E42">
      <w:pPr>
        <w:pStyle w:val="Heading4"/>
        <w:numPr>
          <w:ilvl w:val="1"/>
          <w:numId w:val="2"/>
        </w:numPr>
        <w:tabs>
          <w:tab w:val="center" w:pos="2773"/>
        </w:tabs>
        <w:spacing w:after="240"/>
        <w:ind w:left="788" w:hanging="431"/>
        <w:rPr>
          <w:sz w:val="28"/>
          <w:szCs w:val="28"/>
        </w:rPr>
      </w:pPr>
      <w:r w:rsidRPr="004142F1">
        <w:rPr>
          <w:sz w:val="28"/>
          <w:szCs w:val="28"/>
        </w:rPr>
        <w:t xml:space="preserve">Effects on ability to drive and use machines  </w:t>
      </w:r>
    </w:p>
    <w:p w14:paraId="51DA95BC" w14:textId="31BAE883" w:rsidR="00C05E4B" w:rsidRPr="00B04E42" w:rsidRDefault="00000000" w:rsidP="00B04E42">
      <w:pPr>
        <w:pStyle w:val="Heading4"/>
        <w:tabs>
          <w:tab w:val="center" w:pos="2773"/>
        </w:tabs>
        <w:spacing w:after="240" w:line="360" w:lineRule="auto"/>
        <w:ind w:left="794" w:firstLine="0"/>
        <w:jc w:val="thaiDistribute"/>
        <w:rPr>
          <w:b w:val="0"/>
          <w:bCs/>
          <w:sz w:val="28"/>
          <w:szCs w:val="28"/>
        </w:rPr>
      </w:pPr>
      <w:r w:rsidRPr="00B04E42">
        <w:rPr>
          <w:b w:val="0"/>
          <w:bCs/>
          <w:sz w:val="28"/>
          <w:szCs w:val="28"/>
          <w:lang w:val="en-US"/>
        </w:rPr>
        <w:t>Patients should be warned about the potential for dizziness (see sections 4.8) while taking albendazole and should be advised not to drive or operate machines if this occurs.</w:t>
      </w:r>
      <w:r w:rsidRPr="00B04E42">
        <w:rPr>
          <w:rFonts w:eastAsia="Calibri"/>
          <w:b w:val="0"/>
          <w:bCs/>
          <w:sz w:val="28"/>
          <w:szCs w:val="28"/>
          <w:lang w:val="en-US"/>
        </w:rPr>
        <w:t xml:space="preserve"> </w:t>
      </w:r>
      <w:r w:rsidRPr="00B04E42">
        <w:rPr>
          <w:b w:val="0"/>
          <w:bCs/>
          <w:sz w:val="28"/>
          <w:szCs w:val="28"/>
          <w:lang w:val="en-US"/>
        </w:rPr>
        <w:t xml:space="preserve"> </w:t>
      </w:r>
    </w:p>
    <w:p w14:paraId="01AC6833" w14:textId="77777777" w:rsidR="00B04E42" w:rsidRDefault="00000000" w:rsidP="00B04E42">
      <w:pPr>
        <w:pStyle w:val="Heading4"/>
        <w:numPr>
          <w:ilvl w:val="1"/>
          <w:numId w:val="2"/>
        </w:numPr>
        <w:tabs>
          <w:tab w:val="center" w:pos="1632"/>
        </w:tabs>
        <w:spacing w:after="240"/>
        <w:ind w:left="788" w:hanging="431"/>
        <w:rPr>
          <w:sz w:val="28"/>
          <w:szCs w:val="28"/>
        </w:rPr>
      </w:pPr>
      <w:r w:rsidRPr="004142F1">
        <w:rPr>
          <w:sz w:val="28"/>
          <w:szCs w:val="28"/>
        </w:rPr>
        <w:t xml:space="preserve">Undesirable effects  </w:t>
      </w:r>
    </w:p>
    <w:p w14:paraId="61C4C122" w14:textId="7336356C" w:rsidR="00C05E4B" w:rsidRPr="00B04E42" w:rsidRDefault="00000000" w:rsidP="00B04E42">
      <w:pPr>
        <w:pStyle w:val="Heading4"/>
        <w:tabs>
          <w:tab w:val="center" w:pos="1632"/>
        </w:tabs>
        <w:spacing w:after="240"/>
        <w:ind w:left="788" w:firstLine="0"/>
        <w:jc w:val="thaiDistribute"/>
        <w:rPr>
          <w:b w:val="0"/>
          <w:bCs/>
          <w:sz w:val="28"/>
          <w:szCs w:val="28"/>
        </w:rPr>
      </w:pPr>
      <w:r w:rsidRPr="00B04E42">
        <w:rPr>
          <w:b w:val="0"/>
          <w:bCs/>
          <w:sz w:val="28"/>
          <w:szCs w:val="28"/>
          <w:lang w:val="en-US"/>
        </w:rPr>
        <w:t xml:space="preserve">Data from clinical trials and post-marketing surveillance were used to estimate the frequency of adverse events linked to albendazole.   </w:t>
      </w:r>
    </w:p>
    <w:p w14:paraId="54321628" w14:textId="6DD7EB04" w:rsidR="00C05E4B" w:rsidRPr="00B04E42" w:rsidRDefault="00000000" w:rsidP="00B04E42">
      <w:pPr>
        <w:spacing w:after="0"/>
        <w:ind w:left="788" w:firstLine="0"/>
        <w:jc w:val="thaiDistribute"/>
        <w:rPr>
          <w:rFonts w:cs="Times New Roman"/>
          <w:bCs/>
          <w:sz w:val="28"/>
          <w:szCs w:val="28"/>
          <w:lang w:val="en-US"/>
        </w:rPr>
      </w:pPr>
      <w:r w:rsidRPr="00B04E42">
        <w:rPr>
          <w:rFonts w:cs="Times New Roman"/>
          <w:bCs/>
          <w:sz w:val="28"/>
          <w:szCs w:val="28"/>
          <w:lang w:val="en-US"/>
        </w:rPr>
        <w:t xml:space="preserve">The adverse reactions considered related to albendazole are listed below by body system, organ class and absolute frequency. Frequencies are defined as very common (≥1/10), common </w:t>
      </w:r>
      <w:r w:rsidR="00B04E42">
        <w:rPr>
          <w:rFonts w:cs="Times New Roman"/>
          <w:bCs/>
          <w:sz w:val="28"/>
          <w:szCs w:val="28"/>
          <w:lang w:val="en-US"/>
        </w:rPr>
        <w:t>(</w:t>
      </w:r>
      <w:r w:rsidR="00B04E42" w:rsidRPr="00B04E42">
        <w:rPr>
          <w:rFonts w:cs="Times New Roman"/>
          <w:bCs/>
          <w:sz w:val="28"/>
          <w:szCs w:val="28"/>
          <w:lang w:val="en-US"/>
        </w:rPr>
        <w:t>≥</w:t>
      </w:r>
      <w:r w:rsidRPr="00B04E42">
        <w:rPr>
          <w:rFonts w:cs="Times New Roman"/>
          <w:bCs/>
          <w:sz w:val="28"/>
          <w:szCs w:val="28"/>
          <w:lang w:val="en-US"/>
        </w:rPr>
        <w:t>1/100 to &lt;1/10), uncommon (</w:t>
      </w:r>
      <w:r w:rsidR="00B04E42" w:rsidRPr="00B04E42">
        <w:rPr>
          <w:rFonts w:cs="Times New Roman"/>
          <w:bCs/>
          <w:sz w:val="28"/>
          <w:szCs w:val="28"/>
          <w:lang w:val="en-US"/>
        </w:rPr>
        <w:t>≥</w:t>
      </w:r>
      <w:r w:rsidRPr="00B04E42">
        <w:rPr>
          <w:rFonts w:cs="Times New Roman"/>
          <w:bCs/>
          <w:sz w:val="28"/>
          <w:szCs w:val="28"/>
          <w:lang w:val="en-US"/>
        </w:rPr>
        <w:t>1/1000 to &lt;1/100), rare (</w:t>
      </w:r>
      <w:r w:rsidR="00B04E42" w:rsidRPr="00B04E42">
        <w:rPr>
          <w:rFonts w:eastAsia="Segoe UI Symbol" w:cs="Times New Roman"/>
          <w:bCs/>
          <w:sz w:val="28"/>
          <w:szCs w:val="28"/>
          <w:lang w:val="en-US"/>
        </w:rPr>
        <w:t>≥</w:t>
      </w:r>
      <w:r w:rsidRPr="00B04E42">
        <w:rPr>
          <w:rFonts w:cs="Times New Roman"/>
          <w:bCs/>
          <w:sz w:val="28"/>
          <w:szCs w:val="28"/>
          <w:lang w:val="en-US"/>
        </w:rPr>
        <w:t xml:space="preserve">1/10 000 to &lt;1/1000), and very rare (&lt; 1/10 000).  </w:t>
      </w:r>
    </w:p>
    <w:p w14:paraId="2088F073" w14:textId="77777777" w:rsidR="00C05E4B" w:rsidRPr="004142F1" w:rsidRDefault="00000000">
      <w:pPr>
        <w:spacing w:after="0" w:line="259" w:lineRule="auto"/>
        <w:ind w:left="14" w:firstLine="0"/>
        <w:rPr>
          <w:rFonts w:cs="Times New Roman"/>
          <w:sz w:val="28"/>
          <w:szCs w:val="28"/>
          <w:lang w:val="en-US"/>
        </w:rPr>
      </w:pPr>
      <w:r w:rsidRPr="004142F1">
        <w:rPr>
          <w:rFonts w:cs="Times New Roman"/>
          <w:sz w:val="28"/>
          <w:szCs w:val="28"/>
          <w:lang w:val="en-US"/>
        </w:rPr>
        <w:t xml:space="preserve">  </w:t>
      </w:r>
    </w:p>
    <w:p w14:paraId="104DC511" w14:textId="77777777" w:rsidR="00B04E42" w:rsidRDefault="00000000" w:rsidP="00B04E42">
      <w:pPr>
        <w:pStyle w:val="Heading2"/>
        <w:spacing w:after="251"/>
        <w:ind w:left="715" w:firstLine="73"/>
        <w:rPr>
          <w:i/>
          <w:iCs/>
          <w:sz w:val="28"/>
          <w:szCs w:val="28"/>
        </w:rPr>
      </w:pPr>
      <w:r w:rsidRPr="00B04E42">
        <w:rPr>
          <w:i/>
          <w:iCs/>
          <w:sz w:val="28"/>
          <w:szCs w:val="28"/>
        </w:rPr>
        <w:lastRenderedPageBreak/>
        <w:t xml:space="preserve">Short duration of treatment  </w:t>
      </w:r>
    </w:p>
    <w:p w14:paraId="492B4015" w14:textId="77777777" w:rsidR="00B04E42" w:rsidRPr="00B04E42" w:rsidRDefault="00000000" w:rsidP="00B04E42">
      <w:pPr>
        <w:pStyle w:val="Heading2"/>
        <w:spacing w:after="240"/>
        <w:ind w:left="714" w:firstLine="74"/>
        <w:rPr>
          <w:rFonts w:eastAsia="Calibri"/>
          <w:b w:val="0"/>
          <w:bCs/>
          <w:iCs/>
          <w:sz w:val="28"/>
          <w:szCs w:val="28"/>
          <w:u w:val="single"/>
          <w:lang w:val="en-US"/>
        </w:rPr>
      </w:pPr>
      <w:r w:rsidRPr="00B04E42">
        <w:rPr>
          <w:b w:val="0"/>
          <w:bCs/>
          <w:iCs/>
          <w:sz w:val="28"/>
          <w:szCs w:val="28"/>
          <w:u w:val="single"/>
          <w:lang w:val="en-US"/>
        </w:rPr>
        <w:t xml:space="preserve">Blood and the lymphatic system disorders  </w:t>
      </w:r>
      <w:r w:rsidRPr="00B04E42">
        <w:rPr>
          <w:rFonts w:eastAsia="Calibri"/>
          <w:b w:val="0"/>
          <w:bCs/>
          <w:iCs/>
          <w:sz w:val="28"/>
          <w:szCs w:val="28"/>
          <w:u w:val="single"/>
          <w:lang w:val="en-US"/>
        </w:rPr>
        <w:t xml:space="preserve"> </w:t>
      </w:r>
    </w:p>
    <w:p w14:paraId="032715A3" w14:textId="7DC6F222" w:rsidR="00B04E42" w:rsidRDefault="00B04E42" w:rsidP="00B04E42">
      <w:pPr>
        <w:pStyle w:val="Heading2"/>
        <w:spacing w:after="240"/>
        <w:ind w:left="714" w:firstLine="74"/>
        <w:rPr>
          <w:b w:val="0"/>
          <w:bCs/>
          <w:sz w:val="28"/>
          <w:szCs w:val="28"/>
          <w:lang w:val="en-US"/>
        </w:rPr>
      </w:pPr>
      <w:r w:rsidRPr="00B04E42">
        <w:rPr>
          <w:b w:val="0"/>
          <w:bCs/>
          <w:sz w:val="28"/>
          <w:szCs w:val="28"/>
          <w:lang w:val="en-US"/>
        </w:rPr>
        <w:t>Rare</w:t>
      </w:r>
      <w:r>
        <w:rPr>
          <w:b w:val="0"/>
          <w:bCs/>
          <w:sz w:val="28"/>
          <w:szCs w:val="28"/>
          <w:lang w:val="en-US"/>
        </w:rPr>
        <w:t xml:space="preserve">: </w:t>
      </w:r>
      <w:r w:rsidRPr="00B04E42">
        <w:rPr>
          <w:b w:val="0"/>
          <w:bCs/>
          <w:sz w:val="28"/>
          <w:szCs w:val="28"/>
          <w:lang w:val="en-US"/>
        </w:rPr>
        <w:t>Low</w:t>
      </w:r>
      <w:r w:rsidR="00000000" w:rsidRPr="00B04E42">
        <w:rPr>
          <w:b w:val="0"/>
          <w:bCs/>
          <w:sz w:val="28"/>
          <w:szCs w:val="28"/>
          <w:lang w:val="en-US"/>
        </w:rPr>
        <w:t xml:space="preserve"> red cell count  </w:t>
      </w:r>
    </w:p>
    <w:p w14:paraId="3B5EEC51" w14:textId="77777777" w:rsidR="00B04E42" w:rsidRDefault="00000000" w:rsidP="00B04E42">
      <w:pPr>
        <w:pStyle w:val="Heading2"/>
        <w:spacing w:after="240"/>
        <w:ind w:left="714" w:firstLine="74"/>
        <w:rPr>
          <w:b w:val="0"/>
          <w:bCs/>
          <w:iCs/>
          <w:sz w:val="28"/>
          <w:szCs w:val="28"/>
          <w:u w:val="single"/>
          <w:lang w:val="en-US"/>
        </w:rPr>
      </w:pPr>
      <w:r w:rsidRPr="00B04E42">
        <w:rPr>
          <w:b w:val="0"/>
          <w:bCs/>
          <w:iCs/>
          <w:sz w:val="28"/>
          <w:szCs w:val="28"/>
          <w:u w:val="single"/>
          <w:lang w:val="en-US"/>
        </w:rPr>
        <w:t xml:space="preserve">Immune system disorders  </w:t>
      </w:r>
    </w:p>
    <w:p w14:paraId="6767114E" w14:textId="4541683D" w:rsidR="00B04E42" w:rsidRDefault="00000000" w:rsidP="00B04E42">
      <w:pPr>
        <w:pStyle w:val="Heading2"/>
        <w:spacing w:after="240" w:line="360" w:lineRule="auto"/>
        <w:ind w:left="720" w:firstLine="68"/>
        <w:rPr>
          <w:b w:val="0"/>
          <w:bCs/>
          <w:sz w:val="28"/>
          <w:szCs w:val="28"/>
          <w:lang w:val="en-US"/>
        </w:rPr>
      </w:pPr>
      <w:r w:rsidRPr="00B04E42">
        <w:rPr>
          <w:b w:val="0"/>
          <w:bCs/>
          <w:sz w:val="28"/>
          <w:szCs w:val="28"/>
          <w:lang w:val="en-US"/>
        </w:rPr>
        <w:t>Rare</w:t>
      </w:r>
      <w:r w:rsidR="00B04E42">
        <w:rPr>
          <w:b w:val="0"/>
          <w:bCs/>
          <w:sz w:val="28"/>
          <w:szCs w:val="28"/>
          <w:lang w:val="en-US"/>
        </w:rPr>
        <w:t xml:space="preserve">: </w:t>
      </w:r>
      <w:r w:rsidRPr="00B04E42">
        <w:rPr>
          <w:b w:val="0"/>
          <w:bCs/>
          <w:sz w:val="28"/>
          <w:szCs w:val="28"/>
          <w:lang w:val="en-US"/>
        </w:rPr>
        <w:t>Hypersensitivity reactions including rash, pruritus and urticaria</w:t>
      </w:r>
    </w:p>
    <w:p w14:paraId="719C5D0F" w14:textId="77777777" w:rsidR="00B04E42" w:rsidRPr="00B04E42" w:rsidRDefault="00000000" w:rsidP="00B04E42">
      <w:pPr>
        <w:pStyle w:val="Heading2"/>
        <w:spacing w:after="240"/>
        <w:ind w:left="714" w:firstLine="74"/>
        <w:rPr>
          <w:b w:val="0"/>
          <w:bCs/>
          <w:iCs/>
          <w:sz w:val="28"/>
          <w:szCs w:val="28"/>
          <w:u w:val="single"/>
          <w:lang w:val="en-US"/>
        </w:rPr>
      </w:pPr>
      <w:r w:rsidRPr="00B04E42">
        <w:rPr>
          <w:b w:val="0"/>
          <w:bCs/>
          <w:iCs/>
          <w:sz w:val="28"/>
          <w:szCs w:val="28"/>
          <w:u w:val="single"/>
          <w:lang w:val="en-US"/>
        </w:rPr>
        <w:t>Nervous system disorders</w:t>
      </w:r>
    </w:p>
    <w:p w14:paraId="6DDEDBC9" w14:textId="7C938C88" w:rsidR="00B04E42" w:rsidRPr="00B04E42" w:rsidRDefault="00000000" w:rsidP="00B04E42">
      <w:pPr>
        <w:pStyle w:val="Heading2"/>
        <w:spacing w:after="240"/>
        <w:ind w:left="714" w:firstLine="74"/>
        <w:rPr>
          <w:b w:val="0"/>
          <w:bCs/>
          <w:sz w:val="28"/>
          <w:szCs w:val="28"/>
          <w:lang w:val="en-US"/>
        </w:rPr>
      </w:pPr>
      <w:r w:rsidRPr="00B04E42">
        <w:rPr>
          <w:b w:val="0"/>
          <w:bCs/>
          <w:sz w:val="28"/>
          <w:szCs w:val="28"/>
          <w:lang w:val="en-US"/>
        </w:rPr>
        <w:t>Uncommon</w:t>
      </w:r>
      <w:r w:rsidR="00B04E42">
        <w:rPr>
          <w:b w:val="0"/>
          <w:bCs/>
          <w:sz w:val="28"/>
          <w:szCs w:val="28"/>
          <w:lang w:val="en-US"/>
        </w:rPr>
        <w:t xml:space="preserve">: </w:t>
      </w:r>
      <w:r w:rsidRPr="00B04E42">
        <w:rPr>
          <w:b w:val="0"/>
          <w:bCs/>
          <w:sz w:val="28"/>
          <w:szCs w:val="28"/>
          <w:lang w:val="en-US"/>
        </w:rPr>
        <w:t xml:space="preserve">Headache, dizziness  </w:t>
      </w:r>
    </w:p>
    <w:p w14:paraId="20C23CD3" w14:textId="77777777" w:rsidR="00B04E42" w:rsidRDefault="00000000" w:rsidP="00B04E42">
      <w:pPr>
        <w:pStyle w:val="Heading2"/>
        <w:spacing w:after="240"/>
        <w:ind w:left="714" w:firstLine="74"/>
        <w:rPr>
          <w:b w:val="0"/>
          <w:bCs/>
          <w:sz w:val="28"/>
          <w:szCs w:val="28"/>
          <w:u w:val="single"/>
        </w:rPr>
      </w:pPr>
      <w:r w:rsidRPr="00B04E42">
        <w:rPr>
          <w:b w:val="0"/>
          <w:bCs/>
          <w:sz w:val="28"/>
          <w:szCs w:val="28"/>
          <w:u w:val="single"/>
        </w:rPr>
        <w:t xml:space="preserve">Gastrointestinal disorders  </w:t>
      </w:r>
    </w:p>
    <w:p w14:paraId="3701223F" w14:textId="35AF4A4D" w:rsidR="00B04E42" w:rsidRPr="00B04E42" w:rsidRDefault="00000000" w:rsidP="00B04E42">
      <w:pPr>
        <w:pStyle w:val="Heading2"/>
        <w:spacing w:after="0" w:line="360" w:lineRule="auto"/>
        <w:ind w:left="714" w:firstLine="74"/>
        <w:rPr>
          <w:b w:val="0"/>
          <w:bCs/>
          <w:sz w:val="28"/>
          <w:szCs w:val="28"/>
          <w:u w:val="single"/>
        </w:rPr>
      </w:pPr>
      <w:r w:rsidRPr="00B04E42">
        <w:rPr>
          <w:b w:val="0"/>
          <w:bCs/>
          <w:sz w:val="28"/>
          <w:szCs w:val="28"/>
          <w:lang w:val="en-US"/>
        </w:rPr>
        <w:t>Common</w:t>
      </w:r>
      <w:r w:rsidR="00B04E42">
        <w:rPr>
          <w:b w:val="0"/>
          <w:bCs/>
          <w:sz w:val="28"/>
          <w:szCs w:val="28"/>
          <w:lang w:val="en-US"/>
        </w:rPr>
        <w:t xml:space="preserve">: </w:t>
      </w:r>
      <w:r w:rsidRPr="00B04E42">
        <w:rPr>
          <w:b w:val="0"/>
          <w:bCs/>
          <w:sz w:val="28"/>
          <w:szCs w:val="28"/>
          <w:lang w:val="en-US"/>
        </w:rPr>
        <w:t>Upper gastrointestinal symptoms (e.g. epigastric or</w:t>
      </w:r>
      <w:r w:rsidR="00B04E42">
        <w:rPr>
          <w:b w:val="0"/>
          <w:bCs/>
          <w:sz w:val="28"/>
          <w:szCs w:val="28"/>
          <w:lang w:val="en-US"/>
        </w:rPr>
        <w:t xml:space="preserve">   </w:t>
      </w:r>
      <w:r w:rsidRPr="00B04E42">
        <w:rPr>
          <w:b w:val="0"/>
          <w:bCs/>
          <w:sz w:val="28"/>
          <w:szCs w:val="28"/>
          <w:lang w:val="en-US"/>
        </w:rPr>
        <w:t xml:space="preserve">abdominal pain, nausea, vomiting) </w:t>
      </w:r>
    </w:p>
    <w:p w14:paraId="212E8D16" w14:textId="77777777" w:rsidR="00B04E42" w:rsidRDefault="00000000" w:rsidP="00B04E42">
      <w:pPr>
        <w:pStyle w:val="Heading2"/>
        <w:spacing w:after="240" w:line="360" w:lineRule="auto"/>
        <w:ind w:left="714" w:firstLine="74"/>
        <w:rPr>
          <w:b w:val="0"/>
          <w:bCs/>
          <w:sz w:val="28"/>
          <w:szCs w:val="28"/>
          <w:lang w:val="en-US"/>
        </w:rPr>
      </w:pPr>
      <w:r w:rsidRPr="00B04E42">
        <w:rPr>
          <w:b w:val="0"/>
          <w:bCs/>
          <w:sz w:val="28"/>
          <w:szCs w:val="28"/>
          <w:lang w:val="en-US"/>
        </w:rPr>
        <w:t>Uncommon</w:t>
      </w:r>
      <w:r w:rsidR="00B04E42">
        <w:rPr>
          <w:b w:val="0"/>
          <w:bCs/>
          <w:sz w:val="28"/>
          <w:szCs w:val="28"/>
          <w:lang w:val="en-US"/>
        </w:rPr>
        <w:t xml:space="preserve">: </w:t>
      </w:r>
      <w:r w:rsidR="00B04E42" w:rsidRPr="00B04E42">
        <w:rPr>
          <w:b w:val="0"/>
          <w:bCs/>
          <w:sz w:val="28"/>
          <w:szCs w:val="28"/>
          <w:lang w:val="en-US"/>
        </w:rPr>
        <w:t>Diarrhea</w:t>
      </w:r>
      <w:r w:rsidRPr="00B04E42">
        <w:rPr>
          <w:b w:val="0"/>
          <w:bCs/>
          <w:sz w:val="28"/>
          <w:szCs w:val="28"/>
          <w:lang w:val="en-US"/>
        </w:rPr>
        <w:t xml:space="preserve">  </w:t>
      </w:r>
    </w:p>
    <w:p w14:paraId="69334BEB" w14:textId="77777777" w:rsidR="00B04E42" w:rsidRDefault="00000000" w:rsidP="00B04E42">
      <w:pPr>
        <w:pStyle w:val="Heading2"/>
        <w:spacing w:after="251" w:line="360" w:lineRule="auto"/>
        <w:ind w:left="715" w:firstLine="73"/>
        <w:rPr>
          <w:b w:val="0"/>
          <w:bCs/>
          <w:iCs/>
          <w:sz w:val="28"/>
          <w:szCs w:val="28"/>
          <w:u w:val="single"/>
          <w:lang w:val="en-US"/>
        </w:rPr>
      </w:pPr>
      <w:r w:rsidRPr="00B04E42">
        <w:rPr>
          <w:b w:val="0"/>
          <w:bCs/>
          <w:iCs/>
          <w:sz w:val="28"/>
          <w:szCs w:val="28"/>
          <w:u w:val="single"/>
          <w:lang w:val="en-US"/>
        </w:rPr>
        <w:t xml:space="preserve">Hepatobiliary disorders  </w:t>
      </w:r>
    </w:p>
    <w:p w14:paraId="32BEF762" w14:textId="77777777" w:rsidR="00B04E42" w:rsidRDefault="00000000" w:rsidP="00B04E42">
      <w:pPr>
        <w:pStyle w:val="Heading2"/>
        <w:spacing w:after="251" w:line="360" w:lineRule="auto"/>
        <w:ind w:left="715" w:firstLine="73"/>
        <w:rPr>
          <w:b w:val="0"/>
          <w:bCs/>
          <w:sz w:val="28"/>
          <w:szCs w:val="28"/>
          <w:lang w:val="en-US"/>
        </w:rPr>
      </w:pPr>
      <w:r w:rsidRPr="00B04E42">
        <w:rPr>
          <w:b w:val="0"/>
          <w:bCs/>
          <w:sz w:val="28"/>
          <w:szCs w:val="28"/>
          <w:lang w:val="en-US"/>
        </w:rPr>
        <w:t>Rare</w:t>
      </w:r>
      <w:r w:rsidR="00B04E42" w:rsidRPr="00B04E42">
        <w:rPr>
          <w:b w:val="0"/>
          <w:bCs/>
          <w:sz w:val="28"/>
          <w:szCs w:val="28"/>
          <w:lang w:val="en-US"/>
        </w:rPr>
        <w:t xml:space="preserve">: </w:t>
      </w:r>
      <w:r w:rsidRPr="00B04E42">
        <w:rPr>
          <w:b w:val="0"/>
          <w:bCs/>
          <w:sz w:val="28"/>
          <w:szCs w:val="28"/>
          <w:lang w:val="en-US"/>
        </w:rPr>
        <w:t xml:space="preserve">Elevations of hepatic enzymes  </w:t>
      </w:r>
    </w:p>
    <w:p w14:paraId="26509834" w14:textId="77777777" w:rsidR="00B04E42" w:rsidRDefault="00000000" w:rsidP="00B04E42">
      <w:pPr>
        <w:pStyle w:val="Heading2"/>
        <w:spacing w:after="251" w:line="360" w:lineRule="auto"/>
        <w:ind w:left="715" w:firstLine="73"/>
        <w:rPr>
          <w:b w:val="0"/>
          <w:bCs/>
          <w:sz w:val="28"/>
          <w:szCs w:val="28"/>
          <w:u w:val="single"/>
        </w:rPr>
      </w:pPr>
      <w:r w:rsidRPr="00B04E42">
        <w:rPr>
          <w:b w:val="0"/>
          <w:bCs/>
          <w:sz w:val="28"/>
          <w:szCs w:val="28"/>
          <w:u w:val="single"/>
        </w:rPr>
        <w:t xml:space="preserve">Skin and subcutaneous tissue disorders  </w:t>
      </w:r>
    </w:p>
    <w:p w14:paraId="2271C3C2" w14:textId="4A64A3DA" w:rsidR="00B04E42" w:rsidRPr="00B04E42" w:rsidRDefault="00000000" w:rsidP="00B04E42">
      <w:pPr>
        <w:pStyle w:val="Heading2"/>
        <w:spacing w:after="0" w:line="360" w:lineRule="auto"/>
        <w:ind w:left="714" w:firstLine="74"/>
        <w:rPr>
          <w:b w:val="0"/>
          <w:bCs/>
          <w:sz w:val="28"/>
          <w:szCs w:val="28"/>
          <w:lang w:val="en-US"/>
        </w:rPr>
      </w:pPr>
      <w:r w:rsidRPr="00B04E42">
        <w:rPr>
          <w:b w:val="0"/>
          <w:bCs/>
          <w:sz w:val="28"/>
          <w:szCs w:val="28"/>
          <w:lang w:val="en-US"/>
        </w:rPr>
        <w:t>Uncommon</w:t>
      </w:r>
      <w:r w:rsidR="00B04E42" w:rsidRPr="00B04E42">
        <w:rPr>
          <w:b w:val="0"/>
          <w:bCs/>
          <w:sz w:val="28"/>
          <w:szCs w:val="28"/>
          <w:lang w:val="en-US"/>
        </w:rPr>
        <w:t xml:space="preserve">: </w:t>
      </w:r>
      <w:r w:rsidRPr="00B04E42">
        <w:rPr>
          <w:b w:val="0"/>
          <w:bCs/>
          <w:sz w:val="28"/>
          <w:szCs w:val="28"/>
          <w:lang w:val="en-US"/>
        </w:rPr>
        <w:t xml:space="preserve">Itchiness, skin rashes  </w:t>
      </w:r>
    </w:p>
    <w:p w14:paraId="20B193AE" w14:textId="77777777" w:rsidR="00B04E42" w:rsidRDefault="00000000" w:rsidP="00B04E42">
      <w:pPr>
        <w:pStyle w:val="Heading2"/>
        <w:spacing w:after="240" w:line="360" w:lineRule="auto"/>
        <w:ind w:left="714" w:firstLine="74"/>
        <w:rPr>
          <w:b w:val="0"/>
          <w:bCs/>
          <w:sz w:val="28"/>
          <w:szCs w:val="28"/>
          <w:lang w:val="en-US"/>
        </w:rPr>
      </w:pPr>
      <w:r w:rsidRPr="00B04E42">
        <w:rPr>
          <w:b w:val="0"/>
          <w:bCs/>
          <w:sz w:val="28"/>
          <w:szCs w:val="28"/>
          <w:lang w:val="en-US"/>
        </w:rPr>
        <w:t>Very rare</w:t>
      </w:r>
      <w:r w:rsidR="00B04E42" w:rsidRPr="00B04E42">
        <w:rPr>
          <w:b w:val="0"/>
          <w:bCs/>
          <w:sz w:val="28"/>
          <w:szCs w:val="28"/>
          <w:lang w:val="en-US"/>
        </w:rPr>
        <w:t xml:space="preserve">: </w:t>
      </w:r>
      <w:r w:rsidRPr="00B04E42">
        <w:rPr>
          <w:b w:val="0"/>
          <w:bCs/>
          <w:sz w:val="28"/>
          <w:szCs w:val="28"/>
          <w:lang w:val="en-US"/>
        </w:rPr>
        <w:t>Erythema multiforme, Stevens-Johnson syndrome</w:t>
      </w:r>
    </w:p>
    <w:p w14:paraId="012F044A" w14:textId="77777777" w:rsidR="00B04E42" w:rsidRPr="00B04E42" w:rsidRDefault="00000000" w:rsidP="00B04E42">
      <w:pPr>
        <w:pStyle w:val="Heading2"/>
        <w:spacing w:after="240" w:line="360" w:lineRule="auto"/>
        <w:ind w:left="714" w:firstLine="74"/>
        <w:rPr>
          <w:b w:val="0"/>
          <w:bCs/>
          <w:iCs/>
          <w:sz w:val="28"/>
          <w:szCs w:val="28"/>
          <w:u w:val="single"/>
          <w:lang w:val="en-US"/>
        </w:rPr>
      </w:pPr>
      <w:r w:rsidRPr="00B04E42">
        <w:rPr>
          <w:b w:val="0"/>
          <w:bCs/>
          <w:iCs/>
          <w:sz w:val="28"/>
          <w:szCs w:val="28"/>
          <w:u w:val="single"/>
          <w:lang w:val="en-US"/>
        </w:rPr>
        <w:t xml:space="preserve">Musculoskeletal and connective tissue disorders  </w:t>
      </w:r>
    </w:p>
    <w:p w14:paraId="2A01473F" w14:textId="77777777" w:rsidR="00B04E42" w:rsidRDefault="00000000" w:rsidP="00B04E42">
      <w:pPr>
        <w:pStyle w:val="Heading2"/>
        <w:spacing w:after="240" w:line="360" w:lineRule="auto"/>
        <w:ind w:left="714" w:firstLine="74"/>
        <w:rPr>
          <w:b w:val="0"/>
          <w:bCs/>
          <w:sz w:val="28"/>
          <w:szCs w:val="28"/>
          <w:lang w:val="en-US"/>
        </w:rPr>
      </w:pPr>
      <w:r w:rsidRPr="00B04E42">
        <w:rPr>
          <w:b w:val="0"/>
          <w:bCs/>
          <w:sz w:val="28"/>
          <w:szCs w:val="28"/>
          <w:lang w:val="en-US"/>
        </w:rPr>
        <w:t>Rare</w:t>
      </w:r>
      <w:r w:rsidR="00B04E42" w:rsidRPr="00B04E42">
        <w:rPr>
          <w:b w:val="0"/>
          <w:bCs/>
          <w:sz w:val="28"/>
          <w:szCs w:val="28"/>
          <w:lang w:val="en-US"/>
        </w:rPr>
        <w:t xml:space="preserve">: </w:t>
      </w:r>
      <w:r w:rsidRPr="00B04E42">
        <w:rPr>
          <w:b w:val="0"/>
          <w:bCs/>
          <w:sz w:val="28"/>
          <w:szCs w:val="28"/>
          <w:lang w:val="en-US"/>
        </w:rPr>
        <w:t xml:space="preserve">Bone pain </w:t>
      </w:r>
    </w:p>
    <w:p w14:paraId="6F98C1A5" w14:textId="77777777" w:rsidR="00B04E42" w:rsidRDefault="00B04E42">
      <w:pPr>
        <w:spacing w:after="160" w:line="278" w:lineRule="auto"/>
        <w:ind w:left="0" w:firstLine="0"/>
        <w:rPr>
          <w:rFonts w:cs="Times New Roman"/>
          <w:bCs/>
          <w:iCs/>
          <w:sz w:val="28"/>
          <w:szCs w:val="28"/>
          <w:u w:val="single"/>
          <w:lang w:val="en-US" w:eastAsia="en-US"/>
        </w:rPr>
      </w:pPr>
      <w:r>
        <w:rPr>
          <w:b/>
          <w:bCs/>
          <w:iCs/>
          <w:sz w:val="28"/>
          <w:szCs w:val="28"/>
          <w:u w:val="single"/>
          <w:lang w:val="en-US"/>
        </w:rPr>
        <w:br w:type="page"/>
      </w:r>
    </w:p>
    <w:p w14:paraId="7F15DADB" w14:textId="77777777" w:rsidR="00B04E42" w:rsidRDefault="00000000" w:rsidP="00B04E42">
      <w:pPr>
        <w:pStyle w:val="Heading2"/>
        <w:spacing w:after="240" w:line="360" w:lineRule="auto"/>
        <w:ind w:left="714" w:firstLine="74"/>
        <w:rPr>
          <w:b w:val="0"/>
          <w:bCs/>
          <w:iCs/>
          <w:sz w:val="28"/>
          <w:szCs w:val="28"/>
          <w:u w:val="single"/>
          <w:lang w:val="en-US"/>
        </w:rPr>
      </w:pPr>
      <w:r w:rsidRPr="00B04E42">
        <w:rPr>
          <w:b w:val="0"/>
          <w:bCs/>
          <w:iCs/>
          <w:sz w:val="28"/>
          <w:szCs w:val="28"/>
          <w:u w:val="single"/>
          <w:lang w:val="en-US"/>
        </w:rPr>
        <w:lastRenderedPageBreak/>
        <w:t>Renal and urinary disorders</w:t>
      </w:r>
    </w:p>
    <w:p w14:paraId="090F74CC" w14:textId="77777777" w:rsidR="00B04E42" w:rsidRDefault="00000000" w:rsidP="00B04E42">
      <w:pPr>
        <w:pStyle w:val="Heading2"/>
        <w:spacing w:after="240" w:line="360" w:lineRule="auto"/>
        <w:ind w:left="714" w:firstLine="74"/>
        <w:rPr>
          <w:b w:val="0"/>
          <w:bCs/>
          <w:sz w:val="28"/>
          <w:szCs w:val="28"/>
          <w:lang w:val="en-US"/>
        </w:rPr>
      </w:pPr>
      <w:r w:rsidRPr="00B04E42">
        <w:rPr>
          <w:b w:val="0"/>
          <w:bCs/>
          <w:sz w:val="28"/>
          <w:szCs w:val="28"/>
          <w:lang w:val="en-US"/>
        </w:rPr>
        <w:t>Rare</w:t>
      </w:r>
      <w:r w:rsidR="00B04E42">
        <w:rPr>
          <w:b w:val="0"/>
          <w:bCs/>
          <w:sz w:val="28"/>
          <w:szCs w:val="28"/>
          <w:lang w:val="en-US"/>
        </w:rPr>
        <w:t xml:space="preserve">: </w:t>
      </w:r>
      <w:r w:rsidRPr="00B04E42">
        <w:rPr>
          <w:b w:val="0"/>
          <w:bCs/>
          <w:sz w:val="28"/>
          <w:szCs w:val="28"/>
          <w:lang w:val="en-US"/>
        </w:rPr>
        <w:t xml:space="preserve">Proteinuria  </w:t>
      </w:r>
    </w:p>
    <w:p w14:paraId="397F279D" w14:textId="77777777" w:rsidR="00B04E42" w:rsidRDefault="00000000" w:rsidP="00B04E42">
      <w:pPr>
        <w:pStyle w:val="Heading2"/>
        <w:spacing w:after="240" w:line="360" w:lineRule="auto"/>
        <w:ind w:left="714" w:firstLine="74"/>
        <w:rPr>
          <w:i/>
          <w:iCs/>
          <w:sz w:val="28"/>
          <w:szCs w:val="28"/>
        </w:rPr>
      </w:pPr>
      <w:r w:rsidRPr="00B04E42">
        <w:rPr>
          <w:i/>
          <w:iCs/>
          <w:sz w:val="28"/>
          <w:szCs w:val="28"/>
        </w:rPr>
        <w:t xml:space="preserve">Longer duration of treatment  </w:t>
      </w:r>
    </w:p>
    <w:p w14:paraId="6580FC36" w14:textId="77777777" w:rsidR="00B04E42" w:rsidRDefault="00000000" w:rsidP="00B04E42">
      <w:pPr>
        <w:pStyle w:val="Heading2"/>
        <w:spacing w:after="240" w:line="360" w:lineRule="auto"/>
        <w:ind w:left="714" w:firstLine="74"/>
        <w:rPr>
          <w:b w:val="0"/>
          <w:bCs/>
          <w:sz w:val="28"/>
          <w:szCs w:val="28"/>
          <w:u w:val="single"/>
        </w:rPr>
      </w:pPr>
      <w:r w:rsidRPr="00B04E42">
        <w:rPr>
          <w:b w:val="0"/>
          <w:bCs/>
          <w:sz w:val="28"/>
          <w:szCs w:val="28"/>
          <w:u w:val="single"/>
        </w:rPr>
        <w:t>Blood and the lymphatic system disorders</w:t>
      </w:r>
    </w:p>
    <w:p w14:paraId="4AAA0D35" w14:textId="24AB781A" w:rsidR="00B04E42" w:rsidRPr="00B04E42" w:rsidRDefault="00000000" w:rsidP="00B04E42">
      <w:pPr>
        <w:pStyle w:val="Heading2"/>
        <w:spacing w:after="0" w:line="360" w:lineRule="auto"/>
        <w:ind w:left="714" w:firstLine="74"/>
        <w:rPr>
          <w:b w:val="0"/>
          <w:bCs/>
          <w:sz w:val="28"/>
          <w:szCs w:val="28"/>
          <w:lang w:val="en-US"/>
        </w:rPr>
      </w:pPr>
      <w:r w:rsidRPr="00B04E42">
        <w:rPr>
          <w:b w:val="0"/>
          <w:bCs/>
          <w:sz w:val="28"/>
          <w:szCs w:val="28"/>
          <w:lang w:val="en-US"/>
        </w:rPr>
        <w:t>Uncommon</w:t>
      </w:r>
      <w:r w:rsidR="00B04E42" w:rsidRPr="00B04E42">
        <w:rPr>
          <w:b w:val="0"/>
          <w:bCs/>
          <w:sz w:val="28"/>
          <w:szCs w:val="28"/>
          <w:lang w:val="en-US"/>
        </w:rPr>
        <w:t xml:space="preserve">: </w:t>
      </w:r>
      <w:r w:rsidRPr="00B04E42">
        <w:rPr>
          <w:b w:val="0"/>
          <w:bCs/>
          <w:sz w:val="28"/>
          <w:szCs w:val="28"/>
          <w:lang w:val="en-US"/>
        </w:rPr>
        <w:t>Leucopenia</w:t>
      </w:r>
    </w:p>
    <w:p w14:paraId="3C06B120" w14:textId="34119ACC" w:rsidR="00B04E42" w:rsidRPr="00B04E42" w:rsidRDefault="00000000" w:rsidP="00B04E42">
      <w:pPr>
        <w:pStyle w:val="Heading2"/>
        <w:spacing w:after="0" w:line="360" w:lineRule="auto"/>
        <w:ind w:left="714" w:firstLine="74"/>
        <w:rPr>
          <w:b w:val="0"/>
          <w:bCs/>
          <w:sz w:val="28"/>
          <w:szCs w:val="28"/>
          <w:lang w:val="en-US"/>
        </w:rPr>
      </w:pPr>
      <w:r w:rsidRPr="00B04E42">
        <w:rPr>
          <w:b w:val="0"/>
          <w:bCs/>
          <w:sz w:val="28"/>
          <w:szCs w:val="28"/>
          <w:lang w:val="en-US"/>
        </w:rPr>
        <w:t>Rare</w:t>
      </w:r>
      <w:r w:rsidR="00B04E42" w:rsidRPr="00B04E42">
        <w:rPr>
          <w:b w:val="0"/>
          <w:bCs/>
          <w:sz w:val="28"/>
          <w:szCs w:val="28"/>
          <w:lang w:val="en-US"/>
        </w:rPr>
        <w:t xml:space="preserve">: </w:t>
      </w:r>
      <w:r w:rsidRPr="00B04E42">
        <w:rPr>
          <w:b w:val="0"/>
          <w:bCs/>
          <w:sz w:val="28"/>
          <w:szCs w:val="28"/>
          <w:lang w:val="en-US"/>
        </w:rPr>
        <w:t>Low red cell count</w:t>
      </w:r>
    </w:p>
    <w:p w14:paraId="0EB97E97" w14:textId="77777777" w:rsidR="00B04E42" w:rsidRDefault="00000000" w:rsidP="00B04E42">
      <w:pPr>
        <w:pStyle w:val="Heading2"/>
        <w:spacing w:after="240" w:line="360" w:lineRule="auto"/>
        <w:ind w:left="714" w:firstLine="74"/>
        <w:rPr>
          <w:b w:val="0"/>
          <w:bCs/>
          <w:sz w:val="28"/>
          <w:szCs w:val="28"/>
          <w:lang w:val="en-US"/>
        </w:rPr>
      </w:pPr>
      <w:r w:rsidRPr="00B04E42">
        <w:rPr>
          <w:b w:val="0"/>
          <w:bCs/>
          <w:sz w:val="28"/>
          <w:szCs w:val="28"/>
          <w:lang w:val="en-US"/>
        </w:rPr>
        <w:t>Very rare</w:t>
      </w:r>
      <w:r w:rsidR="00B04E42" w:rsidRPr="00B04E42">
        <w:rPr>
          <w:b w:val="0"/>
          <w:bCs/>
          <w:sz w:val="28"/>
          <w:szCs w:val="28"/>
          <w:lang w:val="en-US"/>
        </w:rPr>
        <w:t xml:space="preserve">: </w:t>
      </w:r>
      <w:r w:rsidRPr="00B04E42">
        <w:rPr>
          <w:b w:val="0"/>
          <w:bCs/>
          <w:sz w:val="28"/>
          <w:szCs w:val="28"/>
          <w:lang w:val="en-US"/>
        </w:rPr>
        <w:t xml:space="preserve">Pancytopenia, aplastic anaemia, agranulocytosis  </w:t>
      </w:r>
    </w:p>
    <w:p w14:paraId="296FB613" w14:textId="77777777" w:rsidR="00B04E42" w:rsidRDefault="00000000" w:rsidP="00B04E42">
      <w:pPr>
        <w:pStyle w:val="Heading2"/>
        <w:spacing w:after="240" w:line="360" w:lineRule="auto"/>
        <w:ind w:left="714" w:firstLine="74"/>
        <w:rPr>
          <w:b w:val="0"/>
          <w:bCs/>
          <w:iCs/>
          <w:sz w:val="28"/>
          <w:szCs w:val="28"/>
          <w:u w:val="single"/>
          <w:lang w:val="en-US"/>
        </w:rPr>
      </w:pPr>
      <w:r w:rsidRPr="00B04E42">
        <w:rPr>
          <w:b w:val="0"/>
          <w:bCs/>
          <w:iCs/>
          <w:sz w:val="28"/>
          <w:szCs w:val="28"/>
          <w:u w:val="single"/>
          <w:lang w:val="en-US"/>
        </w:rPr>
        <w:t>Immune system disorders</w:t>
      </w:r>
    </w:p>
    <w:p w14:paraId="16823500" w14:textId="77777777" w:rsidR="00B04E42" w:rsidRDefault="00000000" w:rsidP="00B04E42">
      <w:pPr>
        <w:pStyle w:val="Heading2"/>
        <w:spacing w:after="240" w:line="360" w:lineRule="auto"/>
        <w:ind w:left="714" w:firstLine="74"/>
        <w:rPr>
          <w:b w:val="0"/>
          <w:bCs/>
          <w:sz w:val="28"/>
          <w:szCs w:val="28"/>
          <w:lang w:val="en-US"/>
        </w:rPr>
      </w:pPr>
      <w:r w:rsidRPr="00B04E42">
        <w:rPr>
          <w:b w:val="0"/>
          <w:bCs/>
          <w:sz w:val="28"/>
          <w:szCs w:val="28"/>
          <w:lang w:val="en-US"/>
        </w:rPr>
        <w:t>Uncommon</w:t>
      </w:r>
      <w:r w:rsidR="00B04E42">
        <w:rPr>
          <w:b w:val="0"/>
          <w:bCs/>
          <w:sz w:val="28"/>
          <w:szCs w:val="28"/>
          <w:lang w:val="en-US"/>
        </w:rPr>
        <w:t xml:space="preserve">: </w:t>
      </w:r>
      <w:r w:rsidRPr="00B04E42">
        <w:rPr>
          <w:b w:val="0"/>
          <w:bCs/>
          <w:sz w:val="28"/>
          <w:szCs w:val="28"/>
          <w:lang w:val="en-US"/>
        </w:rPr>
        <w:t xml:space="preserve">Hypersensitivity reactions including rash, pruritus and urticaria  </w:t>
      </w:r>
    </w:p>
    <w:p w14:paraId="58932973" w14:textId="77777777" w:rsidR="00B04E42" w:rsidRDefault="00000000" w:rsidP="00B04E42">
      <w:pPr>
        <w:pStyle w:val="Heading2"/>
        <w:spacing w:after="240" w:line="360" w:lineRule="auto"/>
        <w:ind w:left="714" w:firstLine="74"/>
        <w:rPr>
          <w:b w:val="0"/>
          <w:bCs/>
          <w:sz w:val="28"/>
          <w:szCs w:val="28"/>
          <w:u w:val="single"/>
        </w:rPr>
      </w:pPr>
      <w:r w:rsidRPr="00B04E42">
        <w:rPr>
          <w:b w:val="0"/>
          <w:bCs/>
          <w:sz w:val="28"/>
          <w:szCs w:val="28"/>
          <w:u w:val="single"/>
        </w:rPr>
        <w:t>Nervous system disorders</w:t>
      </w:r>
    </w:p>
    <w:p w14:paraId="73CDD50B" w14:textId="18C5724B" w:rsidR="00B04E42" w:rsidRPr="00B04E42" w:rsidRDefault="00000000" w:rsidP="00B04E42">
      <w:pPr>
        <w:pStyle w:val="Heading2"/>
        <w:spacing w:after="0" w:line="360" w:lineRule="auto"/>
        <w:ind w:left="714" w:firstLine="74"/>
        <w:jc w:val="thaiDistribute"/>
        <w:rPr>
          <w:rFonts w:eastAsia="Calibri"/>
          <w:b w:val="0"/>
          <w:bCs/>
          <w:sz w:val="28"/>
          <w:szCs w:val="28"/>
          <w:lang w:val="en-US"/>
        </w:rPr>
      </w:pPr>
      <w:r w:rsidRPr="00B04E42">
        <w:rPr>
          <w:b w:val="0"/>
          <w:bCs/>
          <w:sz w:val="28"/>
          <w:szCs w:val="28"/>
          <w:lang w:val="en-US"/>
        </w:rPr>
        <w:t>Very common</w:t>
      </w:r>
      <w:r w:rsidR="00B04E42" w:rsidRPr="00B04E42">
        <w:rPr>
          <w:b w:val="0"/>
          <w:bCs/>
          <w:sz w:val="28"/>
          <w:szCs w:val="28"/>
          <w:lang w:val="en-US"/>
        </w:rPr>
        <w:t xml:space="preserve">: </w:t>
      </w:r>
      <w:r w:rsidRPr="00B04E42">
        <w:rPr>
          <w:b w:val="0"/>
          <w:bCs/>
          <w:sz w:val="28"/>
          <w:szCs w:val="28"/>
          <w:lang w:val="en-US"/>
        </w:rPr>
        <w:t xml:space="preserve">Headache  </w:t>
      </w:r>
      <w:r w:rsidRPr="00B04E42">
        <w:rPr>
          <w:rFonts w:eastAsia="Calibri"/>
          <w:b w:val="0"/>
          <w:bCs/>
          <w:sz w:val="28"/>
          <w:szCs w:val="28"/>
          <w:lang w:val="en-US"/>
        </w:rPr>
        <w:t xml:space="preserve"> </w:t>
      </w:r>
      <w:r w:rsidRPr="00B04E42">
        <w:rPr>
          <w:rFonts w:eastAsia="Calibri"/>
          <w:b w:val="0"/>
          <w:bCs/>
          <w:sz w:val="28"/>
          <w:szCs w:val="28"/>
          <w:lang w:val="en-US"/>
        </w:rPr>
        <w:tab/>
      </w:r>
    </w:p>
    <w:p w14:paraId="1914BCE8" w14:textId="37062C48" w:rsidR="00B04E42" w:rsidRPr="00B04E42" w:rsidRDefault="00000000" w:rsidP="00B04E42">
      <w:pPr>
        <w:pStyle w:val="Heading2"/>
        <w:spacing w:after="240" w:line="360" w:lineRule="auto"/>
        <w:ind w:left="714" w:firstLine="74"/>
        <w:jc w:val="thaiDistribute"/>
        <w:rPr>
          <w:b w:val="0"/>
          <w:bCs/>
          <w:sz w:val="28"/>
          <w:szCs w:val="28"/>
          <w:lang w:val="en-US"/>
        </w:rPr>
      </w:pPr>
      <w:r w:rsidRPr="00B04E42">
        <w:rPr>
          <w:b w:val="0"/>
          <w:bCs/>
          <w:sz w:val="28"/>
          <w:szCs w:val="28"/>
          <w:lang w:val="en-US"/>
        </w:rPr>
        <w:t>Common</w:t>
      </w:r>
      <w:r w:rsidR="00B04E42" w:rsidRPr="00B04E42">
        <w:rPr>
          <w:b w:val="0"/>
          <w:bCs/>
          <w:sz w:val="28"/>
          <w:szCs w:val="28"/>
          <w:lang w:val="en-US"/>
        </w:rPr>
        <w:t>: D</w:t>
      </w:r>
      <w:r w:rsidRPr="00B04E42">
        <w:rPr>
          <w:b w:val="0"/>
          <w:bCs/>
          <w:sz w:val="28"/>
          <w:szCs w:val="28"/>
          <w:lang w:val="en-US"/>
        </w:rPr>
        <w:t xml:space="preserve">izziness </w:t>
      </w:r>
    </w:p>
    <w:p w14:paraId="3F0A793D" w14:textId="77777777" w:rsidR="00B04E42" w:rsidRDefault="00000000" w:rsidP="00B04E42">
      <w:pPr>
        <w:pStyle w:val="Heading2"/>
        <w:spacing w:after="240" w:line="360" w:lineRule="auto"/>
        <w:ind w:left="714" w:firstLine="74"/>
        <w:jc w:val="thaiDistribute"/>
        <w:rPr>
          <w:b w:val="0"/>
          <w:bCs/>
          <w:iCs/>
          <w:sz w:val="28"/>
          <w:szCs w:val="28"/>
          <w:u w:val="single"/>
          <w:lang w:val="en-US"/>
        </w:rPr>
      </w:pPr>
      <w:r w:rsidRPr="00B04E42">
        <w:rPr>
          <w:b w:val="0"/>
          <w:bCs/>
          <w:iCs/>
          <w:sz w:val="28"/>
          <w:szCs w:val="28"/>
          <w:u w:val="single"/>
          <w:lang w:val="en-US"/>
        </w:rPr>
        <w:t>Gastrointestinal disorders</w:t>
      </w:r>
    </w:p>
    <w:p w14:paraId="1631D903" w14:textId="77777777" w:rsidR="00B04E42" w:rsidRDefault="00000000" w:rsidP="00B04E42">
      <w:pPr>
        <w:pStyle w:val="Heading2"/>
        <w:spacing w:after="240" w:line="360" w:lineRule="auto"/>
        <w:ind w:left="714" w:firstLine="74"/>
        <w:jc w:val="thaiDistribute"/>
        <w:rPr>
          <w:b w:val="0"/>
          <w:bCs/>
          <w:sz w:val="28"/>
          <w:szCs w:val="28"/>
          <w:lang w:val="en-US"/>
        </w:rPr>
      </w:pPr>
      <w:r w:rsidRPr="00B04E42">
        <w:rPr>
          <w:b w:val="0"/>
          <w:bCs/>
          <w:sz w:val="28"/>
          <w:szCs w:val="28"/>
          <w:lang w:val="en-US"/>
        </w:rPr>
        <w:t>Common</w:t>
      </w:r>
      <w:r w:rsidR="00B04E42" w:rsidRPr="00B04E42">
        <w:rPr>
          <w:b w:val="0"/>
          <w:bCs/>
          <w:sz w:val="28"/>
          <w:szCs w:val="28"/>
          <w:lang w:val="en-US"/>
        </w:rPr>
        <w:t xml:space="preserve">: </w:t>
      </w:r>
      <w:r w:rsidRPr="00B04E42">
        <w:rPr>
          <w:b w:val="0"/>
          <w:bCs/>
          <w:sz w:val="28"/>
          <w:szCs w:val="28"/>
          <w:lang w:val="en-US"/>
        </w:rPr>
        <w:t>Gastrointestinal disturbances (abdominal pain, nausea, vomiting)</w:t>
      </w:r>
    </w:p>
    <w:p w14:paraId="7F25F69F" w14:textId="77777777" w:rsidR="00B04E42" w:rsidRPr="00B04E42" w:rsidRDefault="00000000" w:rsidP="00B04E42">
      <w:pPr>
        <w:pStyle w:val="Heading2"/>
        <w:spacing w:after="240" w:line="360" w:lineRule="auto"/>
        <w:ind w:left="714" w:firstLine="74"/>
        <w:jc w:val="thaiDistribute"/>
        <w:rPr>
          <w:b w:val="0"/>
          <w:bCs/>
          <w:sz w:val="28"/>
          <w:szCs w:val="28"/>
          <w:u w:val="single"/>
        </w:rPr>
      </w:pPr>
      <w:r w:rsidRPr="00B04E42">
        <w:rPr>
          <w:b w:val="0"/>
          <w:bCs/>
          <w:sz w:val="28"/>
          <w:szCs w:val="28"/>
          <w:u w:val="single"/>
        </w:rPr>
        <w:t>Hepatobiliary disorders</w:t>
      </w:r>
    </w:p>
    <w:p w14:paraId="6B710878" w14:textId="1197823B" w:rsidR="00B04E42" w:rsidRPr="00B04E42" w:rsidRDefault="00000000" w:rsidP="00B04E42">
      <w:pPr>
        <w:pStyle w:val="Heading2"/>
        <w:spacing w:after="0" w:line="360" w:lineRule="auto"/>
        <w:ind w:left="714" w:firstLine="74"/>
        <w:jc w:val="thaiDistribute"/>
        <w:rPr>
          <w:b w:val="0"/>
          <w:bCs/>
          <w:sz w:val="28"/>
          <w:szCs w:val="28"/>
          <w:lang w:val="en-US"/>
        </w:rPr>
      </w:pPr>
      <w:r w:rsidRPr="00B04E42">
        <w:rPr>
          <w:b w:val="0"/>
          <w:bCs/>
          <w:sz w:val="28"/>
          <w:szCs w:val="28"/>
          <w:lang w:val="en-US"/>
        </w:rPr>
        <w:t>Very common</w:t>
      </w:r>
      <w:r w:rsidR="00B04E42" w:rsidRPr="00B04E42">
        <w:rPr>
          <w:b w:val="0"/>
          <w:bCs/>
          <w:sz w:val="28"/>
          <w:szCs w:val="28"/>
          <w:lang w:val="en-US"/>
        </w:rPr>
        <w:t xml:space="preserve">: </w:t>
      </w:r>
      <w:r w:rsidRPr="00B04E42">
        <w:rPr>
          <w:b w:val="0"/>
          <w:bCs/>
          <w:sz w:val="28"/>
          <w:szCs w:val="28"/>
          <w:lang w:val="en-US"/>
        </w:rPr>
        <w:t>Mild to moderate elevations of hepatic enzym</w:t>
      </w:r>
      <w:r w:rsidR="00B04E42" w:rsidRPr="00B04E42">
        <w:rPr>
          <w:b w:val="0"/>
          <w:bCs/>
          <w:sz w:val="28"/>
          <w:szCs w:val="28"/>
          <w:lang w:val="en-US"/>
        </w:rPr>
        <w:t>e</w:t>
      </w:r>
    </w:p>
    <w:p w14:paraId="0C6AA11E" w14:textId="77777777" w:rsidR="00B04E42" w:rsidRDefault="00000000" w:rsidP="00B04E42">
      <w:pPr>
        <w:pStyle w:val="Heading2"/>
        <w:spacing w:after="240" w:line="360" w:lineRule="auto"/>
        <w:ind w:left="714" w:firstLine="74"/>
        <w:rPr>
          <w:b w:val="0"/>
          <w:bCs/>
          <w:sz w:val="28"/>
          <w:szCs w:val="28"/>
          <w:lang w:val="en-US"/>
        </w:rPr>
      </w:pPr>
      <w:r w:rsidRPr="00B04E42">
        <w:rPr>
          <w:b w:val="0"/>
          <w:bCs/>
          <w:sz w:val="28"/>
          <w:szCs w:val="28"/>
          <w:lang w:val="en-US"/>
        </w:rPr>
        <w:t>Uncommon</w:t>
      </w:r>
      <w:r w:rsidR="00B04E42" w:rsidRPr="00B04E42">
        <w:rPr>
          <w:b w:val="0"/>
          <w:bCs/>
          <w:sz w:val="28"/>
          <w:szCs w:val="28"/>
          <w:lang w:val="en-US"/>
        </w:rPr>
        <w:t xml:space="preserve">: </w:t>
      </w:r>
      <w:r w:rsidRPr="00B04E42">
        <w:rPr>
          <w:b w:val="0"/>
          <w:bCs/>
          <w:sz w:val="28"/>
          <w:szCs w:val="28"/>
          <w:lang w:val="en-US"/>
        </w:rPr>
        <w:t>Hepatitis</w:t>
      </w:r>
      <w:r w:rsidRPr="00B04E42">
        <w:rPr>
          <w:b w:val="0"/>
          <w:bCs/>
          <w:sz w:val="28"/>
          <w:szCs w:val="28"/>
          <w:vertAlign w:val="superscript"/>
          <w:lang w:val="en-US"/>
        </w:rPr>
        <w:t xml:space="preserve">1 </w:t>
      </w:r>
      <w:r w:rsidRPr="00B04E42">
        <w:rPr>
          <w:b w:val="0"/>
          <w:bCs/>
          <w:sz w:val="28"/>
          <w:szCs w:val="28"/>
          <w:lang w:val="en-US"/>
        </w:rPr>
        <w:t xml:space="preserve"> </w:t>
      </w:r>
    </w:p>
    <w:p w14:paraId="17FC694A" w14:textId="77777777" w:rsidR="00B04E42" w:rsidRDefault="00B04E42">
      <w:pPr>
        <w:spacing w:after="160" w:line="278" w:lineRule="auto"/>
        <w:ind w:left="0" w:firstLine="0"/>
        <w:rPr>
          <w:rFonts w:cs="Times New Roman"/>
          <w:bCs/>
          <w:sz w:val="28"/>
          <w:szCs w:val="28"/>
          <w:cs/>
          <w:lang w:val="en-US" w:eastAsia="en-US"/>
        </w:rPr>
      </w:pPr>
      <w:r>
        <w:rPr>
          <w:b/>
          <w:bCs/>
          <w:sz w:val="28"/>
          <w:szCs w:val="28"/>
          <w:cs/>
          <w:lang w:val="en-US"/>
        </w:rPr>
        <w:br w:type="page"/>
      </w:r>
    </w:p>
    <w:p w14:paraId="63D180C0" w14:textId="77777777" w:rsidR="00B04E42" w:rsidRDefault="00000000" w:rsidP="00B04E42">
      <w:pPr>
        <w:pStyle w:val="Heading2"/>
        <w:spacing w:after="240" w:line="360" w:lineRule="auto"/>
        <w:ind w:left="714" w:firstLine="74"/>
        <w:rPr>
          <w:b w:val="0"/>
          <w:bCs/>
          <w:sz w:val="28"/>
          <w:szCs w:val="28"/>
          <w:u w:val="single"/>
        </w:rPr>
      </w:pPr>
      <w:r w:rsidRPr="00B04E42">
        <w:rPr>
          <w:b w:val="0"/>
          <w:bCs/>
          <w:sz w:val="28"/>
          <w:szCs w:val="28"/>
          <w:u w:val="single"/>
        </w:rPr>
        <w:lastRenderedPageBreak/>
        <w:t xml:space="preserve">Skin and subcutaneous tissue disorders  </w:t>
      </w:r>
    </w:p>
    <w:p w14:paraId="5731476D" w14:textId="77777777" w:rsidR="00B04E42" w:rsidRDefault="00000000" w:rsidP="00B04E42">
      <w:pPr>
        <w:pStyle w:val="Heading2"/>
        <w:spacing w:after="0" w:line="360" w:lineRule="auto"/>
        <w:ind w:left="714" w:firstLine="74"/>
        <w:jc w:val="thaiDistribute"/>
        <w:rPr>
          <w:b w:val="0"/>
          <w:bCs/>
          <w:sz w:val="28"/>
          <w:szCs w:val="28"/>
          <w:lang w:val="en-US"/>
        </w:rPr>
      </w:pPr>
      <w:r w:rsidRPr="00B04E42">
        <w:rPr>
          <w:b w:val="0"/>
          <w:bCs/>
          <w:sz w:val="28"/>
          <w:szCs w:val="28"/>
          <w:lang w:val="en-US"/>
        </w:rPr>
        <w:t>Common</w:t>
      </w:r>
      <w:r w:rsidR="00B04E42">
        <w:rPr>
          <w:rFonts w:cs="Angsana New"/>
          <w:b w:val="0"/>
          <w:bCs/>
          <w:sz w:val="28"/>
          <w:szCs w:val="35"/>
          <w:lang w:val="en-US"/>
        </w:rPr>
        <w:t xml:space="preserve">: </w:t>
      </w:r>
      <w:r w:rsidRPr="00B04E42">
        <w:rPr>
          <w:b w:val="0"/>
          <w:bCs/>
          <w:sz w:val="28"/>
          <w:szCs w:val="28"/>
          <w:lang w:val="en-US"/>
        </w:rPr>
        <w:t>Reversible alopecia (thinning of hair, and moderate hair loss)</w:t>
      </w:r>
    </w:p>
    <w:p w14:paraId="2E3FF20B" w14:textId="77777777" w:rsidR="00B04E42" w:rsidRDefault="00000000" w:rsidP="00B04E42">
      <w:pPr>
        <w:pStyle w:val="Heading2"/>
        <w:spacing w:after="240" w:line="360" w:lineRule="auto"/>
        <w:ind w:left="714" w:firstLine="74"/>
        <w:jc w:val="thaiDistribute"/>
        <w:rPr>
          <w:b w:val="0"/>
          <w:bCs/>
          <w:sz w:val="28"/>
          <w:szCs w:val="28"/>
          <w:lang w:val="en-US"/>
        </w:rPr>
      </w:pPr>
      <w:r w:rsidRPr="00B04E42">
        <w:rPr>
          <w:b w:val="0"/>
          <w:bCs/>
          <w:sz w:val="28"/>
          <w:szCs w:val="28"/>
          <w:lang w:val="en-US"/>
        </w:rPr>
        <w:t>Very rare</w:t>
      </w:r>
      <w:r w:rsidR="00B04E42">
        <w:rPr>
          <w:b w:val="0"/>
          <w:bCs/>
          <w:sz w:val="28"/>
          <w:szCs w:val="28"/>
          <w:lang w:val="en-US"/>
        </w:rPr>
        <w:t xml:space="preserve">: </w:t>
      </w:r>
      <w:r w:rsidRPr="00B04E42">
        <w:rPr>
          <w:b w:val="0"/>
          <w:bCs/>
          <w:sz w:val="28"/>
          <w:szCs w:val="28"/>
          <w:lang w:val="en-US"/>
        </w:rPr>
        <w:t xml:space="preserve">Erythema multiforme, Stevens-Johnson syndrome  </w:t>
      </w:r>
    </w:p>
    <w:p w14:paraId="2E1BA6FC" w14:textId="77777777" w:rsidR="00B04E42" w:rsidRPr="00B04E42" w:rsidRDefault="00000000" w:rsidP="00B04E42">
      <w:pPr>
        <w:pStyle w:val="Heading2"/>
        <w:spacing w:after="240" w:line="360" w:lineRule="auto"/>
        <w:ind w:left="714" w:firstLine="74"/>
        <w:jc w:val="thaiDistribute"/>
        <w:rPr>
          <w:b w:val="0"/>
          <w:bCs/>
          <w:iCs/>
          <w:sz w:val="28"/>
          <w:szCs w:val="28"/>
          <w:u w:val="single"/>
          <w:lang w:val="en-US"/>
        </w:rPr>
      </w:pPr>
      <w:r w:rsidRPr="00B04E42">
        <w:rPr>
          <w:b w:val="0"/>
          <w:bCs/>
          <w:iCs/>
          <w:sz w:val="28"/>
          <w:szCs w:val="28"/>
          <w:u w:val="single"/>
          <w:lang w:val="en-US"/>
        </w:rPr>
        <w:t>Musculoskeletal and connective tissue disorders</w:t>
      </w:r>
    </w:p>
    <w:p w14:paraId="7A197EF3" w14:textId="77777777" w:rsidR="00B04E42" w:rsidRDefault="00000000" w:rsidP="00B04E42">
      <w:pPr>
        <w:pStyle w:val="Heading2"/>
        <w:spacing w:after="240" w:line="360" w:lineRule="auto"/>
        <w:ind w:left="714" w:firstLine="74"/>
        <w:jc w:val="thaiDistribute"/>
        <w:rPr>
          <w:b w:val="0"/>
          <w:bCs/>
          <w:sz w:val="28"/>
          <w:szCs w:val="28"/>
          <w:lang w:val="en-US"/>
        </w:rPr>
      </w:pPr>
      <w:r w:rsidRPr="00B04E42">
        <w:rPr>
          <w:b w:val="0"/>
          <w:bCs/>
          <w:sz w:val="28"/>
          <w:szCs w:val="28"/>
          <w:lang w:val="en-US"/>
        </w:rPr>
        <w:t>Rare</w:t>
      </w:r>
      <w:r w:rsidR="00B04E42" w:rsidRPr="00B04E42">
        <w:rPr>
          <w:b w:val="0"/>
          <w:bCs/>
          <w:sz w:val="28"/>
          <w:szCs w:val="28"/>
          <w:lang w:val="en-US"/>
        </w:rPr>
        <w:t xml:space="preserve">: </w:t>
      </w:r>
      <w:r w:rsidRPr="00B04E42">
        <w:rPr>
          <w:b w:val="0"/>
          <w:bCs/>
          <w:sz w:val="28"/>
          <w:szCs w:val="28"/>
          <w:lang w:val="en-US"/>
        </w:rPr>
        <w:t xml:space="preserve">Bone pain  </w:t>
      </w:r>
    </w:p>
    <w:p w14:paraId="755AA04E" w14:textId="77777777" w:rsidR="00B04E42" w:rsidRDefault="00000000" w:rsidP="00B04E42">
      <w:pPr>
        <w:pStyle w:val="Heading2"/>
        <w:spacing w:after="240" w:line="360" w:lineRule="auto"/>
        <w:ind w:left="714" w:firstLine="74"/>
        <w:jc w:val="thaiDistribute"/>
        <w:rPr>
          <w:b w:val="0"/>
          <w:bCs/>
          <w:iCs/>
          <w:sz w:val="28"/>
          <w:szCs w:val="28"/>
          <w:u w:val="single"/>
          <w:lang w:val="en-US"/>
        </w:rPr>
      </w:pPr>
      <w:r w:rsidRPr="00B04E42">
        <w:rPr>
          <w:b w:val="0"/>
          <w:bCs/>
          <w:iCs/>
          <w:sz w:val="28"/>
          <w:szCs w:val="28"/>
          <w:u w:val="single"/>
          <w:lang w:val="en-US"/>
        </w:rPr>
        <w:t>Renal and urinary disorders</w:t>
      </w:r>
    </w:p>
    <w:p w14:paraId="2E3099C9" w14:textId="77777777" w:rsidR="00B04E42" w:rsidRDefault="00000000" w:rsidP="00B04E42">
      <w:pPr>
        <w:pStyle w:val="Heading2"/>
        <w:spacing w:after="240" w:line="360" w:lineRule="auto"/>
        <w:ind w:left="714" w:firstLine="74"/>
        <w:jc w:val="thaiDistribute"/>
        <w:rPr>
          <w:b w:val="0"/>
          <w:bCs/>
          <w:sz w:val="28"/>
          <w:szCs w:val="28"/>
          <w:lang w:val="en-US"/>
        </w:rPr>
      </w:pPr>
      <w:r w:rsidRPr="00B04E42">
        <w:rPr>
          <w:b w:val="0"/>
          <w:bCs/>
          <w:sz w:val="28"/>
          <w:szCs w:val="28"/>
          <w:lang w:val="en-US"/>
        </w:rPr>
        <w:t>Rare</w:t>
      </w:r>
      <w:r w:rsidR="00B04E42" w:rsidRPr="00B04E42">
        <w:rPr>
          <w:b w:val="0"/>
          <w:bCs/>
          <w:sz w:val="28"/>
          <w:szCs w:val="28"/>
          <w:lang w:val="en-US"/>
        </w:rPr>
        <w:t xml:space="preserve">: </w:t>
      </w:r>
      <w:r w:rsidRPr="00B04E42">
        <w:rPr>
          <w:b w:val="0"/>
          <w:bCs/>
          <w:sz w:val="28"/>
          <w:szCs w:val="28"/>
          <w:lang w:val="en-US"/>
        </w:rPr>
        <w:t>Proteinuria</w:t>
      </w:r>
    </w:p>
    <w:p w14:paraId="670E9A70" w14:textId="77777777" w:rsidR="00B04E42" w:rsidRDefault="00000000" w:rsidP="00B04E42">
      <w:pPr>
        <w:pStyle w:val="Heading2"/>
        <w:spacing w:after="240" w:line="360" w:lineRule="auto"/>
        <w:ind w:left="714" w:firstLine="74"/>
        <w:jc w:val="thaiDistribute"/>
        <w:rPr>
          <w:b w:val="0"/>
          <w:bCs/>
          <w:sz w:val="28"/>
          <w:szCs w:val="28"/>
          <w:u w:val="single"/>
        </w:rPr>
      </w:pPr>
      <w:r w:rsidRPr="00B04E42">
        <w:rPr>
          <w:b w:val="0"/>
          <w:bCs/>
          <w:sz w:val="28"/>
          <w:szCs w:val="28"/>
          <w:u w:val="single"/>
        </w:rPr>
        <w:t>General disorders</w:t>
      </w:r>
    </w:p>
    <w:p w14:paraId="38949F8D" w14:textId="77777777" w:rsidR="00B04E42" w:rsidRDefault="00000000" w:rsidP="00B04E42">
      <w:pPr>
        <w:pStyle w:val="Heading2"/>
        <w:spacing w:after="240" w:line="360" w:lineRule="auto"/>
        <w:ind w:left="714" w:firstLine="74"/>
        <w:jc w:val="thaiDistribute"/>
        <w:rPr>
          <w:b w:val="0"/>
          <w:bCs/>
          <w:sz w:val="28"/>
          <w:szCs w:val="28"/>
          <w:lang w:val="en-US"/>
        </w:rPr>
      </w:pPr>
      <w:r w:rsidRPr="00B04E42">
        <w:rPr>
          <w:b w:val="0"/>
          <w:bCs/>
          <w:sz w:val="28"/>
          <w:szCs w:val="28"/>
          <w:lang w:val="en-US"/>
        </w:rPr>
        <w:t>Common</w:t>
      </w:r>
      <w:r w:rsidR="00B04E42" w:rsidRPr="00B04E42">
        <w:rPr>
          <w:b w:val="0"/>
          <w:bCs/>
          <w:sz w:val="28"/>
          <w:szCs w:val="28"/>
          <w:lang w:val="en-US"/>
        </w:rPr>
        <w:t xml:space="preserve">: </w:t>
      </w:r>
      <w:r w:rsidRPr="00B04E42">
        <w:rPr>
          <w:b w:val="0"/>
          <w:bCs/>
          <w:sz w:val="28"/>
          <w:szCs w:val="28"/>
          <w:lang w:val="en-US"/>
        </w:rPr>
        <w:t xml:space="preserve">Fever  </w:t>
      </w:r>
    </w:p>
    <w:p w14:paraId="0DB77B13" w14:textId="77777777" w:rsidR="00B04E42" w:rsidRDefault="00000000" w:rsidP="00B04E42">
      <w:pPr>
        <w:pStyle w:val="Heading2"/>
        <w:spacing w:after="240" w:line="360" w:lineRule="auto"/>
        <w:ind w:left="714" w:firstLine="74"/>
        <w:jc w:val="thaiDistribute"/>
        <w:rPr>
          <w:b w:val="0"/>
          <w:bCs/>
          <w:sz w:val="28"/>
          <w:szCs w:val="28"/>
          <w:lang w:val="en-US"/>
        </w:rPr>
      </w:pPr>
      <w:r w:rsidRPr="00B04E42">
        <w:rPr>
          <w:b w:val="0"/>
          <w:bCs/>
          <w:sz w:val="28"/>
          <w:szCs w:val="28"/>
          <w:vertAlign w:val="superscript"/>
          <w:lang w:val="en-US"/>
        </w:rPr>
        <w:t>1</w:t>
      </w:r>
      <w:r w:rsidRPr="00B04E42">
        <w:rPr>
          <w:b w:val="0"/>
          <w:bCs/>
          <w:sz w:val="28"/>
          <w:szCs w:val="28"/>
          <w:lang w:val="en-US"/>
        </w:rPr>
        <w:t xml:space="preserve"> With prolonged albendazole treatment for hydatid disease there have also been reports of severe hepatic abnormalities, including jaundice and hepatocellular damage which may be irreversible  </w:t>
      </w:r>
    </w:p>
    <w:p w14:paraId="57888037" w14:textId="77777777" w:rsidR="00B04E42" w:rsidRDefault="00000000" w:rsidP="00B04E42">
      <w:pPr>
        <w:pStyle w:val="Heading2"/>
        <w:spacing w:after="240" w:line="360" w:lineRule="auto"/>
        <w:ind w:left="714" w:firstLine="74"/>
        <w:jc w:val="thaiDistribute"/>
        <w:rPr>
          <w:b w:val="0"/>
          <w:bCs/>
          <w:sz w:val="28"/>
          <w:szCs w:val="28"/>
          <w:u w:val="single"/>
        </w:rPr>
      </w:pPr>
      <w:r w:rsidRPr="00B04E42">
        <w:rPr>
          <w:b w:val="0"/>
          <w:bCs/>
          <w:sz w:val="28"/>
          <w:szCs w:val="28"/>
          <w:u w:val="single"/>
        </w:rPr>
        <w:t xml:space="preserve">Reporting of suspected adverse reactions  </w:t>
      </w:r>
    </w:p>
    <w:p w14:paraId="3FEF0A39" w14:textId="38E580BC" w:rsidR="00C05E4B" w:rsidRPr="00B04E42" w:rsidRDefault="00000000" w:rsidP="00B04E42">
      <w:pPr>
        <w:pStyle w:val="Heading2"/>
        <w:spacing w:after="240" w:line="360" w:lineRule="auto"/>
        <w:ind w:left="714" w:firstLine="74"/>
        <w:jc w:val="thaiDistribute"/>
        <w:rPr>
          <w:b w:val="0"/>
          <w:bCs/>
          <w:sz w:val="28"/>
          <w:szCs w:val="28"/>
          <w:u w:val="single"/>
          <w:lang w:val="en-US"/>
        </w:rPr>
      </w:pPr>
      <w:r w:rsidRPr="00B04E42">
        <w:rPr>
          <w:b w:val="0"/>
          <w:bCs/>
          <w:sz w:val="28"/>
          <w:szCs w:val="28"/>
          <w:lang w:val="en-US"/>
        </w:rPr>
        <w:t xml:space="preserve">Reporting suspected adverse reactions after authorisation of the medicinal product is important. It allows continued monitoring of the benefit/risk balance of the medicinal product. Health care providers are asked to report any suspected adverse reactions via Health Product Vigilance Center; HPVC Thai FDA. </w:t>
      </w:r>
    </w:p>
    <w:p w14:paraId="0BC1FA20" w14:textId="77777777" w:rsidR="00B04E42" w:rsidRDefault="00B04E42">
      <w:pPr>
        <w:spacing w:after="160" w:line="278" w:lineRule="auto"/>
        <w:ind w:left="0" w:firstLine="0"/>
        <w:rPr>
          <w:rFonts w:cs="Times New Roman"/>
          <w:b/>
          <w:sz w:val="28"/>
          <w:szCs w:val="28"/>
          <w:lang w:val="en-US"/>
        </w:rPr>
      </w:pPr>
      <w:r>
        <w:rPr>
          <w:rFonts w:cs="Times New Roman"/>
          <w:b/>
          <w:sz w:val="28"/>
          <w:szCs w:val="28"/>
          <w:lang w:val="en-US"/>
        </w:rPr>
        <w:br w:type="page"/>
      </w:r>
    </w:p>
    <w:p w14:paraId="0BFBE8F5" w14:textId="77777777" w:rsidR="00B04E42" w:rsidRDefault="00000000" w:rsidP="00B04E42">
      <w:pPr>
        <w:pStyle w:val="ListParagraph"/>
        <w:numPr>
          <w:ilvl w:val="1"/>
          <w:numId w:val="2"/>
        </w:numPr>
        <w:tabs>
          <w:tab w:val="center" w:pos="1182"/>
        </w:tabs>
        <w:spacing w:after="240" w:line="259" w:lineRule="auto"/>
        <w:ind w:left="788" w:hanging="431"/>
        <w:contextualSpacing w:val="0"/>
        <w:rPr>
          <w:rFonts w:cs="Times New Roman"/>
          <w:sz w:val="28"/>
          <w:szCs w:val="28"/>
          <w:lang w:val="en-US"/>
        </w:rPr>
      </w:pPr>
      <w:r w:rsidRPr="00B04E42">
        <w:rPr>
          <w:rFonts w:cs="Times New Roman"/>
          <w:b/>
          <w:sz w:val="28"/>
          <w:szCs w:val="28"/>
          <w:lang w:val="en-US"/>
        </w:rPr>
        <w:lastRenderedPageBreak/>
        <w:t xml:space="preserve">Overdose </w:t>
      </w:r>
      <w:r w:rsidRPr="00B04E42">
        <w:rPr>
          <w:rFonts w:cs="Times New Roman"/>
          <w:sz w:val="28"/>
          <w:szCs w:val="28"/>
          <w:lang w:val="en-US"/>
        </w:rPr>
        <w:t xml:space="preserve"> </w:t>
      </w:r>
    </w:p>
    <w:p w14:paraId="440C00CC" w14:textId="7DFDC859" w:rsidR="00C05E4B" w:rsidRPr="00B04E42" w:rsidRDefault="00000000" w:rsidP="00B04E42">
      <w:pPr>
        <w:pStyle w:val="ListParagraph"/>
        <w:tabs>
          <w:tab w:val="center" w:pos="1182"/>
        </w:tabs>
        <w:spacing w:after="240" w:line="360" w:lineRule="auto"/>
        <w:ind w:left="794" w:firstLine="0"/>
        <w:contextualSpacing w:val="0"/>
        <w:rPr>
          <w:rFonts w:cs="Times New Roman"/>
          <w:sz w:val="28"/>
          <w:szCs w:val="28"/>
          <w:lang w:val="en-US"/>
        </w:rPr>
      </w:pPr>
      <w:r w:rsidRPr="00B04E42">
        <w:rPr>
          <w:rFonts w:cs="Times New Roman"/>
          <w:sz w:val="28"/>
          <w:szCs w:val="28"/>
          <w:lang w:val="en-US"/>
        </w:rPr>
        <w:t>In case of overdosage, symptomatic therapy and general supportive measures are recommended.</w:t>
      </w:r>
      <w:r w:rsidRPr="00B04E42">
        <w:rPr>
          <w:rFonts w:eastAsia="Calibri" w:cs="Times New Roman"/>
          <w:sz w:val="28"/>
          <w:szCs w:val="28"/>
          <w:lang w:val="en-US"/>
        </w:rPr>
        <w:t xml:space="preserve"> </w:t>
      </w:r>
      <w:r w:rsidRPr="00B04E42">
        <w:rPr>
          <w:rFonts w:cs="Times New Roman"/>
          <w:sz w:val="28"/>
          <w:szCs w:val="28"/>
          <w:lang w:val="en-US"/>
        </w:rPr>
        <w:t xml:space="preserve"> </w:t>
      </w:r>
    </w:p>
    <w:p w14:paraId="68CE3828" w14:textId="77777777" w:rsidR="00B04E42" w:rsidRDefault="00000000" w:rsidP="00B04E42">
      <w:pPr>
        <w:pStyle w:val="Heading1"/>
        <w:numPr>
          <w:ilvl w:val="0"/>
          <w:numId w:val="2"/>
        </w:numPr>
        <w:tabs>
          <w:tab w:val="center" w:pos="2991"/>
        </w:tabs>
        <w:spacing w:after="158"/>
        <w:rPr>
          <w:sz w:val="28"/>
          <w:szCs w:val="28"/>
        </w:rPr>
      </w:pPr>
      <w:r w:rsidRPr="004142F1">
        <w:rPr>
          <w:sz w:val="28"/>
          <w:szCs w:val="28"/>
        </w:rPr>
        <w:t xml:space="preserve">PHARMACOLOGICAL PROPERTIES  </w:t>
      </w:r>
    </w:p>
    <w:p w14:paraId="432556DF" w14:textId="77777777" w:rsidR="00B04E42" w:rsidRPr="00B04E42" w:rsidRDefault="00000000" w:rsidP="00B04E42">
      <w:pPr>
        <w:pStyle w:val="Heading1"/>
        <w:numPr>
          <w:ilvl w:val="1"/>
          <w:numId w:val="2"/>
        </w:numPr>
        <w:tabs>
          <w:tab w:val="center" w:pos="2991"/>
        </w:tabs>
        <w:spacing w:after="240"/>
        <w:ind w:left="788" w:hanging="431"/>
        <w:rPr>
          <w:sz w:val="28"/>
          <w:szCs w:val="28"/>
        </w:rPr>
      </w:pPr>
      <w:r w:rsidRPr="00B04E42">
        <w:rPr>
          <w:sz w:val="28"/>
          <w:szCs w:val="28"/>
          <w:lang w:val="en-US"/>
        </w:rPr>
        <w:t xml:space="preserve">Pharmacodynamic properties  </w:t>
      </w:r>
    </w:p>
    <w:p w14:paraId="2023E719" w14:textId="77777777" w:rsidR="00B04E42" w:rsidRPr="00B04E42" w:rsidRDefault="00000000" w:rsidP="00B04E42">
      <w:pPr>
        <w:pStyle w:val="Heading1"/>
        <w:tabs>
          <w:tab w:val="center" w:pos="2991"/>
        </w:tabs>
        <w:spacing w:after="158" w:line="360" w:lineRule="auto"/>
        <w:ind w:left="792" w:firstLine="0"/>
        <w:rPr>
          <w:b w:val="0"/>
          <w:bCs/>
          <w:sz w:val="28"/>
          <w:szCs w:val="28"/>
          <w:lang w:val="en-US"/>
        </w:rPr>
      </w:pPr>
      <w:r w:rsidRPr="00B04E42">
        <w:rPr>
          <w:b w:val="0"/>
          <w:bCs/>
          <w:sz w:val="28"/>
          <w:szCs w:val="28"/>
          <w:lang w:val="en-US"/>
        </w:rPr>
        <w:t>Pharmacotherapeutic group: Antihelmintics, benzimidazole derivatives</w:t>
      </w:r>
    </w:p>
    <w:p w14:paraId="41A9703E" w14:textId="77777777" w:rsidR="00B04E42" w:rsidRDefault="00000000" w:rsidP="00B04E42">
      <w:pPr>
        <w:pStyle w:val="Heading1"/>
        <w:tabs>
          <w:tab w:val="center" w:pos="2991"/>
        </w:tabs>
        <w:spacing w:after="240" w:line="360" w:lineRule="auto"/>
        <w:ind w:left="794" w:firstLine="0"/>
        <w:rPr>
          <w:b w:val="0"/>
          <w:bCs/>
          <w:sz w:val="28"/>
          <w:szCs w:val="28"/>
          <w:lang w:val="en-US"/>
        </w:rPr>
      </w:pPr>
      <w:r w:rsidRPr="00B04E42">
        <w:rPr>
          <w:b w:val="0"/>
          <w:bCs/>
          <w:sz w:val="28"/>
          <w:szCs w:val="28"/>
          <w:lang w:val="en-US"/>
        </w:rPr>
        <w:t xml:space="preserve">ATC code: P02CA03.  </w:t>
      </w:r>
    </w:p>
    <w:p w14:paraId="491E510B" w14:textId="77777777" w:rsidR="00B04E42" w:rsidRDefault="00000000" w:rsidP="00B04E42">
      <w:pPr>
        <w:pStyle w:val="Heading1"/>
        <w:tabs>
          <w:tab w:val="center" w:pos="2991"/>
        </w:tabs>
        <w:spacing w:after="240" w:line="360" w:lineRule="auto"/>
        <w:ind w:left="794" w:firstLine="0"/>
        <w:rPr>
          <w:iCs/>
          <w:sz w:val="28"/>
          <w:szCs w:val="28"/>
          <w:u w:val="single"/>
        </w:rPr>
      </w:pPr>
      <w:r w:rsidRPr="00B04E42">
        <w:rPr>
          <w:b w:val="0"/>
          <w:iCs/>
          <w:sz w:val="28"/>
          <w:szCs w:val="28"/>
          <w:u w:val="single"/>
        </w:rPr>
        <w:t xml:space="preserve">Mechanism of action </w:t>
      </w:r>
      <w:r w:rsidRPr="00B04E42">
        <w:rPr>
          <w:iCs/>
          <w:sz w:val="28"/>
          <w:szCs w:val="28"/>
          <w:u w:val="single"/>
        </w:rPr>
        <w:t xml:space="preserve"> </w:t>
      </w:r>
    </w:p>
    <w:p w14:paraId="2F2ACABB" w14:textId="08F8BAAE" w:rsidR="00C05E4B" w:rsidRPr="00B04E42" w:rsidRDefault="00000000" w:rsidP="00B04E42">
      <w:pPr>
        <w:pStyle w:val="Heading1"/>
        <w:tabs>
          <w:tab w:val="center" w:pos="2991"/>
        </w:tabs>
        <w:spacing w:after="240" w:line="360" w:lineRule="auto"/>
        <w:ind w:left="794" w:firstLine="0"/>
        <w:jc w:val="thaiDistribute"/>
        <w:rPr>
          <w:b w:val="0"/>
          <w:bCs/>
          <w:iCs/>
          <w:sz w:val="28"/>
          <w:szCs w:val="28"/>
          <w:u w:val="single"/>
        </w:rPr>
      </w:pPr>
      <w:r w:rsidRPr="00B04E42">
        <w:rPr>
          <w:b w:val="0"/>
          <w:bCs/>
          <w:sz w:val="28"/>
          <w:szCs w:val="28"/>
          <w:lang w:val="en-US"/>
        </w:rPr>
        <w:t xml:space="preserve">Albendazole is a benzimidazole derivative that causes degenerative alterations in the tegument and intestinal cells of the parasite and blocks their energy production, ultimately leading to immobilisation and death of the parasite. It works by binding to the colchicine-sensitive site of tubulin, thus inhibiting its assembly into microtubules. As cytoplasmic microtubules are critical in promoting glucose uptake, the glycogen stores of the parasites are depleted.  </w:t>
      </w:r>
    </w:p>
    <w:p w14:paraId="7A555940" w14:textId="77777777" w:rsidR="00B04E42" w:rsidRDefault="00000000" w:rsidP="00B04E42">
      <w:pPr>
        <w:pStyle w:val="Heading3"/>
        <w:numPr>
          <w:ilvl w:val="1"/>
          <w:numId w:val="2"/>
        </w:numPr>
        <w:tabs>
          <w:tab w:val="center" w:pos="2047"/>
        </w:tabs>
        <w:spacing w:after="240"/>
        <w:ind w:left="788" w:hanging="431"/>
        <w:rPr>
          <w:sz w:val="28"/>
          <w:szCs w:val="28"/>
        </w:rPr>
      </w:pPr>
      <w:r w:rsidRPr="004142F1">
        <w:rPr>
          <w:b/>
          <w:i w:val="0"/>
          <w:sz w:val="28"/>
          <w:szCs w:val="28"/>
        </w:rPr>
        <w:t xml:space="preserve">Pharmacokinetic properties </w:t>
      </w:r>
      <w:r w:rsidRPr="004142F1">
        <w:rPr>
          <w:sz w:val="28"/>
          <w:szCs w:val="28"/>
        </w:rPr>
        <w:t xml:space="preserve"> </w:t>
      </w:r>
    </w:p>
    <w:p w14:paraId="633F53BC" w14:textId="5CF45F96" w:rsidR="00B04E42" w:rsidRDefault="00000000" w:rsidP="00B04E42">
      <w:pPr>
        <w:pStyle w:val="Heading3"/>
        <w:tabs>
          <w:tab w:val="center" w:pos="2047"/>
        </w:tabs>
        <w:spacing w:after="240" w:line="360" w:lineRule="auto"/>
        <w:ind w:left="794" w:firstLine="0"/>
        <w:jc w:val="thaiDistribute"/>
        <w:rPr>
          <w:i w:val="0"/>
          <w:iCs/>
          <w:sz w:val="28"/>
          <w:szCs w:val="28"/>
          <w:lang w:val="en-US"/>
        </w:rPr>
      </w:pPr>
      <w:r w:rsidRPr="00B04E42">
        <w:rPr>
          <w:i w:val="0"/>
          <w:iCs/>
          <w:sz w:val="28"/>
          <w:szCs w:val="28"/>
          <w:lang w:val="en-US"/>
        </w:rPr>
        <w:t xml:space="preserve">The absorption characteristics of </w:t>
      </w:r>
      <w:r w:rsidRPr="00B04E42">
        <w:rPr>
          <w:i w:val="0"/>
          <w:iCs/>
          <w:color w:val="FF0000"/>
          <w:sz w:val="28"/>
          <w:szCs w:val="28"/>
          <w:lang w:val="en-US"/>
        </w:rPr>
        <w:t>&lt;Generic Name&gt;</w:t>
      </w:r>
      <w:r w:rsidRPr="00B04E42">
        <w:rPr>
          <w:i w:val="0"/>
          <w:iCs/>
          <w:sz w:val="28"/>
          <w:szCs w:val="28"/>
          <w:lang w:val="en-US"/>
        </w:rPr>
        <w:t xml:space="preserve"> have been determined in healthy volunteers for albendazole and summarised in the following </w:t>
      </w:r>
      <w:proofErr w:type="gramStart"/>
      <w:r w:rsidRPr="00B04E42">
        <w:rPr>
          <w:i w:val="0"/>
          <w:iCs/>
          <w:sz w:val="28"/>
          <w:szCs w:val="28"/>
          <w:lang w:val="en-US"/>
        </w:rPr>
        <w:t>tables</w:t>
      </w:r>
      <w:r w:rsidR="00B04E42">
        <w:rPr>
          <w:i w:val="0"/>
          <w:iCs/>
          <w:sz w:val="28"/>
          <w:szCs w:val="28"/>
          <w:lang w:val="en-US"/>
        </w:rPr>
        <w:t>;</w:t>
      </w:r>
      <w:proofErr w:type="gramEnd"/>
    </w:p>
    <w:p w14:paraId="22F2F02B" w14:textId="215435B3" w:rsidR="00C05E4B" w:rsidRPr="00B04E42" w:rsidRDefault="00B04E42" w:rsidP="00B04E42">
      <w:pPr>
        <w:spacing w:after="160" w:line="278" w:lineRule="auto"/>
        <w:ind w:left="0" w:firstLine="0"/>
        <w:rPr>
          <w:rFonts w:cs="Times New Roman"/>
          <w:iCs/>
          <w:sz w:val="28"/>
          <w:szCs w:val="28"/>
          <w:lang w:val="en-US" w:eastAsia="en-US"/>
        </w:rPr>
      </w:pPr>
      <w:r>
        <w:rPr>
          <w:i/>
          <w:iCs/>
          <w:sz w:val="28"/>
          <w:szCs w:val="28"/>
          <w:lang w:val="en-US"/>
        </w:rPr>
        <w:br w:type="page"/>
      </w:r>
    </w:p>
    <w:tbl>
      <w:tblPr>
        <w:tblStyle w:val="TableGrid"/>
        <w:tblW w:w="8131" w:type="dxa"/>
        <w:jc w:val="center"/>
        <w:tblInd w:w="0" w:type="dxa"/>
        <w:tblCellMar>
          <w:top w:w="57" w:type="dxa"/>
          <w:left w:w="106" w:type="dxa"/>
          <w:bottom w:w="0" w:type="dxa"/>
          <w:right w:w="171" w:type="dxa"/>
        </w:tblCellMar>
        <w:tblLook w:val="04A0" w:firstRow="1" w:lastRow="0" w:firstColumn="1" w:lastColumn="0" w:noHBand="0" w:noVBand="1"/>
      </w:tblPr>
      <w:tblGrid>
        <w:gridCol w:w="5446"/>
        <w:gridCol w:w="2685"/>
      </w:tblGrid>
      <w:tr w:rsidR="00C05E4B" w:rsidRPr="004142F1" w14:paraId="072FBD6B" w14:textId="77777777" w:rsidTr="00B04E42">
        <w:trPr>
          <w:trHeight w:val="680"/>
          <w:jc w:val="center"/>
        </w:trPr>
        <w:tc>
          <w:tcPr>
            <w:tcW w:w="5446" w:type="dxa"/>
            <w:tcBorders>
              <w:top w:val="single" w:sz="4" w:space="0" w:color="000000"/>
              <w:left w:val="single" w:sz="4" w:space="0" w:color="000000"/>
              <w:bottom w:val="single" w:sz="4" w:space="0" w:color="000000"/>
              <w:right w:val="single" w:sz="4" w:space="0" w:color="000000"/>
            </w:tcBorders>
            <w:vAlign w:val="center"/>
          </w:tcPr>
          <w:p w14:paraId="0F7C360E" w14:textId="53E80C7F" w:rsidR="00C05E4B" w:rsidRPr="004142F1" w:rsidRDefault="00000000" w:rsidP="00B04E42">
            <w:pPr>
              <w:spacing w:after="0" w:line="259" w:lineRule="auto"/>
              <w:ind w:left="0" w:firstLine="0"/>
              <w:jc w:val="center"/>
              <w:rPr>
                <w:sz w:val="28"/>
                <w:szCs w:val="28"/>
              </w:rPr>
            </w:pPr>
            <w:r w:rsidRPr="004142F1">
              <w:rPr>
                <w:b/>
                <w:sz w:val="28"/>
                <w:szCs w:val="28"/>
              </w:rPr>
              <w:lastRenderedPageBreak/>
              <w:t>Characteristic</w:t>
            </w:r>
          </w:p>
        </w:tc>
        <w:tc>
          <w:tcPr>
            <w:tcW w:w="2685" w:type="dxa"/>
            <w:tcBorders>
              <w:top w:val="single" w:sz="4" w:space="0" w:color="000000"/>
              <w:left w:val="single" w:sz="4" w:space="0" w:color="000000"/>
              <w:bottom w:val="single" w:sz="4" w:space="0" w:color="000000"/>
              <w:right w:val="single" w:sz="4" w:space="0" w:color="000000"/>
            </w:tcBorders>
            <w:vAlign w:val="center"/>
          </w:tcPr>
          <w:p w14:paraId="4A7F0D58" w14:textId="1EB7A1DF" w:rsidR="00C05E4B" w:rsidRPr="004142F1" w:rsidRDefault="00000000" w:rsidP="00B04E42">
            <w:pPr>
              <w:spacing w:after="43" w:line="259" w:lineRule="auto"/>
              <w:ind w:left="44" w:firstLine="0"/>
              <w:jc w:val="center"/>
              <w:rPr>
                <w:sz w:val="28"/>
                <w:szCs w:val="28"/>
                <w:lang w:val="en-US"/>
              </w:rPr>
            </w:pPr>
            <w:r w:rsidRPr="004142F1">
              <w:rPr>
                <w:b/>
                <w:sz w:val="28"/>
                <w:szCs w:val="28"/>
                <w:lang w:val="en-US"/>
              </w:rPr>
              <w:t>Arithmetic mean ± Standard deviation</w:t>
            </w:r>
            <w:r w:rsidR="00B04E42">
              <w:rPr>
                <w:b/>
                <w:sz w:val="28"/>
                <w:szCs w:val="28"/>
                <w:lang w:val="en-US"/>
              </w:rPr>
              <w:t xml:space="preserve"> </w:t>
            </w:r>
            <w:r w:rsidRPr="004142F1">
              <w:rPr>
                <w:b/>
                <w:sz w:val="28"/>
                <w:szCs w:val="28"/>
                <w:lang w:val="en-US"/>
              </w:rPr>
              <w:t>(Geometric mean)</w:t>
            </w:r>
          </w:p>
        </w:tc>
      </w:tr>
      <w:tr w:rsidR="00C05E4B" w:rsidRPr="004142F1" w14:paraId="01D71021" w14:textId="77777777" w:rsidTr="00B04E42">
        <w:trPr>
          <w:trHeight w:val="243"/>
          <w:jc w:val="center"/>
        </w:trPr>
        <w:tc>
          <w:tcPr>
            <w:tcW w:w="5446" w:type="dxa"/>
            <w:tcBorders>
              <w:top w:val="single" w:sz="4" w:space="0" w:color="000000"/>
              <w:left w:val="single" w:sz="4" w:space="0" w:color="000000"/>
              <w:bottom w:val="single" w:sz="4" w:space="0" w:color="000000"/>
              <w:right w:val="single" w:sz="4" w:space="0" w:color="000000"/>
            </w:tcBorders>
          </w:tcPr>
          <w:p w14:paraId="4D825A2F" w14:textId="77777777" w:rsidR="00C05E4B" w:rsidRPr="004142F1" w:rsidRDefault="00000000">
            <w:pPr>
              <w:spacing w:after="0" w:line="259" w:lineRule="auto"/>
              <w:ind w:left="0" w:firstLine="0"/>
              <w:rPr>
                <w:sz w:val="28"/>
                <w:szCs w:val="28"/>
              </w:rPr>
            </w:pPr>
            <w:r w:rsidRPr="004142F1">
              <w:rPr>
                <w:sz w:val="28"/>
                <w:szCs w:val="28"/>
              </w:rPr>
              <w:t>Maximum concentration (C</w:t>
            </w:r>
            <w:r w:rsidRPr="004142F1">
              <w:rPr>
                <w:sz w:val="28"/>
                <w:szCs w:val="28"/>
                <w:vertAlign w:val="subscript"/>
              </w:rPr>
              <w:t>max</w:t>
            </w:r>
            <w:r w:rsidRPr="004142F1">
              <w:rPr>
                <w:sz w:val="28"/>
                <w:szCs w:val="28"/>
              </w:rPr>
              <w:t xml:space="preserve">)  </w:t>
            </w:r>
          </w:p>
        </w:tc>
        <w:tc>
          <w:tcPr>
            <w:tcW w:w="2685" w:type="dxa"/>
            <w:tcBorders>
              <w:top w:val="single" w:sz="4" w:space="0" w:color="000000"/>
              <w:left w:val="single" w:sz="4" w:space="0" w:color="000000"/>
              <w:bottom w:val="single" w:sz="4" w:space="0" w:color="000000"/>
              <w:right w:val="single" w:sz="4" w:space="0" w:color="000000"/>
            </w:tcBorders>
          </w:tcPr>
          <w:p w14:paraId="2174330C" w14:textId="10F1010F" w:rsidR="00C05E4B" w:rsidRPr="004142F1" w:rsidRDefault="00000000" w:rsidP="00B04E42">
            <w:pPr>
              <w:spacing w:after="83" w:line="259" w:lineRule="auto"/>
              <w:ind w:left="103" w:firstLine="0"/>
              <w:jc w:val="center"/>
              <w:rPr>
                <w:sz w:val="28"/>
                <w:szCs w:val="28"/>
              </w:rPr>
            </w:pPr>
            <w:r w:rsidRPr="004142F1">
              <w:rPr>
                <w:sz w:val="28"/>
                <w:szCs w:val="28"/>
              </w:rPr>
              <w:t>84 ± 89</w:t>
            </w:r>
            <w:r w:rsidR="00B04E42">
              <w:rPr>
                <w:sz w:val="28"/>
                <w:szCs w:val="28"/>
                <w:lang w:val="en-US"/>
              </w:rPr>
              <w:t xml:space="preserve"> </w:t>
            </w:r>
            <w:r w:rsidRPr="004142F1">
              <w:rPr>
                <w:sz w:val="28"/>
                <w:szCs w:val="28"/>
              </w:rPr>
              <w:t xml:space="preserve">(56)  </w:t>
            </w:r>
          </w:p>
        </w:tc>
      </w:tr>
      <w:tr w:rsidR="00C05E4B" w:rsidRPr="004142F1" w14:paraId="33BBC776" w14:textId="77777777" w:rsidTr="00B04E42">
        <w:trPr>
          <w:trHeight w:val="680"/>
          <w:jc w:val="center"/>
        </w:trPr>
        <w:tc>
          <w:tcPr>
            <w:tcW w:w="5446" w:type="dxa"/>
            <w:tcBorders>
              <w:top w:val="single" w:sz="4" w:space="0" w:color="000000"/>
              <w:left w:val="single" w:sz="4" w:space="0" w:color="000000"/>
              <w:bottom w:val="single" w:sz="4" w:space="0" w:color="000000"/>
              <w:right w:val="single" w:sz="4" w:space="0" w:color="000000"/>
            </w:tcBorders>
          </w:tcPr>
          <w:p w14:paraId="203C3763" w14:textId="77777777" w:rsidR="00B04E42" w:rsidRDefault="00000000">
            <w:pPr>
              <w:spacing w:after="0" w:line="259" w:lineRule="auto"/>
              <w:ind w:left="0" w:firstLine="0"/>
              <w:jc w:val="both"/>
              <w:rPr>
                <w:sz w:val="28"/>
                <w:szCs w:val="28"/>
                <w:lang w:val="en-US"/>
              </w:rPr>
            </w:pPr>
            <w:r w:rsidRPr="004142F1">
              <w:rPr>
                <w:sz w:val="28"/>
                <w:szCs w:val="28"/>
                <w:lang w:val="en-US"/>
              </w:rPr>
              <w:t>Area under the curve (AUC</w:t>
            </w:r>
            <w:r w:rsidRPr="004142F1">
              <w:rPr>
                <w:sz w:val="28"/>
                <w:szCs w:val="28"/>
                <w:vertAlign w:val="subscript"/>
                <w:lang w:val="en-US"/>
              </w:rPr>
              <w:t>0-∞</w:t>
            </w:r>
            <w:r w:rsidRPr="004142F1">
              <w:rPr>
                <w:sz w:val="28"/>
                <w:szCs w:val="28"/>
                <w:lang w:val="en-US"/>
              </w:rPr>
              <w:t xml:space="preserve">), </w:t>
            </w:r>
          </w:p>
          <w:p w14:paraId="32928161" w14:textId="08C24776" w:rsidR="00C05E4B" w:rsidRPr="004142F1" w:rsidRDefault="00000000">
            <w:pPr>
              <w:spacing w:after="0" w:line="259" w:lineRule="auto"/>
              <w:ind w:left="0" w:firstLine="0"/>
              <w:jc w:val="both"/>
              <w:rPr>
                <w:sz w:val="28"/>
                <w:szCs w:val="28"/>
                <w:lang w:val="en-US"/>
              </w:rPr>
            </w:pPr>
            <w:r w:rsidRPr="004142F1">
              <w:rPr>
                <w:sz w:val="28"/>
                <w:szCs w:val="28"/>
                <w:lang w:val="en-US"/>
              </w:rPr>
              <w:t xml:space="preserve">a measure of the extent of absorption  </w:t>
            </w:r>
          </w:p>
        </w:tc>
        <w:tc>
          <w:tcPr>
            <w:tcW w:w="2685" w:type="dxa"/>
            <w:tcBorders>
              <w:top w:val="single" w:sz="4" w:space="0" w:color="000000"/>
              <w:left w:val="single" w:sz="4" w:space="0" w:color="000000"/>
              <w:bottom w:val="single" w:sz="4" w:space="0" w:color="000000"/>
              <w:right w:val="single" w:sz="4" w:space="0" w:color="000000"/>
            </w:tcBorders>
          </w:tcPr>
          <w:p w14:paraId="397A3358" w14:textId="77777777" w:rsidR="00C05E4B" w:rsidRPr="004142F1" w:rsidRDefault="00000000">
            <w:pPr>
              <w:spacing w:after="76" w:line="259" w:lineRule="auto"/>
              <w:ind w:left="113" w:firstLine="0"/>
              <w:jc w:val="center"/>
              <w:rPr>
                <w:sz w:val="28"/>
                <w:szCs w:val="28"/>
              </w:rPr>
            </w:pPr>
            <w:r w:rsidRPr="004142F1">
              <w:rPr>
                <w:sz w:val="28"/>
                <w:szCs w:val="28"/>
              </w:rPr>
              <w:t xml:space="preserve">314 ± 368  </w:t>
            </w:r>
          </w:p>
          <w:p w14:paraId="20107DEE" w14:textId="77777777" w:rsidR="00C05E4B" w:rsidRPr="004142F1" w:rsidRDefault="00000000">
            <w:pPr>
              <w:spacing w:after="0" w:line="259" w:lineRule="auto"/>
              <w:ind w:left="212" w:firstLine="0"/>
              <w:jc w:val="center"/>
              <w:rPr>
                <w:sz w:val="28"/>
                <w:szCs w:val="28"/>
              </w:rPr>
            </w:pPr>
            <w:r w:rsidRPr="004142F1">
              <w:rPr>
                <w:sz w:val="28"/>
                <w:szCs w:val="28"/>
              </w:rPr>
              <w:t xml:space="preserve">  </w:t>
            </w:r>
          </w:p>
        </w:tc>
      </w:tr>
      <w:tr w:rsidR="00C05E4B" w:rsidRPr="004142F1" w14:paraId="5B29CFB5" w14:textId="77777777" w:rsidTr="00B04E42">
        <w:trPr>
          <w:trHeight w:val="442"/>
          <w:jc w:val="center"/>
        </w:trPr>
        <w:tc>
          <w:tcPr>
            <w:tcW w:w="5446" w:type="dxa"/>
            <w:tcBorders>
              <w:top w:val="single" w:sz="4" w:space="0" w:color="000000"/>
              <w:left w:val="single" w:sz="4" w:space="0" w:color="000000"/>
              <w:bottom w:val="single" w:sz="4" w:space="0" w:color="000000"/>
              <w:right w:val="single" w:sz="4" w:space="0" w:color="000000"/>
            </w:tcBorders>
          </w:tcPr>
          <w:p w14:paraId="45DFD5F4" w14:textId="77777777" w:rsidR="00C05E4B" w:rsidRPr="004142F1" w:rsidRDefault="00000000">
            <w:pPr>
              <w:spacing w:after="0" w:line="259" w:lineRule="auto"/>
              <w:ind w:left="0" w:firstLine="0"/>
              <w:rPr>
                <w:sz w:val="28"/>
                <w:szCs w:val="28"/>
                <w:lang w:val="en-US"/>
              </w:rPr>
            </w:pPr>
            <w:r w:rsidRPr="004142F1">
              <w:rPr>
                <w:sz w:val="28"/>
                <w:szCs w:val="28"/>
                <w:lang w:val="en-US"/>
              </w:rPr>
              <w:t>Time to attain maximum concentration (T</w:t>
            </w:r>
            <w:r w:rsidRPr="004142F1">
              <w:rPr>
                <w:sz w:val="28"/>
                <w:szCs w:val="28"/>
                <w:vertAlign w:val="subscript"/>
                <w:lang w:val="en-US"/>
              </w:rPr>
              <w:t>max</w:t>
            </w:r>
            <w:r w:rsidRPr="004142F1">
              <w:rPr>
                <w:sz w:val="28"/>
                <w:szCs w:val="28"/>
                <w:lang w:val="en-US"/>
              </w:rPr>
              <w:t xml:space="preserve">)  </w:t>
            </w:r>
          </w:p>
        </w:tc>
        <w:tc>
          <w:tcPr>
            <w:tcW w:w="2685" w:type="dxa"/>
            <w:tcBorders>
              <w:top w:val="single" w:sz="4" w:space="0" w:color="000000"/>
              <w:left w:val="single" w:sz="4" w:space="0" w:color="000000"/>
              <w:bottom w:val="single" w:sz="4" w:space="0" w:color="000000"/>
              <w:right w:val="single" w:sz="4" w:space="0" w:color="000000"/>
            </w:tcBorders>
          </w:tcPr>
          <w:p w14:paraId="371FD48C" w14:textId="77777777" w:rsidR="00C05E4B" w:rsidRPr="004142F1" w:rsidRDefault="00000000">
            <w:pPr>
              <w:spacing w:after="0" w:line="259" w:lineRule="auto"/>
              <w:ind w:left="50" w:firstLine="0"/>
              <w:jc w:val="center"/>
              <w:rPr>
                <w:sz w:val="28"/>
                <w:szCs w:val="28"/>
              </w:rPr>
            </w:pPr>
            <w:r w:rsidRPr="004142F1">
              <w:rPr>
                <w:sz w:val="28"/>
                <w:szCs w:val="28"/>
                <w:lang w:val="en-US"/>
              </w:rPr>
              <w:t xml:space="preserve">  </w:t>
            </w:r>
            <w:r w:rsidRPr="004142F1">
              <w:rPr>
                <w:sz w:val="28"/>
                <w:szCs w:val="28"/>
              </w:rPr>
              <w:t xml:space="preserve">4.0 (1.33 – 5.0)  </w:t>
            </w:r>
          </w:p>
        </w:tc>
      </w:tr>
    </w:tbl>
    <w:p w14:paraId="4A373589" w14:textId="2A5DA72C" w:rsidR="00C05E4B" w:rsidRPr="00B04E42" w:rsidRDefault="00000000" w:rsidP="00B04E42">
      <w:pPr>
        <w:spacing w:after="28" w:line="259" w:lineRule="auto"/>
        <w:ind w:left="14" w:firstLine="0"/>
        <w:rPr>
          <w:rFonts w:cs="Times New Roman"/>
          <w:sz w:val="28"/>
          <w:szCs w:val="28"/>
          <w:lang w:val="en-US"/>
        </w:rPr>
      </w:pPr>
      <w:r w:rsidRPr="004142F1">
        <w:rPr>
          <w:rFonts w:cs="Times New Roman"/>
          <w:sz w:val="28"/>
          <w:szCs w:val="28"/>
        </w:rPr>
        <w:t xml:space="preserve">  </w:t>
      </w:r>
    </w:p>
    <w:p w14:paraId="1D8BDF66" w14:textId="6DED785C" w:rsidR="00C05E4B" w:rsidRPr="00B04E42" w:rsidRDefault="00000000" w:rsidP="00B04E42">
      <w:pPr>
        <w:spacing w:after="240" w:line="259" w:lineRule="auto"/>
        <w:ind w:left="11" w:firstLine="709"/>
        <w:rPr>
          <w:rFonts w:cs="Times New Roman"/>
          <w:bCs/>
          <w:sz w:val="28"/>
          <w:szCs w:val="28"/>
          <w:lang w:val="en-US"/>
        </w:rPr>
      </w:pPr>
      <w:r w:rsidRPr="00B04E42">
        <w:rPr>
          <w:rFonts w:cs="Times New Roman"/>
          <w:bCs/>
          <w:sz w:val="28"/>
          <w:szCs w:val="28"/>
          <w:u w:val="single" w:color="000000"/>
        </w:rPr>
        <w:t>Pharmacokinetics of albendazole</w:t>
      </w:r>
      <w:r w:rsidRPr="00B04E42">
        <w:rPr>
          <w:rFonts w:cs="Times New Roman"/>
          <w:bCs/>
          <w:sz w:val="28"/>
          <w:szCs w:val="28"/>
        </w:rPr>
        <w:t xml:space="preserve">  </w:t>
      </w:r>
    </w:p>
    <w:tbl>
      <w:tblPr>
        <w:tblStyle w:val="TableGrid"/>
        <w:tblW w:w="9638" w:type="dxa"/>
        <w:tblInd w:w="24" w:type="dxa"/>
        <w:tblCellMar>
          <w:top w:w="24" w:type="dxa"/>
          <w:left w:w="106" w:type="dxa"/>
          <w:bottom w:w="29" w:type="dxa"/>
          <w:right w:w="0" w:type="dxa"/>
        </w:tblCellMar>
        <w:tblLook w:val="04A0" w:firstRow="1" w:lastRow="0" w:firstColumn="1" w:lastColumn="0" w:noHBand="0" w:noVBand="1"/>
      </w:tblPr>
      <w:tblGrid>
        <w:gridCol w:w="3090"/>
        <w:gridCol w:w="6548"/>
      </w:tblGrid>
      <w:tr w:rsidR="00B04E42" w:rsidRPr="004142F1" w14:paraId="266062F4" w14:textId="77777777" w:rsidTr="00B04E42">
        <w:trPr>
          <w:trHeight w:val="107"/>
        </w:trPr>
        <w:tc>
          <w:tcPr>
            <w:tcW w:w="9638" w:type="dxa"/>
            <w:gridSpan w:val="2"/>
            <w:tcBorders>
              <w:top w:val="single" w:sz="4" w:space="0" w:color="BFBFBF"/>
              <w:left w:val="single" w:sz="4" w:space="0" w:color="BFBFBF"/>
              <w:bottom w:val="single" w:sz="4" w:space="0" w:color="BFBFBF"/>
              <w:right w:val="single" w:sz="4" w:space="0" w:color="BFBFBF"/>
            </w:tcBorders>
          </w:tcPr>
          <w:p w14:paraId="5F3F9C69" w14:textId="6B4DA3E2" w:rsidR="00B04E42" w:rsidRPr="004142F1" w:rsidRDefault="00B04E42" w:rsidP="00B04E42">
            <w:pPr>
              <w:spacing w:after="105" w:line="240" w:lineRule="auto"/>
              <w:ind w:left="19" w:hanging="19"/>
              <w:rPr>
                <w:sz w:val="28"/>
                <w:szCs w:val="28"/>
                <w:lang w:val="en-US"/>
              </w:rPr>
            </w:pPr>
            <w:r>
              <w:rPr>
                <w:b/>
                <w:sz w:val="28"/>
                <w:szCs w:val="28"/>
                <w:lang w:val="en-US"/>
              </w:rPr>
              <w:t>General</w:t>
            </w:r>
          </w:p>
        </w:tc>
      </w:tr>
      <w:tr w:rsidR="00C05E4B" w:rsidRPr="004142F1" w14:paraId="7D013071" w14:textId="77777777" w:rsidTr="00B04E42">
        <w:trPr>
          <w:trHeight w:val="1954"/>
        </w:trPr>
        <w:tc>
          <w:tcPr>
            <w:tcW w:w="3090" w:type="dxa"/>
            <w:tcBorders>
              <w:top w:val="single" w:sz="4" w:space="0" w:color="BFBFBF"/>
              <w:left w:val="single" w:sz="4" w:space="0" w:color="BFBFBF"/>
              <w:bottom w:val="single" w:sz="4" w:space="0" w:color="BFBFBF"/>
              <w:right w:val="single" w:sz="4" w:space="0" w:color="BFBFBF"/>
            </w:tcBorders>
          </w:tcPr>
          <w:p w14:paraId="1A060813" w14:textId="77777777" w:rsidR="00C05E4B" w:rsidRPr="004142F1" w:rsidRDefault="00000000">
            <w:pPr>
              <w:spacing w:after="0" w:line="259" w:lineRule="auto"/>
              <w:ind w:left="0" w:firstLine="0"/>
              <w:rPr>
                <w:sz w:val="28"/>
                <w:szCs w:val="28"/>
              </w:rPr>
            </w:pPr>
            <w:r w:rsidRPr="004142F1">
              <w:rPr>
                <w:b/>
                <w:sz w:val="28"/>
                <w:szCs w:val="28"/>
              </w:rPr>
              <w:t xml:space="preserve"> </w:t>
            </w:r>
            <w:r w:rsidRPr="004142F1">
              <w:rPr>
                <w:sz w:val="28"/>
                <w:szCs w:val="28"/>
              </w:rPr>
              <w:t xml:space="preserve"> </w:t>
            </w:r>
          </w:p>
        </w:tc>
        <w:tc>
          <w:tcPr>
            <w:tcW w:w="6548" w:type="dxa"/>
            <w:tcBorders>
              <w:top w:val="single" w:sz="4" w:space="0" w:color="BFBFBF"/>
              <w:left w:val="single" w:sz="4" w:space="0" w:color="BFBFBF"/>
              <w:bottom w:val="single" w:sz="4" w:space="0" w:color="BFBFBF"/>
              <w:right w:val="single" w:sz="4" w:space="0" w:color="BFBFBF"/>
            </w:tcBorders>
          </w:tcPr>
          <w:p w14:paraId="74708755" w14:textId="77777777" w:rsidR="00C05E4B" w:rsidRPr="004142F1" w:rsidRDefault="00000000">
            <w:pPr>
              <w:spacing w:after="105" w:line="267" w:lineRule="auto"/>
              <w:ind w:left="19" w:hanging="19"/>
              <w:rPr>
                <w:sz w:val="28"/>
                <w:szCs w:val="28"/>
                <w:lang w:val="en-US"/>
              </w:rPr>
            </w:pPr>
            <w:r w:rsidRPr="004142F1">
              <w:rPr>
                <w:sz w:val="28"/>
                <w:szCs w:val="28"/>
                <w:lang w:val="en-US"/>
              </w:rPr>
              <w:t xml:space="preserve">Albendazole concentrations are negligible or undetectable in plasma as it is rapidly converted into the sulfoxide metabolite prior to reaching the systemic circulation. The systemic anthelmintic activity has been attributed to this primary metabolite, albendazole sulfoxide.  </w:t>
            </w:r>
          </w:p>
          <w:p w14:paraId="1C04BE31" w14:textId="77777777" w:rsidR="00C05E4B" w:rsidRPr="004142F1" w:rsidRDefault="00000000">
            <w:pPr>
              <w:spacing w:after="0" w:line="259" w:lineRule="auto"/>
              <w:ind w:left="14" w:hanging="14"/>
              <w:jc w:val="both"/>
              <w:rPr>
                <w:sz w:val="28"/>
                <w:szCs w:val="28"/>
                <w:lang w:val="en-US"/>
              </w:rPr>
            </w:pPr>
            <w:r w:rsidRPr="004142F1">
              <w:rPr>
                <w:sz w:val="28"/>
                <w:szCs w:val="28"/>
                <w:lang w:val="en-US"/>
              </w:rPr>
              <w:t xml:space="preserve">Maximal plasma concentrations of albendazole sulfoxide are typically achieved 2 to 5 hours after dosing.  </w:t>
            </w:r>
          </w:p>
        </w:tc>
      </w:tr>
      <w:tr w:rsidR="00C05E4B" w:rsidRPr="004142F1" w14:paraId="0A395E57" w14:textId="77777777" w:rsidTr="00B04E42">
        <w:trPr>
          <w:trHeight w:val="30"/>
        </w:trPr>
        <w:tc>
          <w:tcPr>
            <w:tcW w:w="9638" w:type="dxa"/>
            <w:gridSpan w:val="2"/>
            <w:tcBorders>
              <w:top w:val="single" w:sz="4" w:space="0" w:color="BFBFBF"/>
              <w:left w:val="single" w:sz="4" w:space="0" w:color="BFBFBF"/>
              <w:bottom w:val="single" w:sz="4" w:space="0" w:color="BFBFBF"/>
              <w:right w:val="single" w:sz="4" w:space="0" w:color="BFBFBF"/>
            </w:tcBorders>
          </w:tcPr>
          <w:p w14:paraId="3ED19B23" w14:textId="5340A333" w:rsidR="00C05E4B" w:rsidRPr="00B04E42" w:rsidRDefault="00000000" w:rsidP="00B04E42">
            <w:pPr>
              <w:spacing w:after="0" w:line="240" w:lineRule="auto"/>
              <w:rPr>
                <w:sz w:val="28"/>
                <w:szCs w:val="28"/>
                <w:lang w:val="en-US"/>
              </w:rPr>
            </w:pPr>
            <w:r w:rsidRPr="004142F1">
              <w:rPr>
                <w:b/>
                <w:sz w:val="28"/>
                <w:szCs w:val="28"/>
              </w:rPr>
              <w:t xml:space="preserve">Absorption </w:t>
            </w:r>
            <w:r w:rsidRPr="004142F1">
              <w:rPr>
                <w:sz w:val="28"/>
                <w:szCs w:val="28"/>
              </w:rPr>
              <w:t xml:space="preserve"> </w:t>
            </w:r>
          </w:p>
        </w:tc>
      </w:tr>
      <w:tr w:rsidR="00C05E4B" w:rsidRPr="004142F1" w14:paraId="4E92A86F" w14:textId="77777777" w:rsidTr="00B04E42">
        <w:trPr>
          <w:trHeight w:val="257"/>
        </w:trPr>
        <w:tc>
          <w:tcPr>
            <w:tcW w:w="3090" w:type="dxa"/>
            <w:tcBorders>
              <w:top w:val="single" w:sz="4" w:space="0" w:color="BFBFBF"/>
              <w:left w:val="single" w:sz="4" w:space="0" w:color="BFBFBF"/>
              <w:bottom w:val="single" w:sz="4" w:space="0" w:color="BFBFBF"/>
              <w:right w:val="single" w:sz="4" w:space="0" w:color="BFBFBF"/>
            </w:tcBorders>
            <w:vAlign w:val="center"/>
          </w:tcPr>
          <w:p w14:paraId="55E4F42A" w14:textId="77777777" w:rsidR="00C05E4B" w:rsidRPr="004142F1" w:rsidRDefault="00000000">
            <w:pPr>
              <w:spacing w:after="0" w:line="259" w:lineRule="auto"/>
              <w:ind w:left="0" w:firstLine="0"/>
              <w:rPr>
                <w:sz w:val="28"/>
                <w:szCs w:val="28"/>
              </w:rPr>
            </w:pPr>
            <w:r w:rsidRPr="004142F1">
              <w:rPr>
                <w:sz w:val="28"/>
                <w:szCs w:val="28"/>
              </w:rPr>
              <w:t xml:space="preserve">Absolute bioavailability  </w:t>
            </w:r>
          </w:p>
        </w:tc>
        <w:tc>
          <w:tcPr>
            <w:tcW w:w="6548" w:type="dxa"/>
            <w:tcBorders>
              <w:top w:val="single" w:sz="4" w:space="0" w:color="BFBFBF"/>
              <w:left w:val="single" w:sz="4" w:space="0" w:color="BFBFBF"/>
              <w:bottom w:val="single" w:sz="4" w:space="0" w:color="BFBFBF"/>
              <w:right w:val="single" w:sz="4" w:space="0" w:color="BFBFBF"/>
            </w:tcBorders>
            <w:vAlign w:val="center"/>
          </w:tcPr>
          <w:p w14:paraId="4B77D0D0" w14:textId="77777777" w:rsidR="00C05E4B" w:rsidRPr="004142F1" w:rsidRDefault="00000000">
            <w:pPr>
              <w:spacing w:after="0" w:line="259" w:lineRule="auto"/>
              <w:ind w:left="14" w:firstLine="0"/>
              <w:rPr>
                <w:sz w:val="28"/>
                <w:szCs w:val="28"/>
              </w:rPr>
            </w:pPr>
            <w:r w:rsidRPr="004142F1">
              <w:rPr>
                <w:sz w:val="28"/>
                <w:szCs w:val="28"/>
              </w:rPr>
              <w:t xml:space="preserve">NA*  </w:t>
            </w:r>
          </w:p>
        </w:tc>
      </w:tr>
      <w:tr w:rsidR="00C05E4B" w:rsidRPr="004142F1" w14:paraId="215F3231" w14:textId="77777777" w:rsidTr="00B04E42">
        <w:trPr>
          <w:trHeight w:val="546"/>
        </w:trPr>
        <w:tc>
          <w:tcPr>
            <w:tcW w:w="3090" w:type="dxa"/>
            <w:tcBorders>
              <w:top w:val="single" w:sz="4" w:space="0" w:color="BFBFBF"/>
              <w:left w:val="single" w:sz="4" w:space="0" w:color="BFBFBF"/>
              <w:bottom w:val="single" w:sz="4" w:space="0" w:color="BFBFBF"/>
              <w:right w:val="single" w:sz="4" w:space="0" w:color="BFBFBF"/>
            </w:tcBorders>
          </w:tcPr>
          <w:p w14:paraId="6B54813D" w14:textId="77777777" w:rsidR="00C05E4B" w:rsidRPr="004142F1" w:rsidRDefault="00000000">
            <w:pPr>
              <w:spacing w:after="0" w:line="259" w:lineRule="auto"/>
              <w:ind w:left="0" w:firstLine="0"/>
              <w:rPr>
                <w:sz w:val="28"/>
                <w:szCs w:val="28"/>
              </w:rPr>
            </w:pPr>
            <w:r w:rsidRPr="004142F1">
              <w:rPr>
                <w:sz w:val="28"/>
                <w:szCs w:val="28"/>
              </w:rPr>
              <w:t>Oral bioavailability</w:t>
            </w:r>
            <w:r w:rsidRPr="004142F1">
              <w:rPr>
                <w:sz w:val="28"/>
                <w:szCs w:val="28"/>
                <w:vertAlign w:val="superscript"/>
              </w:rPr>
              <w:t xml:space="preserve"> </w:t>
            </w:r>
            <w:r w:rsidRPr="004142F1">
              <w:rPr>
                <w:sz w:val="28"/>
                <w:szCs w:val="28"/>
              </w:rPr>
              <w:t xml:space="preserve"> </w:t>
            </w:r>
          </w:p>
        </w:tc>
        <w:tc>
          <w:tcPr>
            <w:tcW w:w="6548" w:type="dxa"/>
            <w:tcBorders>
              <w:top w:val="single" w:sz="4" w:space="0" w:color="BFBFBF"/>
              <w:left w:val="single" w:sz="4" w:space="0" w:color="BFBFBF"/>
              <w:bottom w:val="single" w:sz="4" w:space="0" w:color="BFBFBF"/>
              <w:right w:val="single" w:sz="4" w:space="0" w:color="BFBFBF"/>
            </w:tcBorders>
            <w:vAlign w:val="center"/>
          </w:tcPr>
          <w:p w14:paraId="23EEF5FA" w14:textId="77777777" w:rsidR="00C05E4B" w:rsidRPr="004142F1" w:rsidRDefault="00000000">
            <w:pPr>
              <w:spacing w:after="0" w:line="259" w:lineRule="auto"/>
              <w:ind w:left="14" w:firstLine="0"/>
              <w:jc w:val="both"/>
              <w:rPr>
                <w:sz w:val="28"/>
                <w:szCs w:val="28"/>
                <w:lang w:val="en-US"/>
              </w:rPr>
            </w:pPr>
            <w:r w:rsidRPr="004142F1">
              <w:rPr>
                <w:sz w:val="28"/>
                <w:szCs w:val="28"/>
                <w:lang w:val="en-US"/>
              </w:rPr>
              <w:t xml:space="preserve">Albendazole is poorly absorbed from the gastrointestinal tract (&lt;5%) due to its low aqueous solubility.  </w:t>
            </w:r>
          </w:p>
        </w:tc>
      </w:tr>
      <w:tr w:rsidR="00C05E4B" w:rsidRPr="004142F1" w14:paraId="45ED46BD" w14:textId="77777777" w:rsidTr="00B04E42">
        <w:trPr>
          <w:trHeight w:val="30"/>
        </w:trPr>
        <w:tc>
          <w:tcPr>
            <w:tcW w:w="3090" w:type="dxa"/>
            <w:tcBorders>
              <w:top w:val="single" w:sz="4" w:space="0" w:color="BFBFBF"/>
              <w:left w:val="single" w:sz="4" w:space="0" w:color="BFBFBF"/>
              <w:bottom w:val="single" w:sz="4" w:space="0" w:color="BFBFBF"/>
              <w:right w:val="single" w:sz="4" w:space="0" w:color="BFBFBF"/>
            </w:tcBorders>
          </w:tcPr>
          <w:p w14:paraId="5C154862" w14:textId="77777777" w:rsidR="00C05E4B" w:rsidRPr="004142F1" w:rsidRDefault="00000000">
            <w:pPr>
              <w:spacing w:after="0" w:line="259" w:lineRule="auto"/>
              <w:ind w:left="0" w:firstLine="0"/>
              <w:rPr>
                <w:sz w:val="28"/>
                <w:szCs w:val="28"/>
              </w:rPr>
            </w:pPr>
            <w:r w:rsidRPr="004142F1">
              <w:rPr>
                <w:sz w:val="28"/>
                <w:szCs w:val="28"/>
              </w:rPr>
              <w:t xml:space="preserve">Food effect  </w:t>
            </w:r>
          </w:p>
        </w:tc>
        <w:tc>
          <w:tcPr>
            <w:tcW w:w="6548" w:type="dxa"/>
            <w:tcBorders>
              <w:top w:val="single" w:sz="4" w:space="0" w:color="BFBFBF"/>
              <w:left w:val="single" w:sz="4" w:space="0" w:color="BFBFBF"/>
              <w:bottom w:val="single" w:sz="4" w:space="0" w:color="BFBFBF"/>
              <w:right w:val="single" w:sz="4" w:space="0" w:color="BFBFBF"/>
            </w:tcBorders>
            <w:vAlign w:val="center"/>
          </w:tcPr>
          <w:p w14:paraId="3786B57D" w14:textId="77777777" w:rsidR="00C05E4B" w:rsidRPr="004142F1" w:rsidRDefault="00000000">
            <w:pPr>
              <w:spacing w:after="0" w:line="259" w:lineRule="auto"/>
              <w:ind w:left="14" w:right="2" w:firstLine="0"/>
              <w:jc w:val="both"/>
              <w:rPr>
                <w:sz w:val="28"/>
                <w:szCs w:val="28"/>
                <w:lang w:val="en-US"/>
              </w:rPr>
            </w:pPr>
            <w:r w:rsidRPr="004142F1">
              <w:rPr>
                <w:sz w:val="28"/>
                <w:szCs w:val="28"/>
                <w:lang w:val="en-US"/>
              </w:rPr>
              <w:t xml:space="preserve">Absorption is significantly enhanced (approximately 5-fold) if albendazole is administered with a fatty meal.  </w:t>
            </w:r>
          </w:p>
        </w:tc>
      </w:tr>
      <w:tr w:rsidR="00C05E4B" w:rsidRPr="004142F1" w14:paraId="0B3D10E2" w14:textId="77777777" w:rsidTr="00B04E42">
        <w:trPr>
          <w:trHeight w:val="30"/>
        </w:trPr>
        <w:tc>
          <w:tcPr>
            <w:tcW w:w="9638" w:type="dxa"/>
            <w:gridSpan w:val="2"/>
            <w:tcBorders>
              <w:top w:val="single" w:sz="4" w:space="0" w:color="BFBFBF"/>
              <w:left w:val="single" w:sz="4" w:space="0" w:color="BFBFBF"/>
              <w:bottom w:val="single" w:sz="4" w:space="0" w:color="BFBFBF"/>
              <w:right w:val="single" w:sz="4" w:space="0" w:color="BFBFBF"/>
            </w:tcBorders>
          </w:tcPr>
          <w:p w14:paraId="64AAE5C1" w14:textId="453D7D36" w:rsidR="00C05E4B" w:rsidRPr="00B04E42" w:rsidRDefault="00000000" w:rsidP="00B04E42">
            <w:pPr>
              <w:spacing w:after="0" w:line="259" w:lineRule="auto"/>
              <w:rPr>
                <w:sz w:val="28"/>
                <w:szCs w:val="28"/>
                <w:lang w:val="en-US"/>
              </w:rPr>
            </w:pPr>
            <w:r w:rsidRPr="004142F1">
              <w:rPr>
                <w:b/>
                <w:sz w:val="28"/>
                <w:szCs w:val="28"/>
              </w:rPr>
              <w:t xml:space="preserve">Distribution </w:t>
            </w:r>
            <w:r w:rsidRPr="004142F1">
              <w:rPr>
                <w:sz w:val="28"/>
                <w:szCs w:val="28"/>
              </w:rPr>
              <w:t xml:space="preserve"> </w:t>
            </w:r>
          </w:p>
        </w:tc>
      </w:tr>
      <w:tr w:rsidR="00C05E4B" w:rsidRPr="004142F1" w14:paraId="1F8D1486" w14:textId="77777777" w:rsidTr="00B04E42">
        <w:trPr>
          <w:trHeight w:val="590"/>
        </w:trPr>
        <w:tc>
          <w:tcPr>
            <w:tcW w:w="3090" w:type="dxa"/>
            <w:tcBorders>
              <w:top w:val="single" w:sz="4" w:space="0" w:color="BFBFBF"/>
              <w:left w:val="single" w:sz="4" w:space="0" w:color="BFBFBF"/>
              <w:bottom w:val="single" w:sz="4" w:space="0" w:color="BFBFBF"/>
              <w:right w:val="single" w:sz="4" w:space="0" w:color="BFBFBF"/>
            </w:tcBorders>
            <w:vAlign w:val="center"/>
          </w:tcPr>
          <w:p w14:paraId="40BD5391" w14:textId="77777777" w:rsidR="00C05E4B" w:rsidRPr="004142F1" w:rsidRDefault="00000000">
            <w:pPr>
              <w:spacing w:after="0" w:line="259" w:lineRule="auto"/>
              <w:ind w:left="0" w:firstLine="0"/>
              <w:rPr>
                <w:sz w:val="28"/>
                <w:szCs w:val="28"/>
              </w:rPr>
            </w:pPr>
            <w:r w:rsidRPr="004142F1">
              <w:rPr>
                <w:sz w:val="28"/>
                <w:szCs w:val="28"/>
              </w:rPr>
              <w:t xml:space="preserve">Volume of distribution (mean)  </w:t>
            </w:r>
          </w:p>
        </w:tc>
        <w:tc>
          <w:tcPr>
            <w:tcW w:w="6548" w:type="dxa"/>
            <w:tcBorders>
              <w:top w:val="single" w:sz="4" w:space="0" w:color="BFBFBF"/>
              <w:left w:val="single" w:sz="4" w:space="0" w:color="BFBFBF"/>
              <w:bottom w:val="single" w:sz="4" w:space="0" w:color="BFBFBF"/>
              <w:right w:val="single" w:sz="4" w:space="0" w:color="BFBFBF"/>
            </w:tcBorders>
          </w:tcPr>
          <w:p w14:paraId="3A3BB49F" w14:textId="77777777" w:rsidR="00C05E4B" w:rsidRPr="004142F1" w:rsidRDefault="00000000" w:rsidP="00B04E42">
            <w:pPr>
              <w:spacing w:after="0" w:line="259" w:lineRule="auto"/>
              <w:ind w:left="14" w:firstLine="0"/>
              <w:rPr>
                <w:sz w:val="28"/>
                <w:szCs w:val="28"/>
              </w:rPr>
            </w:pPr>
            <w:r w:rsidRPr="004142F1">
              <w:rPr>
                <w:sz w:val="28"/>
                <w:szCs w:val="28"/>
              </w:rPr>
              <w:t xml:space="preserve">NA*  </w:t>
            </w:r>
          </w:p>
        </w:tc>
      </w:tr>
      <w:tr w:rsidR="00C05E4B" w:rsidRPr="004142F1" w14:paraId="643D1B84" w14:textId="77777777" w:rsidTr="00B04E42">
        <w:trPr>
          <w:trHeight w:val="860"/>
        </w:trPr>
        <w:tc>
          <w:tcPr>
            <w:tcW w:w="3090" w:type="dxa"/>
            <w:tcBorders>
              <w:top w:val="single" w:sz="4" w:space="0" w:color="BFBFBF"/>
              <w:left w:val="single" w:sz="4" w:space="0" w:color="BFBFBF"/>
              <w:bottom w:val="single" w:sz="4" w:space="0" w:color="BFBFBF"/>
              <w:right w:val="single" w:sz="4" w:space="0" w:color="BFBFBF"/>
            </w:tcBorders>
            <w:vAlign w:val="center"/>
          </w:tcPr>
          <w:p w14:paraId="02592D94" w14:textId="77777777" w:rsidR="00C05E4B" w:rsidRPr="004142F1" w:rsidRDefault="00000000">
            <w:pPr>
              <w:spacing w:after="0" w:line="259" w:lineRule="auto"/>
              <w:ind w:left="0" w:firstLine="0"/>
              <w:rPr>
                <w:sz w:val="28"/>
                <w:szCs w:val="28"/>
                <w:lang w:val="en-US"/>
              </w:rPr>
            </w:pPr>
            <w:r w:rsidRPr="004142F1">
              <w:rPr>
                <w:sz w:val="28"/>
                <w:szCs w:val="28"/>
                <w:lang w:val="en-US"/>
              </w:rPr>
              <w:t xml:space="preserve">Plasma protein binding </w:t>
            </w:r>
            <w:r w:rsidRPr="004142F1">
              <w:rPr>
                <w:i/>
                <w:sz w:val="28"/>
                <w:szCs w:val="28"/>
                <w:lang w:val="en-US"/>
              </w:rPr>
              <w:t>in vitro</w:t>
            </w:r>
            <w:r w:rsidRPr="004142F1">
              <w:rPr>
                <w:sz w:val="28"/>
                <w:szCs w:val="28"/>
                <w:lang w:val="en-US"/>
              </w:rPr>
              <w:t xml:space="preserve">  </w:t>
            </w:r>
          </w:p>
        </w:tc>
        <w:tc>
          <w:tcPr>
            <w:tcW w:w="6548" w:type="dxa"/>
            <w:tcBorders>
              <w:top w:val="single" w:sz="4" w:space="0" w:color="BFBFBF"/>
              <w:left w:val="single" w:sz="4" w:space="0" w:color="BFBFBF"/>
              <w:bottom w:val="single" w:sz="4" w:space="0" w:color="BFBFBF"/>
              <w:right w:val="single" w:sz="4" w:space="0" w:color="BFBFBF"/>
            </w:tcBorders>
          </w:tcPr>
          <w:p w14:paraId="32363286" w14:textId="77777777" w:rsidR="00C05E4B" w:rsidRPr="004142F1" w:rsidRDefault="00000000" w:rsidP="00B04E42">
            <w:pPr>
              <w:spacing w:after="0" w:line="259" w:lineRule="auto"/>
              <w:ind w:left="0" w:firstLine="0"/>
              <w:rPr>
                <w:sz w:val="28"/>
                <w:szCs w:val="28"/>
                <w:lang w:val="en-US"/>
              </w:rPr>
            </w:pPr>
            <w:r w:rsidRPr="004142F1">
              <w:rPr>
                <w:sz w:val="28"/>
                <w:szCs w:val="28"/>
                <w:lang w:val="en-US"/>
              </w:rPr>
              <w:t xml:space="preserve">Albendazole sulfoxide is 70% bound to plasma protein.  </w:t>
            </w:r>
          </w:p>
        </w:tc>
      </w:tr>
      <w:tr w:rsidR="00C05E4B" w:rsidRPr="004142F1" w14:paraId="3A8322BE" w14:textId="77777777" w:rsidTr="00B04E42">
        <w:trPr>
          <w:trHeight w:val="1061"/>
        </w:trPr>
        <w:tc>
          <w:tcPr>
            <w:tcW w:w="3090" w:type="dxa"/>
            <w:tcBorders>
              <w:top w:val="single" w:sz="4" w:space="0" w:color="BFBFBF"/>
              <w:left w:val="single" w:sz="4" w:space="0" w:color="BFBFBF"/>
              <w:bottom w:val="single" w:sz="4" w:space="0" w:color="BFBFBF"/>
              <w:right w:val="single" w:sz="4" w:space="0" w:color="BFBFBF"/>
            </w:tcBorders>
          </w:tcPr>
          <w:p w14:paraId="175589D2" w14:textId="77777777" w:rsidR="00C05E4B" w:rsidRPr="004142F1" w:rsidRDefault="00000000">
            <w:pPr>
              <w:spacing w:after="0" w:line="259" w:lineRule="auto"/>
              <w:ind w:left="0" w:firstLine="0"/>
              <w:rPr>
                <w:sz w:val="28"/>
                <w:szCs w:val="28"/>
              </w:rPr>
            </w:pPr>
            <w:r w:rsidRPr="004142F1">
              <w:rPr>
                <w:sz w:val="28"/>
                <w:szCs w:val="28"/>
              </w:rPr>
              <w:lastRenderedPageBreak/>
              <w:t xml:space="preserve">Tissue distribution  </w:t>
            </w:r>
          </w:p>
        </w:tc>
        <w:tc>
          <w:tcPr>
            <w:tcW w:w="6548" w:type="dxa"/>
            <w:tcBorders>
              <w:top w:val="single" w:sz="4" w:space="0" w:color="BFBFBF"/>
              <w:left w:val="single" w:sz="4" w:space="0" w:color="BFBFBF"/>
              <w:bottom w:val="single" w:sz="4" w:space="0" w:color="BFBFBF"/>
              <w:right w:val="single" w:sz="4" w:space="0" w:color="BFBFBF"/>
            </w:tcBorders>
          </w:tcPr>
          <w:p w14:paraId="47950239" w14:textId="77777777" w:rsidR="00C05E4B" w:rsidRPr="004142F1" w:rsidRDefault="00000000" w:rsidP="00B04E42">
            <w:pPr>
              <w:spacing w:after="0" w:line="259" w:lineRule="auto"/>
              <w:ind w:left="0" w:firstLine="0"/>
              <w:rPr>
                <w:sz w:val="28"/>
                <w:szCs w:val="28"/>
                <w:lang w:val="en-US"/>
              </w:rPr>
            </w:pPr>
            <w:r w:rsidRPr="004142F1">
              <w:rPr>
                <w:sz w:val="28"/>
                <w:szCs w:val="28"/>
                <w:lang w:val="en-US"/>
              </w:rPr>
              <w:t xml:space="preserve">Albendazole sulfoxide is widely distributed throughout the body; it has been detected in urine, bile, liver, cyst wall, cyst fluid, and cerebral spinal fluid.  </w:t>
            </w:r>
          </w:p>
        </w:tc>
      </w:tr>
      <w:tr w:rsidR="00C05E4B" w:rsidRPr="004142F1" w14:paraId="60AFBFB0" w14:textId="77777777" w:rsidTr="00B04E42">
        <w:trPr>
          <w:trHeight w:val="250"/>
        </w:trPr>
        <w:tc>
          <w:tcPr>
            <w:tcW w:w="9638" w:type="dxa"/>
            <w:gridSpan w:val="2"/>
            <w:tcBorders>
              <w:top w:val="single" w:sz="4" w:space="0" w:color="BFBFBF"/>
              <w:left w:val="single" w:sz="4" w:space="0" w:color="BFBFBF"/>
              <w:bottom w:val="single" w:sz="4" w:space="0" w:color="BFBFBF"/>
              <w:right w:val="single" w:sz="4" w:space="0" w:color="BFBFBF"/>
            </w:tcBorders>
          </w:tcPr>
          <w:p w14:paraId="3A300EAC" w14:textId="47A24B5C" w:rsidR="00C05E4B" w:rsidRPr="00B04E42" w:rsidRDefault="00000000" w:rsidP="00B04E42">
            <w:pPr>
              <w:spacing w:after="0" w:line="259" w:lineRule="auto"/>
              <w:rPr>
                <w:sz w:val="28"/>
                <w:szCs w:val="28"/>
                <w:lang w:val="en-US"/>
              </w:rPr>
            </w:pPr>
            <w:r w:rsidRPr="004142F1">
              <w:rPr>
                <w:b/>
                <w:sz w:val="28"/>
                <w:szCs w:val="28"/>
              </w:rPr>
              <w:t xml:space="preserve">Metabolism </w:t>
            </w:r>
            <w:r w:rsidRPr="004142F1">
              <w:rPr>
                <w:sz w:val="28"/>
                <w:szCs w:val="28"/>
              </w:rPr>
              <w:t xml:space="preserve"> </w:t>
            </w:r>
          </w:p>
        </w:tc>
      </w:tr>
      <w:tr w:rsidR="00C05E4B" w:rsidRPr="004142F1" w14:paraId="46B8CC91" w14:textId="77777777" w:rsidTr="00B04E42">
        <w:trPr>
          <w:trHeight w:val="1325"/>
        </w:trPr>
        <w:tc>
          <w:tcPr>
            <w:tcW w:w="3090" w:type="dxa"/>
            <w:tcBorders>
              <w:top w:val="single" w:sz="4" w:space="0" w:color="BFBFBF"/>
              <w:left w:val="single" w:sz="4" w:space="0" w:color="BFBFBF"/>
              <w:bottom w:val="single" w:sz="4" w:space="0" w:color="BFBFBF"/>
              <w:right w:val="single" w:sz="4" w:space="0" w:color="BFBFBF"/>
            </w:tcBorders>
          </w:tcPr>
          <w:p w14:paraId="5159AFA8" w14:textId="77777777" w:rsidR="00C05E4B" w:rsidRPr="004142F1" w:rsidRDefault="00000000">
            <w:pPr>
              <w:spacing w:after="0" w:line="259" w:lineRule="auto"/>
              <w:ind w:left="0" w:firstLine="0"/>
              <w:rPr>
                <w:sz w:val="28"/>
                <w:szCs w:val="28"/>
              </w:rPr>
            </w:pPr>
            <w:r w:rsidRPr="004142F1">
              <w:rPr>
                <w:sz w:val="28"/>
                <w:szCs w:val="28"/>
              </w:rPr>
              <w:t xml:space="preserve">  </w:t>
            </w:r>
          </w:p>
        </w:tc>
        <w:tc>
          <w:tcPr>
            <w:tcW w:w="6548" w:type="dxa"/>
            <w:tcBorders>
              <w:top w:val="single" w:sz="4" w:space="0" w:color="BFBFBF"/>
              <w:left w:val="single" w:sz="4" w:space="0" w:color="BFBFBF"/>
              <w:bottom w:val="single" w:sz="4" w:space="0" w:color="BFBFBF"/>
              <w:right w:val="single" w:sz="4" w:space="0" w:color="BFBFBF"/>
            </w:tcBorders>
          </w:tcPr>
          <w:p w14:paraId="78B4AF5F" w14:textId="77777777" w:rsidR="00C05E4B" w:rsidRPr="004142F1" w:rsidRDefault="00000000">
            <w:pPr>
              <w:spacing w:after="0" w:line="259" w:lineRule="auto"/>
              <w:ind w:left="0" w:right="22" w:firstLine="0"/>
              <w:rPr>
                <w:sz w:val="28"/>
                <w:szCs w:val="28"/>
                <w:lang w:val="en-US"/>
              </w:rPr>
            </w:pPr>
            <w:r w:rsidRPr="004142F1">
              <w:rPr>
                <w:sz w:val="28"/>
                <w:szCs w:val="28"/>
                <w:lang w:val="en-US"/>
              </w:rPr>
              <w:t xml:space="preserve">Albendazole rapidly undergoes extensive first-pass metabolism in the liver to albendazole </w:t>
            </w:r>
            <w:proofErr w:type="gramStart"/>
            <w:r w:rsidRPr="004142F1">
              <w:rPr>
                <w:sz w:val="28"/>
                <w:szCs w:val="28"/>
                <w:lang w:val="en-US"/>
              </w:rPr>
              <w:t>sulfoxide, and</w:t>
            </w:r>
            <w:proofErr w:type="gramEnd"/>
            <w:r w:rsidRPr="004142F1">
              <w:rPr>
                <w:sz w:val="28"/>
                <w:szCs w:val="28"/>
                <w:lang w:val="en-US"/>
              </w:rPr>
              <w:t xml:space="preserve"> is generally not detected in plasma. Albendazole sulfoxide is further metabolized to albendazole sulfone and other primary oxidative metabolites.  </w:t>
            </w:r>
          </w:p>
        </w:tc>
      </w:tr>
      <w:tr w:rsidR="00C05E4B" w:rsidRPr="004142F1" w14:paraId="45A6838C" w14:textId="77777777" w:rsidTr="00B04E42">
        <w:trPr>
          <w:trHeight w:val="595"/>
        </w:trPr>
        <w:tc>
          <w:tcPr>
            <w:tcW w:w="3090" w:type="dxa"/>
            <w:tcBorders>
              <w:top w:val="single" w:sz="4" w:space="0" w:color="BFBFBF"/>
              <w:left w:val="single" w:sz="4" w:space="0" w:color="BFBFBF"/>
              <w:bottom w:val="single" w:sz="4" w:space="0" w:color="BFBFBF"/>
              <w:right w:val="single" w:sz="4" w:space="0" w:color="BFBFBF"/>
            </w:tcBorders>
            <w:vAlign w:val="center"/>
          </w:tcPr>
          <w:p w14:paraId="3A8CB6A9" w14:textId="77777777" w:rsidR="00C05E4B" w:rsidRPr="004142F1" w:rsidRDefault="00000000">
            <w:pPr>
              <w:spacing w:after="0" w:line="259" w:lineRule="auto"/>
              <w:ind w:left="0" w:firstLine="0"/>
              <w:rPr>
                <w:sz w:val="28"/>
                <w:szCs w:val="28"/>
              </w:rPr>
            </w:pPr>
            <w:r w:rsidRPr="004142F1">
              <w:rPr>
                <w:sz w:val="28"/>
                <w:szCs w:val="28"/>
              </w:rPr>
              <w:t xml:space="preserve">Active metabolite(s)  </w:t>
            </w:r>
          </w:p>
        </w:tc>
        <w:tc>
          <w:tcPr>
            <w:tcW w:w="6548" w:type="dxa"/>
            <w:tcBorders>
              <w:top w:val="single" w:sz="4" w:space="0" w:color="BFBFBF"/>
              <w:left w:val="single" w:sz="4" w:space="0" w:color="BFBFBF"/>
              <w:bottom w:val="single" w:sz="4" w:space="0" w:color="BFBFBF"/>
              <w:right w:val="single" w:sz="4" w:space="0" w:color="BFBFBF"/>
            </w:tcBorders>
            <w:vAlign w:val="center"/>
          </w:tcPr>
          <w:p w14:paraId="43483F05" w14:textId="77777777" w:rsidR="00C05E4B" w:rsidRPr="004142F1" w:rsidRDefault="00000000">
            <w:pPr>
              <w:spacing w:after="0" w:line="259" w:lineRule="auto"/>
              <w:ind w:left="0" w:firstLine="0"/>
              <w:rPr>
                <w:sz w:val="28"/>
                <w:szCs w:val="28"/>
              </w:rPr>
            </w:pPr>
            <w:r w:rsidRPr="004142F1">
              <w:rPr>
                <w:sz w:val="28"/>
                <w:szCs w:val="28"/>
              </w:rPr>
              <w:t xml:space="preserve">Albendazole sulfoxide  </w:t>
            </w:r>
          </w:p>
        </w:tc>
      </w:tr>
      <w:tr w:rsidR="00C05E4B" w:rsidRPr="004142F1" w14:paraId="5A3A82B8" w14:textId="77777777" w:rsidTr="00B04E42">
        <w:trPr>
          <w:trHeight w:val="219"/>
        </w:trPr>
        <w:tc>
          <w:tcPr>
            <w:tcW w:w="9638" w:type="dxa"/>
            <w:gridSpan w:val="2"/>
            <w:tcBorders>
              <w:top w:val="single" w:sz="4" w:space="0" w:color="BFBFBF"/>
              <w:left w:val="single" w:sz="4" w:space="0" w:color="BFBFBF"/>
              <w:bottom w:val="single" w:sz="4" w:space="0" w:color="BFBFBF"/>
              <w:right w:val="single" w:sz="4" w:space="0" w:color="BFBFBF"/>
            </w:tcBorders>
          </w:tcPr>
          <w:p w14:paraId="20117ECF" w14:textId="5C0F17FF" w:rsidR="00C05E4B" w:rsidRPr="004142F1" w:rsidRDefault="00000000" w:rsidP="00B04E42">
            <w:pPr>
              <w:spacing w:after="0" w:line="259" w:lineRule="auto"/>
              <w:ind w:right="5437"/>
              <w:rPr>
                <w:sz w:val="28"/>
                <w:szCs w:val="28"/>
              </w:rPr>
            </w:pPr>
            <w:r w:rsidRPr="004142F1">
              <w:rPr>
                <w:b/>
                <w:sz w:val="28"/>
                <w:szCs w:val="28"/>
              </w:rPr>
              <w:t xml:space="preserve">Elimination </w:t>
            </w:r>
            <w:r w:rsidRPr="004142F1">
              <w:rPr>
                <w:sz w:val="28"/>
                <w:szCs w:val="28"/>
              </w:rPr>
              <w:t xml:space="preserve"> </w:t>
            </w:r>
          </w:p>
        </w:tc>
      </w:tr>
      <w:tr w:rsidR="00C05E4B" w:rsidRPr="004142F1" w14:paraId="02F8C7EF" w14:textId="77777777" w:rsidTr="00B04E42">
        <w:trPr>
          <w:trHeight w:val="668"/>
        </w:trPr>
        <w:tc>
          <w:tcPr>
            <w:tcW w:w="3090" w:type="dxa"/>
            <w:tcBorders>
              <w:top w:val="single" w:sz="4" w:space="0" w:color="BFBFBF"/>
              <w:left w:val="single" w:sz="4" w:space="0" w:color="BFBFBF"/>
              <w:bottom w:val="single" w:sz="4" w:space="0" w:color="BFBFBF"/>
              <w:right w:val="single" w:sz="4" w:space="0" w:color="BFBFBF"/>
            </w:tcBorders>
          </w:tcPr>
          <w:p w14:paraId="11B5BD8A" w14:textId="77777777" w:rsidR="00C05E4B" w:rsidRPr="004142F1" w:rsidRDefault="00000000" w:rsidP="00B04E42">
            <w:pPr>
              <w:spacing w:after="0" w:line="259" w:lineRule="auto"/>
              <w:rPr>
                <w:sz w:val="28"/>
                <w:szCs w:val="28"/>
              </w:rPr>
            </w:pPr>
            <w:r w:rsidRPr="004142F1">
              <w:rPr>
                <w:sz w:val="28"/>
                <w:szCs w:val="28"/>
              </w:rPr>
              <w:t xml:space="preserve">Elimination half life  </w:t>
            </w:r>
          </w:p>
        </w:tc>
        <w:tc>
          <w:tcPr>
            <w:tcW w:w="6548" w:type="dxa"/>
            <w:tcBorders>
              <w:top w:val="single" w:sz="4" w:space="0" w:color="BFBFBF"/>
              <w:left w:val="single" w:sz="4" w:space="0" w:color="BFBFBF"/>
              <w:bottom w:val="single" w:sz="4" w:space="0" w:color="BFBFBF"/>
              <w:right w:val="single" w:sz="4" w:space="0" w:color="BFBFBF"/>
            </w:tcBorders>
            <w:vAlign w:val="bottom"/>
          </w:tcPr>
          <w:p w14:paraId="043511CE" w14:textId="77777777" w:rsidR="00C05E4B" w:rsidRPr="004142F1" w:rsidRDefault="00000000">
            <w:pPr>
              <w:spacing w:after="0" w:line="259" w:lineRule="auto"/>
              <w:ind w:left="0" w:firstLine="0"/>
              <w:jc w:val="both"/>
              <w:rPr>
                <w:sz w:val="28"/>
                <w:szCs w:val="28"/>
                <w:lang w:val="en-US"/>
              </w:rPr>
            </w:pPr>
            <w:r w:rsidRPr="004142F1">
              <w:rPr>
                <w:sz w:val="28"/>
                <w:szCs w:val="28"/>
                <w:lang w:val="en-US"/>
              </w:rPr>
              <w:t xml:space="preserve">The terminal elimination half-life of albendazole sulfoxide typically ranges from 8 to 12 hours.   </w:t>
            </w:r>
          </w:p>
        </w:tc>
      </w:tr>
      <w:tr w:rsidR="00C05E4B" w:rsidRPr="004142F1" w14:paraId="3214E6BE" w14:textId="77777777" w:rsidTr="00B04E42">
        <w:trPr>
          <w:trHeight w:val="864"/>
        </w:trPr>
        <w:tc>
          <w:tcPr>
            <w:tcW w:w="3090" w:type="dxa"/>
            <w:tcBorders>
              <w:top w:val="single" w:sz="4" w:space="0" w:color="BFBFBF"/>
              <w:left w:val="single" w:sz="4" w:space="0" w:color="BFBFBF"/>
              <w:bottom w:val="single" w:sz="4" w:space="0" w:color="BFBFBF"/>
              <w:right w:val="single" w:sz="4" w:space="0" w:color="BFBFBF"/>
            </w:tcBorders>
            <w:vAlign w:val="center"/>
          </w:tcPr>
          <w:p w14:paraId="1D1AC2DD" w14:textId="77777777" w:rsidR="00C05E4B" w:rsidRPr="004142F1" w:rsidRDefault="00000000" w:rsidP="00B04E42">
            <w:pPr>
              <w:spacing w:after="32" w:line="259" w:lineRule="auto"/>
              <w:ind w:left="0" w:firstLine="0"/>
              <w:rPr>
                <w:sz w:val="28"/>
                <w:szCs w:val="28"/>
                <w:lang w:val="en-US"/>
              </w:rPr>
            </w:pPr>
            <w:r w:rsidRPr="004142F1">
              <w:rPr>
                <w:sz w:val="28"/>
                <w:szCs w:val="28"/>
                <w:lang w:val="en-US"/>
              </w:rPr>
              <w:t xml:space="preserve">Mean systemic clearance </w:t>
            </w:r>
          </w:p>
          <w:p w14:paraId="26B2641E" w14:textId="77777777" w:rsidR="00C05E4B" w:rsidRPr="004142F1" w:rsidRDefault="00000000" w:rsidP="00B04E42">
            <w:pPr>
              <w:spacing w:after="0" w:line="259" w:lineRule="auto"/>
              <w:rPr>
                <w:sz w:val="28"/>
                <w:szCs w:val="28"/>
                <w:lang w:val="en-US"/>
              </w:rPr>
            </w:pPr>
            <w:r w:rsidRPr="004142F1">
              <w:rPr>
                <w:sz w:val="28"/>
                <w:szCs w:val="28"/>
                <w:lang w:val="en-US"/>
              </w:rPr>
              <w:t xml:space="preserve">(Cl/F)  </w:t>
            </w:r>
          </w:p>
        </w:tc>
        <w:tc>
          <w:tcPr>
            <w:tcW w:w="6548" w:type="dxa"/>
            <w:tcBorders>
              <w:top w:val="single" w:sz="4" w:space="0" w:color="BFBFBF"/>
              <w:left w:val="single" w:sz="4" w:space="0" w:color="BFBFBF"/>
              <w:bottom w:val="single" w:sz="4" w:space="0" w:color="BFBFBF"/>
              <w:right w:val="single" w:sz="4" w:space="0" w:color="BFBFBF"/>
            </w:tcBorders>
          </w:tcPr>
          <w:p w14:paraId="24B7967C" w14:textId="77777777" w:rsidR="00C05E4B" w:rsidRPr="004142F1" w:rsidRDefault="00000000">
            <w:pPr>
              <w:spacing w:after="0" w:line="259" w:lineRule="auto"/>
              <w:ind w:left="0" w:firstLine="0"/>
              <w:rPr>
                <w:sz w:val="28"/>
                <w:szCs w:val="28"/>
                <w:lang w:val="en-US"/>
              </w:rPr>
            </w:pPr>
            <w:r w:rsidRPr="004142F1">
              <w:rPr>
                <w:sz w:val="28"/>
                <w:szCs w:val="28"/>
                <w:lang w:val="en-US"/>
              </w:rPr>
              <w:t xml:space="preserve">  </w:t>
            </w:r>
          </w:p>
        </w:tc>
      </w:tr>
      <w:tr w:rsidR="00C05E4B" w:rsidRPr="004142F1" w14:paraId="7E4E8367" w14:textId="77777777" w:rsidTr="00B04E42">
        <w:trPr>
          <w:trHeight w:val="1167"/>
        </w:trPr>
        <w:tc>
          <w:tcPr>
            <w:tcW w:w="3090" w:type="dxa"/>
            <w:tcBorders>
              <w:top w:val="single" w:sz="4" w:space="0" w:color="BFBFBF"/>
              <w:left w:val="single" w:sz="4" w:space="0" w:color="BFBFBF"/>
              <w:bottom w:val="single" w:sz="4" w:space="0" w:color="BFBFBF"/>
              <w:right w:val="single" w:sz="4" w:space="0" w:color="BFBFBF"/>
            </w:tcBorders>
          </w:tcPr>
          <w:p w14:paraId="66E4DCBD" w14:textId="77777777" w:rsidR="00C05E4B" w:rsidRPr="004142F1" w:rsidRDefault="00000000" w:rsidP="00B04E42">
            <w:pPr>
              <w:spacing w:after="0" w:line="259" w:lineRule="auto"/>
              <w:rPr>
                <w:sz w:val="28"/>
                <w:szCs w:val="28"/>
              </w:rPr>
            </w:pPr>
            <w:r w:rsidRPr="004142F1">
              <w:rPr>
                <w:sz w:val="28"/>
                <w:szCs w:val="28"/>
              </w:rPr>
              <w:t xml:space="preserve">Excretion  </w:t>
            </w:r>
          </w:p>
        </w:tc>
        <w:tc>
          <w:tcPr>
            <w:tcW w:w="6548" w:type="dxa"/>
            <w:tcBorders>
              <w:top w:val="single" w:sz="4" w:space="0" w:color="BFBFBF"/>
              <w:left w:val="single" w:sz="4" w:space="0" w:color="BFBFBF"/>
              <w:bottom w:val="single" w:sz="4" w:space="0" w:color="BFBFBF"/>
              <w:right w:val="single" w:sz="4" w:space="0" w:color="BFBFBF"/>
            </w:tcBorders>
          </w:tcPr>
          <w:p w14:paraId="74F53711" w14:textId="77777777" w:rsidR="00C05E4B" w:rsidRPr="004142F1" w:rsidRDefault="00000000">
            <w:pPr>
              <w:spacing w:after="0" w:line="259" w:lineRule="auto"/>
              <w:ind w:left="0" w:firstLine="0"/>
              <w:rPr>
                <w:sz w:val="28"/>
                <w:szCs w:val="28"/>
                <w:lang w:val="en-US"/>
              </w:rPr>
            </w:pPr>
            <w:r w:rsidRPr="004142F1">
              <w:rPr>
                <w:sz w:val="28"/>
                <w:szCs w:val="28"/>
                <w:lang w:val="en-US"/>
              </w:rPr>
              <w:t xml:space="preserve">Following oral administration, albendazole has not been detected in human urine. Albendazole sulphoxide and its metabolites appear to be principally eliminated in bile, with only a small proportion appearing in the urine.  </w:t>
            </w:r>
          </w:p>
        </w:tc>
      </w:tr>
      <w:tr w:rsidR="00C05E4B" w:rsidRPr="004142F1" w14:paraId="19A2ED9F" w14:textId="77777777" w:rsidTr="00B04E42">
        <w:trPr>
          <w:trHeight w:val="917"/>
        </w:trPr>
        <w:tc>
          <w:tcPr>
            <w:tcW w:w="3090" w:type="dxa"/>
            <w:tcBorders>
              <w:top w:val="single" w:sz="4" w:space="0" w:color="BFBFBF"/>
              <w:left w:val="single" w:sz="4" w:space="0" w:color="BFBFBF"/>
              <w:bottom w:val="single" w:sz="4" w:space="0" w:color="BFBFBF"/>
              <w:right w:val="single" w:sz="4" w:space="0" w:color="BFBFBF"/>
            </w:tcBorders>
          </w:tcPr>
          <w:p w14:paraId="25140CC4" w14:textId="77777777" w:rsidR="00C05E4B" w:rsidRPr="00B04E42" w:rsidRDefault="00000000">
            <w:pPr>
              <w:spacing w:after="0" w:line="259" w:lineRule="auto"/>
              <w:ind w:left="0" w:firstLine="0"/>
              <w:rPr>
                <w:bCs/>
                <w:sz w:val="28"/>
                <w:szCs w:val="28"/>
              </w:rPr>
            </w:pPr>
            <w:r w:rsidRPr="00B04E42">
              <w:rPr>
                <w:bCs/>
                <w:sz w:val="28"/>
                <w:szCs w:val="28"/>
              </w:rPr>
              <w:t xml:space="preserve">Pharmacokinetic linearity  </w:t>
            </w:r>
          </w:p>
        </w:tc>
        <w:tc>
          <w:tcPr>
            <w:tcW w:w="6548" w:type="dxa"/>
            <w:tcBorders>
              <w:top w:val="single" w:sz="4" w:space="0" w:color="BFBFBF"/>
              <w:left w:val="single" w:sz="4" w:space="0" w:color="BFBFBF"/>
              <w:bottom w:val="single" w:sz="4" w:space="0" w:color="BFBFBF"/>
              <w:right w:val="single" w:sz="4" w:space="0" w:color="BFBFBF"/>
            </w:tcBorders>
            <w:vAlign w:val="bottom"/>
          </w:tcPr>
          <w:p w14:paraId="0D3A88E8" w14:textId="77777777" w:rsidR="00C05E4B" w:rsidRPr="004142F1" w:rsidRDefault="00000000">
            <w:pPr>
              <w:spacing w:after="0" w:line="259" w:lineRule="auto"/>
              <w:ind w:left="0" w:firstLine="0"/>
              <w:rPr>
                <w:sz w:val="28"/>
                <w:szCs w:val="28"/>
                <w:lang w:val="en-US"/>
              </w:rPr>
            </w:pPr>
            <w:r w:rsidRPr="004142F1">
              <w:rPr>
                <w:sz w:val="28"/>
                <w:szCs w:val="28"/>
                <w:lang w:val="en-US"/>
              </w:rPr>
              <w:t xml:space="preserve">Plasma concentrations of albendazole sulfoxide increase in a doseproportional manner over the therapeutic dose range following ingestion of a fatty meal.  </w:t>
            </w:r>
          </w:p>
        </w:tc>
      </w:tr>
      <w:tr w:rsidR="00C05E4B" w:rsidRPr="004142F1" w14:paraId="7C371FE6" w14:textId="77777777" w:rsidTr="00B04E42">
        <w:trPr>
          <w:trHeight w:val="591"/>
        </w:trPr>
        <w:tc>
          <w:tcPr>
            <w:tcW w:w="3090" w:type="dxa"/>
            <w:tcBorders>
              <w:top w:val="single" w:sz="4" w:space="0" w:color="BFBFBF"/>
              <w:left w:val="single" w:sz="4" w:space="0" w:color="BFBFBF"/>
              <w:bottom w:val="single" w:sz="4" w:space="0" w:color="BFBFBF"/>
              <w:right w:val="single" w:sz="4" w:space="0" w:color="BFBFBF"/>
            </w:tcBorders>
            <w:vAlign w:val="center"/>
          </w:tcPr>
          <w:p w14:paraId="1A82AF3A" w14:textId="77777777" w:rsidR="00C05E4B" w:rsidRPr="00B04E42" w:rsidRDefault="00000000">
            <w:pPr>
              <w:spacing w:after="0" w:line="259" w:lineRule="auto"/>
              <w:ind w:left="0" w:firstLine="0"/>
              <w:rPr>
                <w:bCs/>
                <w:sz w:val="28"/>
                <w:szCs w:val="28"/>
              </w:rPr>
            </w:pPr>
            <w:r w:rsidRPr="00B04E42">
              <w:rPr>
                <w:bCs/>
                <w:sz w:val="28"/>
                <w:szCs w:val="28"/>
              </w:rPr>
              <w:t xml:space="preserve">Drug interactions </w:t>
            </w:r>
            <w:r w:rsidRPr="00B04E42">
              <w:rPr>
                <w:bCs/>
                <w:i/>
                <w:sz w:val="28"/>
                <w:szCs w:val="28"/>
              </w:rPr>
              <w:t>(in vitro</w:t>
            </w:r>
            <w:r w:rsidRPr="00B04E42">
              <w:rPr>
                <w:bCs/>
                <w:sz w:val="28"/>
                <w:szCs w:val="28"/>
              </w:rPr>
              <w:t xml:space="preserve">)  </w:t>
            </w:r>
          </w:p>
        </w:tc>
        <w:tc>
          <w:tcPr>
            <w:tcW w:w="6548" w:type="dxa"/>
            <w:tcBorders>
              <w:top w:val="single" w:sz="4" w:space="0" w:color="BFBFBF"/>
              <w:left w:val="single" w:sz="4" w:space="0" w:color="BFBFBF"/>
              <w:bottom w:val="single" w:sz="4" w:space="0" w:color="BFBFBF"/>
              <w:right w:val="single" w:sz="4" w:space="0" w:color="BFBFBF"/>
            </w:tcBorders>
            <w:vAlign w:val="center"/>
          </w:tcPr>
          <w:p w14:paraId="2288FBF8" w14:textId="77777777" w:rsidR="00C05E4B" w:rsidRPr="004142F1" w:rsidRDefault="00000000">
            <w:pPr>
              <w:spacing w:after="0" w:line="259" w:lineRule="auto"/>
              <w:ind w:left="0" w:firstLine="0"/>
              <w:rPr>
                <w:sz w:val="28"/>
                <w:szCs w:val="28"/>
              </w:rPr>
            </w:pPr>
            <w:r w:rsidRPr="004142F1">
              <w:rPr>
                <w:sz w:val="28"/>
                <w:szCs w:val="28"/>
              </w:rPr>
              <w:t xml:space="preserve">  </w:t>
            </w:r>
          </w:p>
        </w:tc>
      </w:tr>
      <w:tr w:rsidR="00C05E4B" w:rsidRPr="004142F1" w14:paraId="4C515EC4" w14:textId="77777777" w:rsidTr="00B04E42">
        <w:trPr>
          <w:trHeight w:val="483"/>
        </w:trPr>
        <w:tc>
          <w:tcPr>
            <w:tcW w:w="3090" w:type="dxa"/>
            <w:tcBorders>
              <w:top w:val="single" w:sz="4" w:space="0" w:color="BFBFBF"/>
              <w:left w:val="single" w:sz="4" w:space="0" w:color="BFBFBF"/>
              <w:bottom w:val="single" w:sz="4" w:space="0" w:color="BFBFBF"/>
              <w:right w:val="single" w:sz="4" w:space="0" w:color="BFBFBF"/>
            </w:tcBorders>
            <w:vAlign w:val="center"/>
          </w:tcPr>
          <w:p w14:paraId="69CFAD58" w14:textId="77777777" w:rsidR="00C05E4B" w:rsidRPr="004142F1" w:rsidRDefault="00000000">
            <w:pPr>
              <w:spacing w:after="0" w:line="259" w:lineRule="auto"/>
              <w:ind w:left="0" w:firstLine="0"/>
              <w:rPr>
                <w:sz w:val="28"/>
                <w:szCs w:val="28"/>
              </w:rPr>
            </w:pPr>
            <w:r w:rsidRPr="004142F1">
              <w:rPr>
                <w:sz w:val="28"/>
                <w:szCs w:val="28"/>
              </w:rPr>
              <w:t xml:space="preserve">Transporters  </w:t>
            </w:r>
          </w:p>
        </w:tc>
        <w:tc>
          <w:tcPr>
            <w:tcW w:w="6548" w:type="dxa"/>
            <w:tcBorders>
              <w:top w:val="single" w:sz="4" w:space="0" w:color="BFBFBF"/>
              <w:left w:val="single" w:sz="4" w:space="0" w:color="BFBFBF"/>
              <w:bottom w:val="single" w:sz="4" w:space="0" w:color="BFBFBF"/>
              <w:right w:val="single" w:sz="4" w:space="0" w:color="BFBFBF"/>
            </w:tcBorders>
            <w:vAlign w:val="center"/>
          </w:tcPr>
          <w:p w14:paraId="5F39ED4C" w14:textId="77777777" w:rsidR="00C05E4B" w:rsidRPr="004142F1" w:rsidRDefault="00000000">
            <w:pPr>
              <w:spacing w:after="0" w:line="259" w:lineRule="auto"/>
              <w:ind w:left="0" w:firstLine="0"/>
              <w:rPr>
                <w:sz w:val="28"/>
                <w:szCs w:val="28"/>
              </w:rPr>
            </w:pPr>
            <w:r w:rsidRPr="004142F1">
              <w:rPr>
                <w:sz w:val="28"/>
                <w:szCs w:val="28"/>
              </w:rPr>
              <w:t xml:space="preserve">NA*  </w:t>
            </w:r>
          </w:p>
        </w:tc>
      </w:tr>
      <w:tr w:rsidR="00C05E4B" w:rsidRPr="004142F1" w14:paraId="722D8A5A" w14:textId="77777777" w:rsidTr="00B04E42">
        <w:trPr>
          <w:trHeight w:val="363"/>
        </w:trPr>
        <w:tc>
          <w:tcPr>
            <w:tcW w:w="3090" w:type="dxa"/>
            <w:tcBorders>
              <w:top w:val="single" w:sz="4" w:space="0" w:color="BFBFBF"/>
              <w:left w:val="single" w:sz="4" w:space="0" w:color="BFBFBF"/>
              <w:bottom w:val="single" w:sz="4" w:space="0" w:color="BFBFBF"/>
              <w:right w:val="single" w:sz="4" w:space="0" w:color="BFBFBF"/>
            </w:tcBorders>
            <w:vAlign w:val="center"/>
          </w:tcPr>
          <w:p w14:paraId="68AD5D18" w14:textId="77777777" w:rsidR="00C05E4B" w:rsidRPr="004142F1" w:rsidRDefault="00000000">
            <w:pPr>
              <w:spacing w:after="0" w:line="259" w:lineRule="auto"/>
              <w:ind w:left="0" w:firstLine="0"/>
              <w:rPr>
                <w:sz w:val="28"/>
                <w:szCs w:val="28"/>
              </w:rPr>
            </w:pPr>
            <w:r w:rsidRPr="004142F1">
              <w:rPr>
                <w:sz w:val="28"/>
                <w:szCs w:val="28"/>
              </w:rPr>
              <w:t xml:space="preserve">Metabolizing enzymes  </w:t>
            </w:r>
          </w:p>
        </w:tc>
        <w:tc>
          <w:tcPr>
            <w:tcW w:w="6548" w:type="dxa"/>
            <w:tcBorders>
              <w:top w:val="single" w:sz="4" w:space="0" w:color="BFBFBF"/>
              <w:left w:val="single" w:sz="4" w:space="0" w:color="BFBFBF"/>
              <w:bottom w:val="single" w:sz="4" w:space="0" w:color="BFBFBF"/>
              <w:right w:val="single" w:sz="4" w:space="0" w:color="BFBFBF"/>
            </w:tcBorders>
            <w:vAlign w:val="center"/>
          </w:tcPr>
          <w:p w14:paraId="5DD93E07" w14:textId="77777777" w:rsidR="00C05E4B" w:rsidRPr="004142F1" w:rsidRDefault="00000000">
            <w:pPr>
              <w:spacing w:after="0" w:line="259" w:lineRule="auto"/>
              <w:ind w:left="0" w:firstLine="0"/>
              <w:rPr>
                <w:sz w:val="28"/>
                <w:szCs w:val="28"/>
              </w:rPr>
            </w:pPr>
            <w:r w:rsidRPr="004142F1">
              <w:rPr>
                <w:sz w:val="28"/>
                <w:szCs w:val="28"/>
              </w:rPr>
              <w:t xml:space="preserve">NA*  </w:t>
            </w:r>
          </w:p>
        </w:tc>
      </w:tr>
    </w:tbl>
    <w:p w14:paraId="5821898B" w14:textId="77777777" w:rsidR="00C05E4B" w:rsidRPr="004142F1" w:rsidRDefault="00000000" w:rsidP="00B04E42">
      <w:pPr>
        <w:spacing w:before="240" w:after="193" w:line="259" w:lineRule="auto"/>
        <w:ind w:left="9"/>
        <w:rPr>
          <w:rFonts w:cs="Times New Roman"/>
          <w:sz w:val="28"/>
          <w:szCs w:val="28"/>
        </w:rPr>
      </w:pPr>
      <w:r w:rsidRPr="004142F1">
        <w:rPr>
          <w:rFonts w:cs="Times New Roman"/>
          <w:sz w:val="28"/>
          <w:szCs w:val="28"/>
        </w:rPr>
        <w:t xml:space="preserve">* Information not available  </w:t>
      </w:r>
    </w:p>
    <w:p w14:paraId="418D97F7" w14:textId="77777777" w:rsidR="00B04E42" w:rsidRDefault="00000000" w:rsidP="00B04E42">
      <w:pPr>
        <w:spacing w:after="202" w:line="259" w:lineRule="auto"/>
        <w:ind w:left="14" w:firstLine="0"/>
        <w:rPr>
          <w:rFonts w:cs="Times New Roman"/>
          <w:sz w:val="28"/>
          <w:szCs w:val="28"/>
          <w:lang w:val="en-US"/>
        </w:rPr>
      </w:pPr>
      <w:r w:rsidRPr="004142F1">
        <w:rPr>
          <w:rFonts w:cs="Times New Roman"/>
          <w:b/>
          <w:sz w:val="28"/>
          <w:szCs w:val="28"/>
        </w:rPr>
        <w:t xml:space="preserve"> </w:t>
      </w:r>
      <w:r w:rsidRPr="004142F1">
        <w:rPr>
          <w:rFonts w:cs="Times New Roman"/>
          <w:sz w:val="28"/>
          <w:szCs w:val="28"/>
        </w:rPr>
        <w:t xml:space="preserve"> </w:t>
      </w:r>
    </w:p>
    <w:p w14:paraId="0AE2DFAA" w14:textId="77777777" w:rsidR="00B04E42" w:rsidRDefault="00B04E42" w:rsidP="00B04E42">
      <w:pPr>
        <w:spacing w:after="202" w:line="259" w:lineRule="auto"/>
        <w:ind w:left="14" w:firstLine="0"/>
        <w:rPr>
          <w:rFonts w:cs="Times New Roman"/>
          <w:sz w:val="28"/>
          <w:szCs w:val="28"/>
          <w:lang w:val="en-US"/>
        </w:rPr>
      </w:pPr>
    </w:p>
    <w:p w14:paraId="10A5259B" w14:textId="77777777" w:rsidR="00B04E42" w:rsidRDefault="00B04E42" w:rsidP="00B04E42">
      <w:pPr>
        <w:spacing w:after="202" w:line="259" w:lineRule="auto"/>
        <w:ind w:left="14" w:firstLine="0"/>
        <w:rPr>
          <w:rFonts w:cs="Times New Roman"/>
          <w:sz w:val="28"/>
          <w:szCs w:val="28"/>
          <w:lang w:val="en-US"/>
        </w:rPr>
      </w:pPr>
    </w:p>
    <w:p w14:paraId="0EAAE477" w14:textId="77777777" w:rsidR="00B04E42" w:rsidRDefault="00000000" w:rsidP="00B04E42">
      <w:pPr>
        <w:spacing w:after="202" w:line="259" w:lineRule="auto"/>
        <w:ind w:left="14" w:firstLine="706"/>
        <w:rPr>
          <w:rFonts w:cs="Times New Roman"/>
          <w:i/>
          <w:iCs/>
          <w:sz w:val="28"/>
          <w:szCs w:val="28"/>
          <w:lang w:val="en-US"/>
        </w:rPr>
      </w:pPr>
      <w:r w:rsidRPr="00B04E42">
        <w:rPr>
          <w:rFonts w:cs="Times New Roman"/>
          <w:i/>
          <w:iCs/>
          <w:sz w:val="28"/>
          <w:szCs w:val="28"/>
          <w:lang w:val="en-US"/>
        </w:rPr>
        <w:lastRenderedPageBreak/>
        <w:t xml:space="preserve">Special populations  </w:t>
      </w:r>
    </w:p>
    <w:p w14:paraId="5E2EAB93" w14:textId="77777777" w:rsidR="00B04E42" w:rsidRDefault="00000000" w:rsidP="00B04E42">
      <w:pPr>
        <w:spacing w:after="240" w:line="259" w:lineRule="auto"/>
        <w:ind w:left="11" w:firstLine="709"/>
        <w:rPr>
          <w:rFonts w:cs="Times New Roman"/>
          <w:sz w:val="28"/>
          <w:szCs w:val="28"/>
          <w:u w:val="single"/>
          <w:lang w:val="en-US"/>
        </w:rPr>
      </w:pPr>
      <w:r w:rsidRPr="00B04E42">
        <w:rPr>
          <w:rFonts w:cs="Times New Roman"/>
          <w:sz w:val="28"/>
          <w:szCs w:val="28"/>
          <w:u w:val="single"/>
          <w:lang w:val="en-US"/>
        </w:rPr>
        <w:t>Renal impairment</w:t>
      </w:r>
    </w:p>
    <w:p w14:paraId="70E3B503" w14:textId="77777777" w:rsidR="00B04E42" w:rsidRDefault="00000000" w:rsidP="00B04E42">
      <w:pPr>
        <w:spacing w:after="240" w:line="360" w:lineRule="auto"/>
        <w:ind w:left="720" w:firstLine="0"/>
        <w:jc w:val="thaiDistribute"/>
        <w:rPr>
          <w:rFonts w:cs="Times New Roman"/>
          <w:sz w:val="28"/>
          <w:szCs w:val="28"/>
          <w:lang w:val="en-US"/>
        </w:rPr>
      </w:pPr>
      <w:r w:rsidRPr="004142F1">
        <w:rPr>
          <w:rFonts w:cs="Times New Roman"/>
          <w:sz w:val="28"/>
          <w:szCs w:val="28"/>
          <w:lang w:val="en-US"/>
        </w:rPr>
        <w:t xml:space="preserve">Since renal elimination of albendazole and its primary metabolite, albendazole sulfoxide, is negligible, it is unlikely that clearance of these compounds would be altered in these patients.  </w:t>
      </w:r>
    </w:p>
    <w:p w14:paraId="64BA041F" w14:textId="77777777" w:rsidR="00B04E42" w:rsidRDefault="00000000" w:rsidP="00B04E42">
      <w:pPr>
        <w:spacing w:after="240" w:line="360" w:lineRule="auto"/>
        <w:ind w:left="720" w:firstLine="0"/>
        <w:jc w:val="thaiDistribute"/>
        <w:rPr>
          <w:rFonts w:cs="Times New Roman"/>
          <w:sz w:val="28"/>
          <w:szCs w:val="28"/>
          <w:u w:val="single"/>
          <w:lang w:val="en-US"/>
        </w:rPr>
      </w:pPr>
      <w:r w:rsidRPr="00B04E42">
        <w:rPr>
          <w:rFonts w:cs="Times New Roman"/>
          <w:sz w:val="28"/>
          <w:szCs w:val="28"/>
          <w:u w:val="single"/>
          <w:lang w:val="en-US"/>
        </w:rPr>
        <w:t>Liver impairment</w:t>
      </w:r>
    </w:p>
    <w:p w14:paraId="1476370B" w14:textId="77777777" w:rsidR="00B04E42" w:rsidRDefault="00000000" w:rsidP="00B04E42">
      <w:pPr>
        <w:spacing w:after="240" w:line="360" w:lineRule="auto"/>
        <w:ind w:left="720" w:firstLine="0"/>
        <w:jc w:val="thaiDistribute"/>
        <w:rPr>
          <w:rFonts w:cs="Times New Roman"/>
          <w:sz w:val="28"/>
          <w:szCs w:val="28"/>
          <w:lang w:val="en-US"/>
        </w:rPr>
      </w:pPr>
      <w:r w:rsidRPr="004142F1">
        <w:rPr>
          <w:rFonts w:cs="Times New Roman"/>
          <w:sz w:val="28"/>
          <w:szCs w:val="28"/>
          <w:lang w:val="en-US"/>
        </w:rPr>
        <w:t xml:space="preserve">In patients with evidence of extrahepatic obstruction, the systemic availability of albendazole sulfoxide was increased 7-fold.  </w:t>
      </w:r>
    </w:p>
    <w:p w14:paraId="453732D5" w14:textId="77777777" w:rsidR="00B04E42" w:rsidRDefault="00000000" w:rsidP="00B04E42">
      <w:pPr>
        <w:spacing w:after="240" w:line="360" w:lineRule="auto"/>
        <w:ind w:left="720" w:firstLine="0"/>
        <w:jc w:val="thaiDistribute"/>
        <w:rPr>
          <w:rFonts w:cs="Times New Roman"/>
          <w:sz w:val="28"/>
          <w:szCs w:val="28"/>
          <w:u w:val="single"/>
          <w:lang w:val="en-US"/>
        </w:rPr>
      </w:pPr>
      <w:r w:rsidRPr="00B04E42">
        <w:rPr>
          <w:rFonts w:cs="Times New Roman"/>
          <w:sz w:val="28"/>
          <w:szCs w:val="28"/>
          <w:u w:val="single"/>
          <w:lang w:val="en-US"/>
        </w:rPr>
        <w:t>Elderly patients</w:t>
      </w:r>
    </w:p>
    <w:p w14:paraId="72B17CF6" w14:textId="77777777" w:rsidR="00B04E42" w:rsidRDefault="00000000" w:rsidP="00B04E42">
      <w:pPr>
        <w:spacing w:after="240" w:line="360" w:lineRule="auto"/>
        <w:ind w:left="720" w:firstLine="0"/>
        <w:jc w:val="thaiDistribute"/>
        <w:rPr>
          <w:rFonts w:cs="Times New Roman"/>
          <w:sz w:val="28"/>
          <w:szCs w:val="28"/>
          <w:lang w:val="en-US"/>
        </w:rPr>
      </w:pPr>
      <w:r w:rsidRPr="004142F1">
        <w:rPr>
          <w:rFonts w:cs="Times New Roman"/>
          <w:sz w:val="28"/>
          <w:szCs w:val="28"/>
          <w:lang w:val="en-US"/>
        </w:rPr>
        <w:t xml:space="preserve">Although no studies have investigated the effect of age on albendazole sulfoxide pharmacokinetics, data suggest that the pharmacokinetics is </w:t>
      </w:r>
      <w:proofErr w:type="gramStart"/>
      <w:r w:rsidRPr="004142F1">
        <w:rPr>
          <w:rFonts w:cs="Times New Roman"/>
          <w:sz w:val="28"/>
          <w:szCs w:val="28"/>
          <w:lang w:val="en-US"/>
        </w:rPr>
        <w:t>similar to</w:t>
      </w:r>
      <w:proofErr w:type="gramEnd"/>
      <w:r w:rsidRPr="004142F1">
        <w:rPr>
          <w:rFonts w:cs="Times New Roman"/>
          <w:sz w:val="28"/>
          <w:szCs w:val="28"/>
          <w:lang w:val="en-US"/>
        </w:rPr>
        <w:t xml:space="preserve"> those in young healthy subjects.</w:t>
      </w:r>
    </w:p>
    <w:p w14:paraId="0D034342" w14:textId="77777777" w:rsidR="00B04E42" w:rsidRPr="00B04E42" w:rsidRDefault="00000000" w:rsidP="00B04E42">
      <w:pPr>
        <w:spacing w:after="240" w:line="360" w:lineRule="auto"/>
        <w:ind w:left="720" w:firstLine="0"/>
        <w:jc w:val="thaiDistribute"/>
        <w:rPr>
          <w:rFonts w:cs="Times New Roman"/>
          <w:sz w:val="28"/>
          <w:szCs w:val="28"/>
          <w:u w:val="single"/>
          <w:lang w:val="en-US"/>
        </w:rPr>
      </w:pPr>
      <w:r w:rsidRPr="00B04E42">
        <w:rPr>
          <w:rFonts w:cs="Times New Roman"/>
          <w:sz w:val="28"/>
          <w:szCs w:val="28"/>
          <w:u w:val="single"/>
          <w:lang w:val="en-US"/>
        </w:rPr>
        <w:t>Paediatrics</w:t>
      </w:r>
    </w:p>
    <w:p w14:paraId="0AA7B26D" w14:textId="70F89F46" w:rsidR="00C05E4B" w:rsidRPr="00B04E42" w:rsidRDefault="00000000" w:rsidP="00B04E42">
      <w:pPr>
        <w:spacing w:after="202" w:line="360" w:lineRule="auto"/>
        <w:ind w:left="720" w:firstLine="0"/>
        <w:jc w:val="thaiDistribute"/>
        <w:rPr>
          <w:rFonts w:cs="Times New Roman"/>
          <w:i/>
          <w:iCs/>
          <w:sz w:val="28"/>
          <w:szCs w:val="28"/>
          <w:u w:val="single"/>
          <w:lang w:val="en-US"/>
        </w:rPr>
      </w:pPr>
      <w:r w:rsidRPr="004142F1">
        <w:rPr>
          <w:rFonts w:cs="Times New Roman"/>
          <w:sz w:val="28"/>
          <w:szCs w:val="28"/>
          <w:lang w:val="en-US"/>
        </w:rPr>
        <w:t xml:space="preserve">Following single-dose administration of 200 to 300 mg (approximately 10 mg/kg) albendazole to paediatric patients with hydatid cyst disease (age range 6 to 13 years), albendazole sulfoxide pharmacokinetics were </w:t>
      </w:r>
      <w:proofErr w:type="gramStart"/>
      <w:r w:rsidRPr="004142F1">
        <w:rPr>
          <w:rFonts w:cs="Times New Roman"/>
          <w:sz w:val="28"/>
          <w:szCs w:val="28"/>
          <w:lang w:val="en-US"/>
        </w:rPr>
        <w:t>similar to</w:t>
      </w:r>
      <w:proofErr w:type="gramEnd"/>
      <w:r w:rsidRPr="004142F1">
        <w:rPr>
          <w:rFonts w:cs="Times New Roman"/>
          <w:sz w:val="28"/>
          <w:szCs w:val="28"/>
          <w:lang w:val="en-US"/>
        </w:rPr>
        <w:t xml:space="preserve"> those observed in fed adults.  </w:t>
      </w:r>
    </w:p>
    <w:p w14:paraId="3ABAB768" w14:textId="77777777" w:rsidR="00B04E42" w:rsidRDefault="00000000" w:rsidP="00B04E42">
      <w:pPr>
        <w:pStyle w:val="ListParagraph"/>
        <w:numPr>
          <w:ilvl w:val="1"/>
          <w:numId w:val="2"/>
        </w:numPr>
        <w:tabs>
          <w:tab w:val="center" w:pos="1778"/>
        </w:tabs>
        <w:spacing w:after="240" w:line="259" w:lineRule="auto"/>
        <w:ind w:left="788" w:hanging="431"/>
        <w:contextualSpacing w:val="0"/>
        <w:rPr>
          <w:rFonts w:cs="Times New Roman"/>
          <w:sz w:val="28"/>
          <w:szCs w:val="28"/>
          <w:lang w:val="en-US"/>
        </w:rPr>
      </w:pPr>
      <w:r w:rsidRPr="00B04E42">
        <w:rPr>
          <w:rFonts w:cs="Times New Roman"/>
          <w:b/>
          <w:sz w:val="28"/>
          <w:szCs w:val="28"/>
          <w:lang w:val="en-US"/>
        </w:rPr>
        <w:t xml:space="preserve">Preclinical safety data </w:t>
      </w:r>
      <w:r w:rsidRPr="00B04E42">
        <w:rPr>
          <w:rFonts w:cs="Times New Roman"/>
          <w:sz w:val="28"/>
          <w:szCs w:val="28"/>
          <w:lang w:val="en-US"/>
        </w:rPr>
        <w:t xml:space="preserve"> </w:t>
      </w:r>
    </w:p>
    <w:p w14:paraId="4E579C12" w14:textId="77777777" w:rsidR="00B04E42" w:rsidRPr="00B04E42" w:rsidRDefault="00000000" w:rsidP="00B04E42">
      <w:pPr>
        <w:pStyle w:val="ListParagraph"/>
        <w:tabs>
          <w:tab w:val="center" w:pos="1778"/>
        </w:tabs>
        <w:spacing w:after="240" w:line="259" w:lineRule="auto"/>
        <w:ind w:left="794" w:firstLine="0"/>
        <w:contextualSpacing w:val="0"/>
        <w:rPr>
          <w:sz w:val="28"/>
          <w:szCs w:val="28"/>
          <w:u w:val="single"/>
          <w:lang w:val="en-US"/>
        </w:rPr>
      </w:pPr>
      <w:r w:rsidRPr="00B04E42">
        <w:rPr>
          <w:sz w:val="28"/>
          <w:szCs w:val="28"/>
          <w:u w:val="single"/>
        </w:rPr>
        <w:t xml:space="preserve">General toxicity  </w:t>
      </w:r>
    </w:p>
    <w:p w14:paraId="42510106" w14:textId="77777777" w:rsidR="00B04E42" w:rsidRDefault="00000000" w:rsidP="00B04E42">
      <w:pPr>
        <w:pStyle w:val="ListParagraph"/>
        <w:tabs>
          <w:tab w:val="center" w:pos="1778"/>
        </w:tabs>
        <w:spacing w:after="140" w:line="360" w:lineRule="auto"/>
        <w:ind w:left="792" w:firstLine="0"/>
        <w:jc w:val="thaiDistribute"/>
        <w:rPr>
          <w:rFonts w:cs="Times New Roman"/>
          <w:sz w:val="28"/>
          <w:szCs w:val="28"/>
          <w:lang w:val="en-US"/>
        </w:rPr>
      </w:pPr>
      <w:r w:rsidRPr="004142F1">
        <w:rPr>
          <w:rFonts w:cs="Times New Roman"/>
          <w:sz w:val="28"/>
          <w:szCs w:val="28"/>
          <w:lang w:val="en-US"/>
        </w:rPr>
        <w:t xml:space="preserve">Studies of up to 6 months in mice, rats and dogs recognised the haematopoietic system and the liver as target organs of toxicity.  </w:t>
      </w:r>
    </w:p>
    <w:p w14:paraId="1678EAC9" w14:textId="77777777" w:rsidR="00B04E42" w:rsidRDefault="00B04E42" w:rsidP="00B04E42">
      <w:pPr>
        <w:pStyle w:val="ListParagraph"/>
        <w:tabs>
          <w:tab w:val="center" w:pos="1778"/>
        </w:tabs>
        <w:spacing w:after="140" w:line="360" w:lineRule="auto"/>
        <w:ind w:left="792" w:firstLine="0"/>
        <w:jc w:val="thaiDistribute"/>
        <w:rPr>
          <w:rFonts w:cs="Times New Roman"/>
          <w:sz w:val="28"/>
          <w:szCs w:val="28"/>
          <w:lang w:val="en-US"/>
        </w:rPr>
      </w:pPr>
    </w:p>
    <w:p w14:paraId="74F3368A" w14:textId="77777777" w:rsidR="00B04E42" w:rsidRDefault="00000000" w:rsidP="00B04E42">
      <w:pPr>
        <w:pStyle w:val="ListParagraph"/>
        <w:tabs>
          <w:tab w:val="center" w:pos="1778"/>
        </w:tabs>
        <w:spacing w:after="240" w:line="360" w:lineRule="auto"/>
        <w:ind w:left="794" w:firstLine="0"/>
        <w:contextualSpacing w:val="0"/>
        <w:jc w:val="thaiDistribute"/>
        <w:rPr>
          <w:rFonts w:cs="Times New Roman"/>
          <w:iCs/>
          <w:sz w:val="28"/>
          <w:szCs w:val="28"/>
          <w:u w:val="single"/>
          <w:lang w:val="en-US"/>
        </w:rPr>
      </w:pPr>
      <w:r w:rsidRPr="00B04E42">
        <w:rPr>
          <w:rFonts w:cs="Times New Roman"/>
          <w:iCs/>
          <w:sz w:val="28"/>
          <w:szCs w:val="28"/>
          <w:u w:val="single"/>
          <w:lang w:val="en-US"/>
        </w:rPr>
        <w:lastRenderedPageBreak/>
        <w:t>Genotoxicity</w:t>
      </w:r>
    </w:p>
    <w:p w14:paraId="09EBEC40" w14:textId="77777777" w:rsidR="00B04E42" w:rsidRDefault="00000000" w:rsidP="00B04E42">
      <w:pPr>
        <w:pStyle w:val="ListParagraph"/>
        <w:tabs>
          <w:tab w:val="center" w:pos="1778"/>
        </w:tabs>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In genotoxicity tests, albendazole was found negative in an Ames Salmonella/microsome plate mutation assay, Chinese hamster ovary chromosomal aberration test, and </w:t>
      </w:r>
      <w:r w:rsidRPr="004142F1">
        <w:rPr>
          <w:rFonts w:cs="Times New Roman"/>
          <w:i/>
          <w:sz w:val="28"/>
          <w:szCs w:val="28"/>
          <w:lang w:val="en-US"/>
        </w:rPr>
        <w:t xml:space="preserve">in vivo </w:t>
      </w:r>
      <w:r w:rsidRPr="004142F1">
        <w:rPr>
          <w:rFonts w:cs="Times New Roman"/>
          <w:sz w:val="28"/>
          <w:szCs w:val="28"/>
          <w:lang w:val="en-US"/>
        </w:rPr>
        <w:t xml:space="preserve">mouse micronucleus test. In the </w:t>
      </w:r>
      <w:r w:rsidRPr="004142F1">
        <w:rPr>
          <w:rFonts w:cs="Times New Roman"/>
          <w:i/>
          <w:sz w:val="28"/>
          <w:szCs w:val="28"/>
          <w:lang w:val="en-US"/>
        </w:rPr>
        <w:t xml:space="preserve">in vitro </w:t>
      </w:r>
      <w:r w:rsidRPr="004142F1">
        <w:rPr>
          <w:rFonts w:cs="Times New Roman"/>
          <w:sz w:val="28"/>
          <w:szCs w:val="28"/>
          <w:lang w:val="en-US"/>
        </w:rPr>
        <w:t xml:space="preserve">BALB/3T3 cells transformation assay, albendazole produced weak activity in the presence of metabolic activation while no activity was found in the absence of metabolic activation.   </w:t>
      </w:r>
    </w:p>
    <w:p w14:paraId="70B7F7CE" w14:textId="77777777" w:rsidR="00B04E42" w:rsidRDefault="00000000" w:rsidP="00B04E42">
      <w:pPr>
        <w:pStyle w:val="ListParagraph"/>
        <w:tabs>
          <w:tab w:val="center" w:pos="1778"/>
        </w:tabs>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Carcinogenicity</w:t>
      </w:r>
    </w:p>
    <w:p w14:paraId="77903B41" w14:textId="77777777" w:rsidR="00B04E42" w:rsidRDefault="00000000" w:rsidP="00B04E42">
      <w:pPr>
        <w:pStyle w:val="ListParagraph"/>
        <w:tabs>
          <w:tab w:val="center" w:pos="1778"/>
        </w:tabs>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Long-term carcinogenicity studies in mice and rats found no evidence of increased incidence of tumours was found in the mice or rats at up to 400 mg/kg/day and 20 mg/kg/day, respectively.</w:t>
      </w:r>
    </w:p>
    <w:p w14:paraId="678B3E06" w14:textId="77777777" w:rsidR="00B04E42" w:rsidRDefault="00000000" w:rsidP="00B04E42">
      <w:pPr>
        <w:pStyle w:val="ListParagraph"/>
        <w:tabs>
          <w:tab w:val="center" w:pos="1778"/>
        </w:tabs>
        <w:spacing w:after="240" w:line="360" w:lineRule="auto"/>
        <w:ind w:left="794" w:firstLine="0"/>
        <w:contextualSpacing w:val="0"/>
        <w:jc w:val="thaiDistribute"/>
        <w:rPr>
          <w:rFonts w:cs="Times New Roman"/>
          <w:sz w:val="28"/>
          <w:szCs w:val="28"/>
          <w:u w:val="single"/>
          <w:lang w:val="en-US"/>
        </w:rPr>
      </w:pPr>
      <w:r w:rsidRPr="00B04E42">
        <w:rPr>
          <w:rFonts w:cs="Times New Roman"/>
          <w:sz w:val="28"/>
          <w:szCs w:val="28"/>
          <w:u w:val="single"/>
          <w:lang w:val="en-US"/>
        </w:rPr>
        <w:t>Toxicity to reproduction</w:t>
      </w:r>
    </w:p>
    <w:p w14:paraId="77E65B70" w14:textId="77777777" w:rsidR="00B04E42" w:rsidRDefault="00000000" w:rsidP="00B04E42">
      <w:pPr>
        <w:pStyle w:val="ListParagraph"/>
        <w:tabs>
          <w:tab w:val="center" w:pos="1778"/>
        </w:tabs>
        <w:spacing w:after="240" w:line="360" w:lineRule="auto"/>
        <w:ind w:left="794" w:firstLine="0"/>
        <w:contextualSpacing w:val="0"/>
        <w:jc w:val="thaiDistribute"/>
        <w:rPr>
          <w:rFonts w:cs="Times New Roman"/>
          <w:sz w:val="28"/>
          <w:szCs w:val="28"/>
          <w:lang w:val="en-US"/>
        </w:rPr>
      </w:pPr>
      <w:r w:rsidRPr="004142F1">
        <w:rPr>
          <w:rFonts w:cs="Times New Roman"/>
          <w:sz w:val="28"/>
          <w:szCs w:val="28"/>
          <w:lang w:val="en-US"/>
        </w:rPr>
        <w:t xml:space="preserve">Albendazole did not affect male or female fertility in the rat at an oral dose level of 30 mg/kg/day. </w:t>
      </w:r>
    </w:p>
    <w:p w14:paraId="054E6D96" w14:textId="32B22947" w:rsidR="00C05E4B" w:rsidRPr="00B04E42" w:rsidRDefault="00000000" w:rsidP="00B04E42">
      <w:pPr>
        <w:pStyle w:val="ListParagraph"/>
        <w:tabs>
          <w:tab w:val="center" w:pos="1778"/>
        </w:tabs>
        <w:spacing w:after="240" w:line="360" w:lineRule="auto"/>
        <w:ind w:left="794" w:firstLine="0"/>
        <w:contextualSpacing w:val="0"/>
        <w:jc w:val="thaiDistribute"/>
        <w:rPr>
          <w:rFonts w:cs="Times New Roman"/>
          <w:iCs/>
          <w:sz w:val="28"/>
          <w:szCs w:val="28"/>
          <w:u w:val="single"/>
          <w:lang w:val="en-US"/>
        </w:rPr>
      </w:pPr>
      <w:r w:rsidRPr="004142F1">
        <w:rPr>
          <w:rFonts w:cs="Times New Roman"/>
          <w:sz w:val="28"/>
          <w:szCs w:val="28"/>
          <w:lang w:val="en-US"/>
        </w:rPr>
        <w:t xml:space="preserve">Albendazole has been shown to be teratogenic (to cause embryotoxicity and skeletal malformations) in pregnant rats and rabbits. The teratogenic response in the rat was shown at oral doses of 10 and 30 mg/kg/day during gestation days 6 to 15, and in pregnant rabbits at oral doses of 30 mg/kg/day administered during gestation days 7 to 19. In the rabbit study, maternal toxicity (33% mortality) was noted at 30 mg/kg/day. In mice, no teratogenic effects were observed at oral doses up to 30 mg/kg/day administered during gestation days 6 to 15.  </w:t>
      </w:r>
    </w:p>
    <w:p w14:paraId="669409B2" w14:textId="77777777" w:rsidR="00AB1CA6" w:rsidRDefault="00000000" w:rsidP="00AB1CA6">
      <w:pPr>
        <w:pStyle w:val="Heading1"/>
        <w:numPr>
          <w:ilvl w:val="0"/>
          <w:numId w:val="2"/>
        </w:numPr>
        <w:tabs>
          <w:tab w:val="center" w:pos="2976"/>
        </w:tabs>
        <w:spacing w:line="360" w:lineRule="auto"/>
        <w:rPr>
          <w:sz w:val="28"/>
          <w:szCs w:val="28"/>
        </w:rPr>
      </w:pPr>
      <w:r w:rsidRPr="004142F1">
        <w:rPr>
          <w:sz w:val="28"/>
          <w:szCs w:val="28"/>
        </w:rPr>
        <w:lastRenderedPageBreak/>
        <w:t xml:space="preserve">PHARMACEUTICAL PARTICULARS  </w:t>
      </w:r>
    </w:p>
    <w:p w14:paraId="13247A65" w14:textId="77777777" w:rsidR="00AB1CA6" w:rsidRDefault="00000000" w:rsidP="00AB1CA6">
      <w:pPr>
        <w:pStyle w:val="Heading1"/>
        <w:numPr>
          <w:ilvl w:val="1"/>
          <w:numId w:val="2"/>
        </w:numPr>
        <w:tabs>
          <w:tab w:val="center" w:pos="2976"/>
        </w:tabs>
        <w:spacing w:after="240" w:line="360" w:lineRule="auto"/>
        <w:ind w:left="788" w:hanging="431"/>
        <w:rPr>
          <w:sz w:val="28"/>
          <w:szCs w:val="28"/>
        </w:rPr>
      </w:pPr>
      <w:r w:rsidRPr="00AB1CA6">
        <w:rPr>
          <w:sz w:val="28"/>
          <w:szCs w:val="28"/>
        </w:rPr>
        <w:t xml:space="preserve">List of excipients  </w:t>
      </w:r>
    </w:p>
    <w:p w14:paraId="6670F734" w14:textId="77777777" w:rsidR="00AB1CA6" w:rsidRDefault="00000000" w:rsidP="00AB1CA6">
      <w:pPr>
        <w:pStyle w:val="Heading1"/>
        <w:tabs>
          <w:tab w:val="center" w:pos="2976"/>
        </w:tabs>
        <w:spacing w:line="360" w:lineRule="auto"/>
        <w:ind w:left="792" w:firstLine="0"/>
        <w:rPr>
          <w:b w:val="0"/>
          <w:bCs/>
          <w:sz w:val="28"/>
          <w:szCs w:val="28"/>
          <w:lang w:val="en-US"/>
        </w:rPr>
      </w:pPr>
      <w:r w:rsidRPr="00AB1CA6">
        <w:rPr>
          <w:b w:val="0"/>
          <w:bCs/>
          <w:color w:val="FF0000"/>
          <w:sz w:val="28"/>
          <w:szCs w:val="28"/>
          <w:lang w:val="en-US"/>
        </w:rPr>
        <w:t>&lt;Regarding the approval&gt;</w:t>
      </w:r>
      <w:r w:rsidRPr="00AB1CA6">
        <w:rPr>
          <w:b w:val="0"/>
          <w:bCs/>
          <w:sz w:val="28"/>
          <w:szCs w:val="28"/>
          <w:lang w:val="en-US"/>
        </w:rPr>
        <w:t xml:space="preserve"> </w:t>
      </w:r>
    </w:p>
    <w:p w14:paraId="495700C0" w14:textId="77777777" w:rsidR="00AB1CA6" w:rsidRPr="00AB1CA6" w:rsidRDefault="00000000" w:rsidP="00AB1CA6">
      <w:pPr>
        <w:pStyle w:val="Heading1"/>
        <w:numPr>
          <w:ilvl w:val="1"/>
          <w:numId w:val="2"/>
        </w:numPr>
        <w:tabs>
          <w:tab w:val="center" w:pos="2976"/>
        </w:tabs>
        <w:spacing w:after="240" w:line="360" w:lineRule="auto"/>
        <w:ind w:left="788" w:hanging="431"/>
        <w:rPr>
          <w:b w:val="0"/>
          <w:bCs/>
          <w:sz w:val="28"/>
          <w:szCs w:val="28"/>
        </w:rPr>
      </w:pPr>
      <w:r w:rsidRPr="004142F1">
        <w:rPr>
          <w:sz w:val="28"/>
          <w:szCs w:val="28"/>
          <w:lang w:val="en-US"/>
        </w:rPr>
        <w:t xml:space="preserve">Incompatibilities </w:t>
      </w:r>
    </w:p>
    <w:p w14:paraId="10C6981D" w14:textId="1D6F13CA" w:rsidR="00C05E4B" w:rsidRPr="00AB1CA6" w:rsidRDefault="00000000" w:rsidP="00AB1CA6">
      <w:pPr>
        <w:pStyle w:val="Heading1"/>
        <w:tabs>
          <w:tab w:val="center" w:pos="2976"/>
        </w:tabs>
        <w:spacing w:after="240" w:line="360" w:lineRule="auto"/>
        <w:ind w:left="794" w:firstLine="0"/>
        <w:rPr>
          <w:b w:val="0"/>
          <w:bCs/>
          <w:sz w:val="28"/>
          <w:szCs w:val="28"/>
        </w:rPr>
      </w:pPr>
      <w:r w:rsidRPr="00AB1CA6">
        <w:rPr>
          <w:b w:val="0"/>
          <w:bCs/>
          <w:sz w:val="28"/>
          <w:szCs w:val="28"/>
          <w:lang w:val="en-US"/>
        </w:rPr>
        <w:t xml:space="preserve">Not applicable.  </w:t>
      </w:r>
    </w:p>
    <w:p w14:paraId="2CB96B5A" w14:textId="77777777" w:rsidR="00AB1CA6" w:rsidRDefault="00000000" w:rsidP="00AB1CA6">
      <w:pPr>
        <w:pStyle w:val="ListParagraph"/>
        <w:numPr>
          <w:ilvl w:val="1"/>
          <w:numId w:val="2"/>
        </w:numPr>
        <w:tabs>
          <w:tab w:val="center" w:pos="1148"/>
        </w:tabs>
        <w:spacing w:after="240" w:line="259" w:lineRule="auto"/>
        <w:ind w:left="788" w:hanging="431"/>
        <w:contextualSpacing w:val="0"/>
        <w:rPr>
          <w:rFonts w:cs="Times New Roman"/>
          <w:sz w:val="28"/>
          <w:szCs w:val="28"/>
          <w:lang w:val="en-US"/>
        </w:rPr>
      </w:pPr>
      <w:r w:rsidRPr="00AB1CA6">
        <w:rPr>
          <w:rFonts w:cs="Times New Roman"/>
          <w:b/>
          <w:sz w:val="28"/>
          <w:szCs w:val="28"/>
          <w:lang w:val="en-US"/>
        </w:rPr>
        <w:t xml:space="preserve">Shelf life </w:t>
      </w:r>
    </w:p>
    <w:p w14:paraId="4D176599" w14:textId="77777777" w:rsidR="00AB1CA6" w:rsidRDefault="00000000" w:rsidP="00AB1CA6">
      <w:pPr>
        <w:pStyle w:val="ListParagraph"/>
        <w:tabs>
          <w:tab w:val="center" w:pos="1148"/>
        </w:tabs>
        <w:spacing w:after="240" w:line="259" w:lineRule="auto"/>
        <w:ind w:left="794" w:firstLine="0"/>
        <w:contextualSpacing w:val="0"/>
        <w:rPr>
          <w:rFonts w:cs="Times New Roman"/>
          <w:sz w:val="28"/>
          <w:szCs w:val="28"/>
          <w:lang w:val="en-US"/>
        </w:rPr>
      </w:pPr>
      <w:r w:rsidRPr="00AB1CA6">
        <w:rPr>
          <w:rFonts w:cs="Times New Roman"/>
          <w:color w:val="FF0000"/>
          <w:sz w:val="28"/>
          <w:szCs w:val="28"/>
          <w:lang w:val="en-US"/>
        </w:rPr>
        <w:t>&lt;Regarding the approval&gt;</w:t>
      </w:r>
      <w:r w:rsidRPr="00AB1CA6">
        <w:rPr>
          <w:rFonts w:cs="Times New Roman"/>
          <w:sz w:val="28"/>
          <w:szCs w:val="28"/>
          <w:lang w:val="en-US"/>
        </w:rPr>
        <w:t xml:space="preserve"> </w:t>
      </w:r>
    </w:p>
    <w:p w14:paraId="6D3C119D" w14:textId="77777777" w:rsidR="00AB1CA6" w:rsidRPr="00AB1CA6" w:rsidRDefault="00000000" w:rsidP="00AB1CA6">
      <w:pPr>
        <w:pStyle w:val="ListParagraph"/>
        <w:numPr>
          <w:ilvl w:val="1"/>
          <w:numId w:val="2"/>
        </w:numPr>
        <w:tabs>
          <w:tab w:val="center" w:pos="1148"/>
        </w:tabs>
        <w:spacing w:after="240" w:line="259" w:lineRule="auto"/>
        <w:ind w:left="788" w:hanging="431"/>
        <w:contextualSpacing w:val="0"/>
        <w:rPr>
          <w:rFonts w:cs="Times New Roman"/>
          <w:sz w:val="28"/>
          <w:szCs w:val="28"/>
          <w:lang w:val="en-US"/>
        </w:rPr>
      </w:pPr>
      <w:r w:rsidRPr="00AB1CA6">
        <w:rPr>
          <w:rFonts w:cs="Times New Roman"/>
          <w:b/>
          <w:sz w:val="28"/>
          <w:szCs w:val="28"/>
          <w:lang w:val="en-US"/>
        </w:rPr>
        <w:t xml:space="preserve">Special precautions for storage  </w:t>
      </w:r>
    </w:p>
    <w:p w14:paraId="7AFD4F70" w14:textId="30454A31" w:rsidR="00C05E4B" w:rsidRPr="00AB1CA6" w:rsidRDefault="00000000" w:rsidP="00AB1CA6">
      <w:pPr>
        <w:pStyle w:val="ListParagraph"/>
        <w:tabs>
          <w:tab w:val="center" w:pos="1148"/>
        </w:tabs>
        <w:spacing w:after="240" w:line="259" w:lineRule="auto"/>
        <w:ind w:left="794" w:firstLine="0"/>
        <w:contextualSpacing w:val="0"/>
        <w:rPr>
          <w:rFonts w:cs="Times New Roman"/>
          <w:sz w:val="28"/>
          <w:szCs w:val="28"/>
          <w:lang w:val="en-US"/>
        </w:rPr>
      </w:pPr>
      <w:r w:rsidRPr="00AB1CA6">
        <w:rPr>
          <w:rFonts w:cs="Times New Roman"/>
          <w:color w:val="FF0000"/>
          <w:sz w:val="28"/>
          <w:szCs w:val="28"/>
          <w:lang w:val="en-US"/>
        </w:rPr>
        <w:t>&lt;Regarding the approval&gt;</w:t>
      </w:r>
      <w:r w:rsidRPr="00AB1CA6">
        <w:rPr>
          <w:rFonts w:cs="Times New Roman"/>
          <w:sz w:val="28"/>
          <w:szCs w:val="28"/>
          <w:lang w:val="en-US"/>
        </w:rPr>
        <w:t xml:space="preserve"> </w:t>
      </w:r>
    </w:p>
    <w:p w14:paraId="25B03CA8" w14:textId="77777777" w:rsidR="00AB1CA6" w:rsidRPr="00AB1CA6" w:rsidRDefault="00000000" w:rsidP="00AB1CA6">
      <w:pPr>
        <w:pStyle w:val="ListParagraph"/>
        <w:numPr>
          <w:ilvl w:val="1"/>
          <w:numId w:val="2"/>
        </w:numPr>
        <w:tabs>
          <w:tab w:val="center" w:pos="2283"/>
        </w:tabs>
        <w:spacing w:after="240" w:line="259" w:lineRule="auto"/>
        <w:ind w:left="788" w:hanging="431"/>
        <w:contextualSpacing w:val="0"/>
        <w:rPr>
          <w:rFonts w:cs="Times New Roman"/>
          <w:sz w:val="28"/>
          <w:szCs w:val="28"/>
          <w:lang w:val="en-US"/>
        </w:rPr>
      </w:pPr>
      <w:r w:rsidRPr="00AB1CA6">
        <w:rPr>
          <w:rFonts w:cs="Times New Roman"/>
          <w:b/>
          <w:sz w:val="28"/>
          <w:szCs w:val="28"/>
          <w:lang w:val="en-US"/>
        </w:rPr>
        <w:t xml:space="preserve">Nature and contents of container  </w:t>
      </w:r>
    </w:p>
    <w:p w14:paraId="6711B54B" w14:textId="0067B5A5" w:rsidR="00C05E4B" w:rsidRPr="00AB1CA6" w:rsidRDefault="00000000" w:rsidP="00AB1CA6">
      <w:pPr>
        <w:pStyle w:val="ListParagraph"/>
        <w:tabs>
          <w:tab w:val="center" w:pos="2283"/>
        </w:tabs>
        <w:spacing w:after="240" w:line="259" w:lineRule="auto"/>
        <w:ind w:left="794" w:firstLine="0"/>
        <w:contextualSpacing w:val="0"/>
        <w:rPr>
          <w:rFonts w:cs="Times New Roman"/>
          <w:sz w:val="28"/>
          <w:szCs w:val="28"/>
          <w:lang w:val="en-US"/>
        </w:rPr>
      </w:pPr>
      <w:r w:rsidRPr="00AB1CA6">
        <w:rPr>
          <w:rFonts w:cs="Times New Roman"/>
          <w:color w:val="FF0000"/>
          <w:sz w:val="28"/>
          <w:szCs w:val="28"/>
          <w:lang w:val="en-US"/>
        </w:rPr>
        <w:t>&lt;Regarding the approval&gt;</w:t>
      </w:r>
      <w:r w:rsidRPr="00AB1CA6">
        <w:rPr>
          <w:rFonts w:cs="Times New Roman"/>
          <w:sz w:val="28"/>
          <w:szCs w:val="28"/>
          <w:lang w:val="en-US"/>
        </w:rPr>
        <w:t xml:space="preserve"> </w:t>
      </w:r>
    </w:p>
    <w:p w14:paraId="0FF29E82" w14:textId="77777777" w:rsidR="00AB1CA6" w:rsidRDefault="00000000" w:rsidP="00AB1CA6">
      <w:pPr>
        <w:pStyle w:val="ListParagraph"/>
        <w:numPr>
          <w:ilvl w:val="1"/>
          <w:numId w:val="2"/>
        </w:numPr>
        <w:spacing w:after="240" w:line="259" w:lineRule="auto"/>
        <w:ind w:left="788" w:hanging="431"/>
        <w:contextualSpacing w:val="0"/>
        <w:rPr>
          <w:rFonts w:cs="Times New Roman"/>
          <w:sz w:val="28"/>
          <w:szCs w:val="28"/>
          <w:lang w:val="en-US"/>
        </w:rPr>
      </w:pPr>
      <w:r w:rsidRPr="00AB1CA6">
        <w:rPr>
          <w:rFonts w:cs="Times New Roman"/>
          <w:b/>
          <w:sz w:val="28"/>
          <w:szCs w:val="28"/>
          <w:lang w:val="en-US"/>
        </w:rPr>
        <w:t>Special precautions for disposal</w:t>
      </w:r>
      <w:r w:rsidRPr="00AB1CA6">
        <w:rPr>
          <w:rFonts w:cs="Times New Roman"/>
          <w:sz w:val="28"/>
          <w:szCs w:val="28"/>
          <w:lang w:val="en-US"/>
        </w:rPr>
        <w:t xml:space="preserve"> </w:t>
      </w:r>
    </w:p>
    <w:p w14:paraId="28052C24" w14:textId="41F3F8B9" w:rsidR="00C05E4B" w:rsidRPr="004142F1" w:rsidRDefault="00000000" w:rsidP="00AB1CA6">
      <w:pPr>
        <w:pStyle w:val="ListParagraph"/>
        <w:spacing w:after="240" w:line="259" w:lineRule="auto"/>
        <w:ind w:left="794" w:firstLine="0"/>
        <w:contextualSpacing w:val="0"/>
        <w:rPr>
          <w:rFonts w:cs="Times New Roman"/>
          <w:sz w:val="28"/>
          <w:szCs w:val="28"/>
          <w:lang w:val="en-US"/>
        </w:rPr>
      </w:pPr>
      <w:r w:rsidRPr="00AB1CA6">
        <w:rPr>
          <w:rFonts w:cs="Times New Roman"/>
          <w:color w:val="FF0000"/>
          <w:sz w:val="28"/>
          <w:szCs w:val="28"/>
          <w:lang w:val="en-US"/>
        </w:rPr>
        <w:t>&lt;Regarding the approval&gt;</w:t>
      </w:r>
      <w:r w:rsidRPr="00AB1CA6">
        <w:rPr>
          <w:rFonts w:cs="Times New Roman"/>
          <w:sz w:val="28"/>
          <w:szCs w:val="28"/>
          <w:lang w:val="en-US"/>
        </w:rPr>
        <w:t xml:space="preserve"> </w:t>
      </w:r>
      <w:r w:rsidRPr="004142F1">
        <w:rPr>
          <w:rFonts w:cs="Times New Roman"/>
          <w:sz w:val="28"/>
          <w:szCs w:val="28"/>
          <w:lang w:val="en-US"/>
        </w:rPr>
        <w:t xml:space="preserve"> </w:t>
      </w:r>
    </w:p>
    <w:p w14:paraId="383B0C0B" w14:textId="77777777" w:rsidR="00AB1CA6" w:rsidRPr="00AB1CA6" w:rsidRDefault="00000000" w:rsidP="00AB1CA6">
      <w:pPr>
        <w:pStyle w:val="ListParagraph"/>
        <w:numPr>
          <w:ilvl w:val="0"/>
          <w:numId w:val="2"/>
        </w:numPr>
        <w:spacing w:after="240" w:line="259" w:lineRule="auto"/>
        <w:ind w:left="357" w:hanging="357"/>
        <w:contextualSpacing w:val="0"/>
        <w:rPr>
          <w:rFonts w:cs="Times New Roman"/>
          <w:sz w:val="28"/>
          <w:szCs w:val="28"/>
        </w:rPr>
      </w:pPr>
      <w:r w:rsidRPr="00AB1CA6">
        <w:rPr>
          <w:rFonts w:cs="Times New Roman"/>
          <w:b/>
          <w:sz w:val="28"/>
          <w:szCs w:val="28"/>
        </w:rPr>
        <w:t xml:space="preserve">MARKETING AUTHORISATION HOLDER </w:t>
      </w:r>
    </w:p>
    <w:p w14:paraId="63F7B54E" w14:textId="77777777" w:rsidR="00AB1CA6" w:rsidRDefault="00000000" w:rsidP="00AB1CA6">
      <w:pPr>
        <w:pStyle w:val="ListParagraph"/>
        <w:spacing w:after="240" w:line="259" w:lineRule="auto"/>
        <w:ind w:left="357" w:firstLine="0"/>
        <w:contextualSpacing w:val="0"/>
        <w:rPr>
          <w:rFonts w:cs="Times New Roman"/>
          <w:sz w:val="28"/>
          <w:szCs w:val="28"/>
          <w:lang w:val="en-US"/>
        </w:rPr>
      </w:pPr>
      <w:r w:rsidRPr="00AB1CA6">
        <w:rPr>
          <w:rFonts w:cs="Times New Roman"/>
          <w:color w:val="FF0000"/>
          <w:sz w:val="28"/>
          <w:szCs w:val="28"/>
        </w:rPr>
        <w:t>&lt;Regarding the approval&gt;</w:t>
      </w:r>
      <w:r w:rsidRPr="00AB1CA6">
        <w:rPr>
          <w:rFonts w:cs="Times New Roman"/>
          <w:sz w:val="28"/>
          <w:szCs w:val="28"/>
        </w:rPr>
        <w:t xml:space="preserve"> </w:t>
      </w:r>
    </w:p>
    <w:p w14:paraId="298EB393" w14:textId="77777777" w:rsidR="00AB1CA6" w:rsidRPr="00AB1CA6" w:rsidRDefault="00000000" w:rsidP="00AB1CA6">
      <w:pPr>
        <w:pStyle w:val="ListParagraph"/>
        <w:numPr>
          <w:ilvl w:val="0"/>
          <w:numId w:val="2"/>
        </w:numPr>
        <w:spacing w:after="240" w:line="259" w:lineRule="auto"/>
        <w:ind w:left="357" w:hanging="357"/>
        <w:contextualSpacing w:val="0"/>
        <w:rPr>
          <w:rFonts w:cs="Times New Roman"/>
          <w:sz w:val="28"/>
          <w:szCs w:val="28"/>
          <w:lang w:val="en-US"/>
        </w:rPr>
      </w:pPr>
      <w:r w:rsidRPr="00AB1CA6">
        <w:rPr>
          <w:rFonts w:cs="Times New Roman"/>
          <w:b/>
          <w:sz w:val="28"/>
          <w:szCs w:val="28"/>
          <w:lang w:val="en-US"/>
        </w:rPr>
        <w:t xml:space="preserve">MARKETING AUTHORISATION NUMBER(S) </w:t>
      </w:r>
    </w:p>
    <w:p w14:paraId="28F3222D" w14:textId="087FCAAB" w:rsidR="00C05E4B" w:rsidRPr="00AB1CA6" w:rsidRDefault="00000000" w:rsidP="00AB1CA6">
      <w:pPr>
        <w:pStyle w:val="ListParagraph"/>
        <w:spacing w:after="240" w:line="259" w:lineRule="auto"/>
        <w:ind w:left="357" w:firstLine="0"/>
        <w:contextualSpacing w:val="0"/>
        <w:rPr>
          <w:rFonts w:cs="Times New Roman"/>
          <w:sz w:val="28"/>
          <w:szCs w:val="28"/>
          <w:lang w:val="en-US"/>
        </w:rPr>
      </w:pPr>
      <w:r w:rsidRPr="00AB1CA6">
        <w:rPr>
          <w:rFonts w:cs="Times New Roman"/>
          <w:color w:val="FF0000"/>
          <w:sz w:val="28"/>
          <w:szCs w:val="28"/>
          <w:lang w:val="en-US"/>
        </w:rPr>
        <w:t>&lt;Regarding the approval&gt;</w:t>
      </w:r>
      <w:r w:rsidRPr="00AB1CA6">
        <w:rPr>
          <w:rFonts w:cs="Times New Roman"/>
          <w:sz w:val="28"/>
          <w:szCs w:val="28"/>
          <w:lang w:val="en-US"/>
        </w:rPr>
        <w:t xml:space="preserve"> </w:t>
      </w:r>
    </w:p>
    <w:p w14:paraId="6DA6B8D2" w14:textId="77777777" w:rsidR="00AB1CA6" w:rsidRDefault="00000000" w:rsidP="00AB1CA6">
      <w:pPr>
        <w:pStyle w:val="ListParagraph"/>
        <w:numPr>
          <w:ilvl w:val="0"/>
          <w:numId w:val="2"/>
        </w:numPr>
        <w:spacing w:after="240" w:line="360" w:lineRule="auto"/>
        <w:ind w:left="357" w:hanging="357"/>
        <w:contextualSpacing w:val="0"/>
        <w:rPr>
          <w:rFonts w:cs="Times New Roman"/>
          <w:sz w:val="28"/>
          <w:szCs w:val="28"/>
          <w:lang w:val="en-US"/>
        </w:rPr>
      </w:pPr>
      <w:r w:rsidRPr="00AB1CA6">
        <w:rPr>
          <w:rFonts w:cs="Times New Roman"/>
          <w:b/>
          <w:sz w:val="28"/>
          <w:szCs w:val="28"/>
          <w:lang w:val="en-US"/>
        </w:rPr>
        <w:t>DATE OF FIRST AUTHORISATION/RENEWAL OF THE AUTHORISATION</w:t>
      </w:r>
      <w:r w:rsidRPr="00AB1CA6">
        <w:rPr>
          <w:rFonts w:cs="Times New Roman"/>
          <w:sz w:val="28"/>
          <w:szCs w:val="28"/>
          <w:lang w:val="en-US"/>
        </w:rPr>
        <w:t xml:space="preserve"> </w:t>
      </w:r>
    </w:p>
    <w:p w14:paraId="31C76F1D" w14:textId="2BA4D5B1" w:rsidR="00C05E4B" w:rsidRPr="00AB1CA6" w:rsidRDefault="00000000" w:rsidP="00AB1CA6">
      <w:pPr>
        <w:pStyle w:val="ListParagraph"/>
        <w:spacing w:after="240" w:line="360" w:lineRule="auto"/>
        <w:ind w:left="357" w:firstLine="0"/>
        <w:contextualSpacing w:val="0"/>
        <w:rPr>
          <w:rFonts w:cs="Times New Roman"/>
          <w:sz w:val="28"/>
          <w:szCs w:val="28"/>
          <w:lang w:val="en-US"/>
        </w:rPr>
      </w:pPr>
      <w:r w:rsidRPr="00AB1CA6">
        <w:rPr>
          <w:rFonts w:cs="Times New Roman"/>
          <w:color w:val="FF0000"/>
          <w:sz w:val="28"/>
          <w:szCs w:val="28"/>
          <w:lang w:val="en-US"/>
        </w:rPr>
        <w:t>&lt;Regarding the approval&gt;</w:t>
      </w:r>
      <w:r w:rsidRPr="00AB1CA6">
        <w:rPr>
          <w:rFonts w:cs="Times New Roman"/>
          <w:sz w:val="28"/>
          <w:szCs w:val="28"/>
          <w:lang w:val="en-US"/>
        </w:rPr>
        <w:t xml:space="preserve"> </w:t>
      </w:r>
    </w:p>
    <w:p w14:paraId="25FC613F" w14:textId="77777777" w:rsidR="00AB1CA6" w:rsidRDefault="00000000" w:rsidP="00AB1CA6">
      <w:pPr>
        <w:pStyle w:val="Heading1"/>
        <w:numPr>
          <w:ilvl w:val="0"/>
          <w:numId w:val="2"/>
        </w:numPr>
        <w:tabs>
          <w:tab w:val="center" w:pos="2893"/>
        </w:tabs>
        <w:spacing w:after="240"/>
        <w:ind w:left="357" w:hanging="357"/>
        <w:rPr>
          <w:sz w:val="28"/>
          <w:szCs w:val="28"/>
        </w:rPr>
      </w:pPr>
      <w:r w:rsidRPr="004142F1">
        <w:rPr>
          <w:sz w:val="28"/>
          <w:szCs w:val="28"/>
        </w:rPr>
        <w:lastRenderedPageBreak/>
        <w:t xml:space="preserve">DATE OF REVISION OF THE TEXT </w:t>
      </w:r>
      <w:r w:rsidRPr="004142F1">
        <w:rPr>
          <w:b w:val="0"/>
          <w:sz w:val="28"/>
          <w:szCs w:val="28"/>
          <w:vertAlign w:val="superscript"/>
        </w:rPr>
        <w:t>1</w:t>
      </w:r>
      <w:r w:rsidRPr="004142F1">
        <w:rPr>
          <w:b w:val="0"/>
          <w:sz w:val="28"/>
          <w:szCs w:val="28"/>
        </w:rPr>
        <w:t xml:space="preserve"> </w:t>
      </w:r>
      <w:r w:rsidRPr="004142F1">
        <w:rPr>
          <w:sz w:val="28"/>
          <w:szCs w:val="28"/>
        </w:rPr>
        <w:t xml:space="preserve"> </w:t>
      </w:r>
    </w:p>
    <w:p w14:paraId="1F137F49" w14:textId="60974344" w:rsidR="00C05E4B" w:rsidRPr="00AB1CA6" w:rsidRDefault="00000000" w:rsidP="00AB1CA6">
      <w:pPr>
        <w:pStyle w:val="Heading1"/>
        <w:tabs>
          <w:tab w:val="center" w:pos="2893"/>
        </w:tabs>
        <w:spacing w:after="18"/>
        <w:ind w:left="360" w:firstLine="0"/>
        <w:rPr>
          <w:b w:val="0"/>
          <w:bCs/>
          <w:sz w:val="28"/>
          <w:szCs w:val="28"/>
        </w:rPr>
      </w:pPr>
      <w:r w:rsidRPr="00AB1CA6">
        <w:rPr>
          <w:b w:val="0"/>
          <w:bCs/>
          <w:color w:val="FF0000"/>
          <w:sz w:val="28"/>
          <w:szCs w:val="28"/>
        </w:rPr>
        <w:t>&lt;Regarding the approval&gt;</w:t>
      </w:r>
      <w:r w:rsidRPr="00AB1CA6">
        <w:rPr>
          <w:b w:val="0"/>
          <w:bCs/>
          <w:sz w:val="28"/>
          <w:szCs w:val="28"/>
        </w:rPr>
        <w:t xml:space="preserve"> </w:t>
      </w:r>
    </w:p>
    <w:p w14:paraId="4A06D502" w14:textId="77777777" w:rsidR="00C05E4B" w:rsidRPr="00AB1CA6" w:rsidRDefault="00000000">
      <w:pPr>
        <w:spacing w:after="1419" w:line="259" w:lineRule="auto"/>
        <w:ind w:left="14" w:firstLine="0"/>
        <w:rPr>
          <w:rFonts w:cs="Times New Roman"/>
          <w:sz w:val="28"/>
          <w:szCs w:val="28"/>
          <w:lang w:val="en-US"/>
        </w:rPr>
      </w:pPr>
      <w:r w:rsidRPr="00AB1CA6">
        <w:rPr>
          <w:rFonts w:cs="Times New Roman"/>
          <w:sz w:val="28"/>
          <w:szCs w:val="28"/>
          <w:lang w:val="en-US"/>
        </w:rPr>
        <w:t xml:space="preserve">  </w:t>
      </w:r>
    </w:p>
    <w:p w14:paraId="03267E21" w14:textId="7659626C" w:rsidR="00C05E4B" w:rsidRPr="00AB1CA6" w:rsidRDefault="00000000">
      <w:pPr>
        <w:spacing w:after="232" w:line="259" w:lineRule="auto"/>
        <w:ind w:left="14" w:firstLine="0"/>
        <w:rPr>
          <w:rFonts w:cs="Times New Roman"/>
          <w:sz w:val="28"/>
          <w:szCs w:val="28"/>
          <w:lang w:val="en-US"/>
        </w:rPr>
      </w:pPr>
      <w:r w:rsidRPr="00AB1CA6">
        <w:rPr>
          <w:rFonts w:cs="Times New Roman"/>
          <w:sz w:val="28"/>
          <w:szCs w:val="28"/>
          <w:lang w:val="en-US"/>
        </w:rPr>
        <w:t xml:space="preserve"> </w:t>
      </w:r>
    </w:p>
    <w:p w14:paraId="7101BE6E" w14:textId="77777777" w:rsidR="00AB1CA6" w:rsidRDefault="00AB1CA6" w:rsidP="00AB1CA6">
      <w:pPr>
        <w:spacing w:after="160" w:line="278" w:lineRule="auto"/>
        <w:ind w:left="0" w:firstLine="0"/>
        <w:rPr>
          <w:rFonts w:cs="Times New Roman"/>
          <w:sz w:val="28"/>
          <w:szCs w:val="28"/>
          <w:vertAlign w:val="superscript"/>
          <w:lang w:val="en-US"/>
        </w:rPr>
      </w:pPr>
    </w:p>
    <w:p w14:paraId="17997C41" w14:textId="77777777" w:rsidR="00AB1CA6" w:rsidRDefault="00AB1CA6" w:rsidP="00AB1CA6">
      <w:pPr>
        <w:spacing w:after="160" w:line="278" w:lineRule="auto"/>
        <w:ind w:left="0" w:firstLine="0"/>
        <w:rPr>
          <w:rFonts w:cs="Times New Roman"/>
          <w:sz w:val="28"/>
          <w:szCs w:val="28"/>
          <w:vertAlign w:val="superscript"/>
          <w:lang w:val="en-US"/>
        </w:rPr>
      </w:pPr>
    </w:p>
    <w:p w14:paraId="23ACA5CA" w14:textId="77777777" w:rsidR="00AB1CA6" w:rsidRDefault="00AB1CA6" w:rsidP="00AB1CA6">
      <w:pPr>
        <w:spacing w:after="160" w:line="278" w:lineRule="auto"/>
        <w:ind w:left="0" w:firstLine="0"/>
        <w:rPr>
          <w:rFonts w:cs="Times New Roman"/>
          <w:sz w:val="28"/>
          <w:szCs w:val="28"/>
          <w:vertAlign w:val="superscript"/>
          <w:lang w:val="en-US"/>
        </w:rPr>
      </w:pPr>
    </w:p>
    <w:p w14:paraId="6DD03067" w14:textId="77777777" w:rsidR="00AB1CA6" w:rsidRDefault="00AB1CA6" w:rsidP="00AB1CA6">
      <w:pPr>
        <w:spacing w:after="160" w:line="278" w:lineRule="auto"/>
        <w:ind w:left="0" w:firstLine="0"/>
        <w:rPr>
          <w:rFonts w:cs="Times New Roman"/>
          <w:sz w:val="28"/>
          <w:szCs w:val="28"/>
          <w:vertAlign w:val="superscript"/>
          <w:lang w:val="en-US"/>
        </w:rPr>
      </w:pPr>
    </w:p>
    <w:p w14:paraId="65ED4A22" w14:textId="77777777" w:rsidR="00AB1CA6" w:rsidRDefault="00AB1CA6" w:rsidP="00AB1CA6">
      <w:pPr>
        <w:spacing w:after="160" w:line="278" w:lineRule="auto"/>
        <w:ind w:left="0" w:firstLine="0"/>
        <w:rPr>
          <w:rFonts w:cs="Times New Roman"/>
          <w:sz w:val="28"/>
          <w:szCs w:val="28"/>
          <w:vertAlign w:val="superscript"/>
          <w:lang w:val="en-US"/>
        </w:rPr>
      </w:pPr>
    </w:p>
    <w:p w14:paraId="0808C6E1" w14:textId="77777777" w:rsidR="00AB1CA6" w:rsidRDefault="00AB1CA6" w:rsidP="00AB1CA6">
      <w:pPr>
        <w:spacing w:after="160" w:line="278" w:lineRule="auto"/>
        <w:ind w:left="0" w:firstLine="0"/>
        <w:rPr>
          <w:rFonts w:cs="Times New Roman"/>
          <w:sz w:val="28"/>
          <w:szCs w:val="28"/>
          <w:vertAlign w:val="superscript"/>
          <w:lang w:val="en-US"/>
        </w:rPr>
      </w:pPr>
    </w:p>
    <w:p w14:paraId="64D3A2E5" w14:textId="77777777" w:rsidR="00AB1CA6" w:rsidRDefault="00AB1CA6" w:rsidP="00AB1CA6">
      <w:pPr>
        <w:spacing w:after="160" w:line="278" w:lineRule="auto"/>
        <w:ind w:left="0" w:firstLine="0"/>
        <w:rPr>
          <w:rFonts w:cs="Times New Roman"/>
          <w:sz w:val="28"/>
          <w:szCs w:val="28"/>
          <w:vertAlign w:val="superscript"/>
          <w:lang w:val="en-US"/>
        </w:rPr>
      </w:pPr>
    </w:p>
    <w:p w14:paraId="47CEB699" w14:textId="77777777" w:rsidR="00AB1CA6" w:rsidRDefault="00AB1CA6" w:rsidP="00AB1CA6">
      <w:pPr>
        <w:spacing w:after="160" w:line="278" w:lineRule="auto"/>
        <w:ind w:left="0" w:firstLine="0"/>
        <w:rPr>
          <w:rFonts w:cs="Times New Roman"/>
          <w:sz w:val="28"/>
          <w:szCs w:val="28"/>
          <w:vertAlign w:val="superscript"/>
          <w:lang w:val="en-US"/>
        </w:rPr>
      </w:pPr>
    </w:p>
    <w:p w14:paraId="0C712782" w14:textId="77777777" w:rsidR="00AB1CA6" w:rsidRDefault="00AB1CA6" w:rsidP="00AB1CA6">
      <w:pPr>
        <w:spacing w:after="160" w:line="278" w:lineRule="auto"/>
        <w:ind w:left="0" w:firstLine="0"/>
        <w:rPr>
          <w:rFonts w:cs="Times New Roman"/>
          <w:sz w:val="28"/>
          <w:szCs w:val="28"/>
          <w:vertAlign w:val="superscript"/>
          <w:lang w:val="en-US"/>
        </w:rPr>
      </w:pPr>
    </w:p>
    <w:p w14:paraId="23E4C4D9" w14:textId="77777777" w:rsidR="00AB1CA6" w:rsidRDefault="00AB1CA6" w:rsidP="00AB1CA6">
      <w:pPr>
        <w:spacing w:after="160" w:line="278" w:lineRule="auto"/>
        <w:ind w:left="0" w:firstLine="0"/>
        <w:rPr>
          <w:rFonts w:cs="Times New Roman"/>
          <w:sz w:val="28"/>
          <w:szCs w:val="28"/>
          <w:vertAlign w:val="superscript"/>
          <w:lang w:val="en-US"/>
        </w:rPr>
      </w:pPr>
    </w:p>
    <w:p w14:paraId="05B3E47D" w14:textId="77777777" w:rsidR="00AB1CA6" w:rsidRDefault="00AB1CA6" w:rsidP="00AB1CA6">
      <w:pPr>
        <w:spacing w:after="160" w:line="278" w:lineRule="auto"/>
        <w:ind w:left="0" w:firstLine="0"/>
        <w:rPr>
          <w:rFonts w:cs="Times New Roman"/>
          <w:sz w:val="28"/>
          <w:szCs w:val="28"/>
          <w:vertAlign w:val="superscript"/>
          <w:lang w:val="en-US"/>
        </w:rPr>
      </w:pPr>
    </w:p>
    <w:p w14:paraId="050CD550" w14:textId="77777777" w:rsidR="00AB1CA6" w:rsidRDefault="00AB1CA6" w:rsidP="00AB1CA6">
      <w:pPr>
        <w:spacing w:after="160" w:line="278" w:lineRule="auto"/>
        <w:ind w:left="0" w:firstLine="0"/>
        <w:rPr>
          <w:rFonts w:cs="Times New Roman"/>
          <w:sz w:val="28"/>
          <w:szCs w:val="28"/>
          <w:vertAlign w:val="superscript"/>
          <w:lang w:val="en-US"/>
        </w:rPr>
      </w:pPr>
    </w:p>
    <w:p w14:paraId="7A3159EB" w14:textId="77777777" w:rsidR="00AB1CA6" w:rsidRDefault="00AB1CA6" w:rsidP="00AB1CA6">
      <w:pPr>
        <w:spacing w:after="160" w:line="278" w:lineRule="auto"/>
        <w:ind w:left="0" w:firstLine="0"/>
        <w:rPr>
          <w:rFonts w:cs="Times New Roman"/>
          <w:sz w:val="28"/>
          <w:szCs w:val="28"/>
          <w:vertAlign w:val="superscript"/>
          <w:lang w:val="en-US"/>
        </w:rPr>
      </w:pPr>
    </w:p>
    <w:p w14:paraId="6C0520F9" w14:textId="77777777" w:rsidR="00AB1CA6" w:rsidRDefault="00AB1CA6" w:rsidP="00AB1CA6">
      <w:pPr>
        <w:spacing w:after="160" w:line="278" w:lineRule="auto"/>
        <w:ind w:left="0" w:firstLine="0"/>
        <w:rPr>
          <w:rFonts w:cs="Times New Roman"/>
          <w:sz w:val="28"/>
          <w:szCs w:val="28"/>
          <w:vertAlign w:val="superscript"/>
          <w:lang w:val="en-US"/>
        </w:rPr>
      </w:pPr>
    </w:p>
    <w:p w14:paraId="69921BFE" w14:textId="77777777" w:rsidR="00AB1CA6" w:rsidRDefault="00AB1CA6" w:rsidP="00AB1CA6">
      <w:pPr>
        <w:spacing w:after="160" w:line="278" w:lineRule="auto"/>
        <w:ind w:left="0" w:firstLine="0"/>
        <w:rPr>
          <w:rFonts w:cs="Times New Roman"/>
          <w:sz w:val="28"/>
          <w:szCs w:val="28"/>
          <w:vertAlign w:val="superscript"/>
          <w:lang w:val="en-US"/>
        </w:rPr>
      </w:pPr>
    </w:p>
    <w:p w14:paraId="73CCA9DE" w14:textId="77777777" w:rsidR="00AB1CA6" w:rsidRDefault="00AB1CA6" w:rsidP="00AB1CA6">
      <w:pPr>
        <w:spacing w:after="160" w:line="278" w:lineRule="auto"/>
        <w:ind w:left="0" w:firstLine="0"/>
        <w:rPr>
          <w:rFonts w:cs="Times New Roman"/>
          <w:sz w:val="28"/>
          <w:szCs w:val="28"/>
          <w:vertAlign w:val="superscript"/>
          <w:lang w:val="en-US"/>
        </w:rPr>
      </w:pPr>
    </w:p>
    <w:p w14:paraId="3A677CD1" w14:textId="48443BEE" w:rsidR="00AB1CA6" w:rsidRPr="00AB1CA6" w:rsidRDefault="00AB1CA6" w:rsidP="00AB1CA6">
      <w:pPr>
        <w:spacing w:after="160" w:line="278" w:lineRule="auto"/>
        <w:ind w:left="0" w:firstLine="0"/>
        <w:rPr>
          <w:sz w:val="28"/>
          <w:szCs w:val="35"/>
          <w:lang w:val="en-US"/>
        </w:rPr>
      </w:pPr>
      <w:r>
        <w:rPr>
          <w:sz w:val="28"/>
          <w:szCs w:val="35"/>
          <w:lang w:val="en-US"/>
        </w:rPr>
        <w:t>________________________________</w:t>
      </w:r>
    </w:p>
    <w:p w14:paraId="76C167A4" w14:textId="282F51F2" w:rsidR="00C05E4B" w:rsidRPr="00AB1CA6" w:rsidRDefault="00000000" w:rsidP="00AB1CA6">
      <w:pPr>
        <w:spacing w:after="160" w:line="278" w:lineRule="auto"/>
        <w:ind w:left="0" w:firstLine="0"/>
        <w:rPr>
          <w:rFonts w:cs="Times New Roman"/>
          <w:sz w:val="28"/>
          <w:szCs w:val="28"/>
          <w:vertAlign w:val="superscript"/>
          <w:lang w:val="en-US"/>
        </w:rPr>
      </w:pPr>
      <w:r w:rsidRPr="00AB1CA6">
        <w:rPr>
          <w:rFonts w:cs="Times New Roman"/>
          <w:sz w:val="28"/>
          <w:szCs w:val="28"/>
          <w:vertAlign w:val="superscript"/>
          <w:lang w:val="en-US"/>
        </w:rPr>
        <w:t xml:space="preserve">1 </w:t>
      </w:r>
      <w:r w:rsidRPr="00AB1CA6">
        <w:rPr>
          <w:rFonts w:cs="Times New Roman"/>
          <w:sz w:val="28"/>
          <w:szCs w:val="28"/>
          <w:lang w:val="en-US"/>
        </w:rPr>
        <w:t>Ref: albendazole, WHO, May 2021</w:t>
      </w:r>
      <w:r w:rsidRPr="00AB1CA6">
        <w:rPr>
          <w:rFonts w:cs="Times New Roman"/>
          <w:sz w:val="28"/>
          <w:szCs w:val="28"/>
          <w:vertAlign w:val="subscript"/>
          <w:lang w:val="en-US"/>
        </w:rPr>
        <w:t xml:space="preserve"> </w:t>
      </w:r>
    </w:p>
    <w:sectPr w:rsidR="00C05E4B" w:rsidRPr="00AB1CA6" w:rsidSect="004142F1">
      <w:pgSz w:w="11904" w:h="16838"/>
      <w:pgMar w:top="1985" w:right="1418" w:bottom="1985"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95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67720"/>
    <w:multiLevelType w:val="hybridMultilevel"/>
    <w:tmpl w:val="B80C2C68"/>
    <w:lvl w:ilvl="0" w:tplc="07606E5C">
      <w:start w:val="7"/>
      <w:numFmt w:val="decimal"/>
      <w:lvlText w:val="%1."/>
      <w:lvlJc w:val="left"/>
      <w:pPr>
        <w:ind w:left="84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DCABB82">
      <w:start w:val="1"/>
      <w:numFmt w:val="lowerLetter"/>
      <w:lvlText w:val="%2"/>
      <w:lvlJc w:val="left"/>
      <w:pPr>
        <w:ind w:left="10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1260EDE">
      <w:start w:val="1"/>
      <w:numFmt w:val="lowerRoman"/>
      <w:lvlText w:val="%3"/>
      <w:lvlJc w:val="left"/>
      <w:pPr>
        <w:ind w:left="18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B8F0B0">
      <w:start w:val="1"/>
      <w:numFmt w:val="decimal"/>
      <w:lvlText w:val="%4"/>
      <w:lvlJc w:val="left"/>
      <w:pPr>
        <w:ind w:left="25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C7E6EBE">
      <w:start w:val="1"/>
      <w:numFmt w:val="lowerLetter"/>
      <w:lvlText w:val="%5"/>
      <w:lvlJc w:val="left"/>
      <w:pPr>
        <w:ind w:left="32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47E0BBE">
      <w:start w:val="1"/>
      <w:numFmt w:val="lowerRoman"/>
      <w:lvlText w:val="%6"/>
      <w:lvlJc w:val="left"/>
      <w:pPr>
        <w:ind w:left="39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BDAD016">
      <w:start w:val="1"/>
      <w:numFmt w:val="decimal"/>
      <w:lvlText w:val="%7"/>
      <w:lvlJc w:val="left"/>
      <w:pPr>
        <w:ind w:left="46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4FEBC66">
      <w:start w:val="1"/>
      <w:numFmt w:val="lowerLetter"/>
      <w:lvlText w:val="%8"/>
      <w:lvlJc w:val="left"/>
      <w:pPr>
        <w:ind w:left="54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2D6DE7E">
      <w:start w:val="1"/>
      <w:numFmt w:val="lowerRoman"/>
      <w:lvlText w:val="%9"/>
      <w:lvlJc w:val="left"/>
      <w:pPr>
        <w:ind w:left="61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1779C7"/>
    <w:multiLevelType w:val="hybridMultilevel"/>
    <w:tmpl w:val="49BC031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1F0700BF"/>
    <w:multiLevelType w:val="multilevel"/>
    <w:tmpl w:val="CA188A6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2D0224"/>
    <w:multiLevelType w:val="hybridMultilevel"/>
    <w:tmpl w:val="A8763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FE41B7"/>
    <w:multiLevelType w:val="multilevel"/>
    <w:tmpl w:val="CA188A6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CC5012"/>
    <w:multiLevelType w:val="multilevel"/>
    <w:tmpl w:val="CA188A6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1D396B"/>
    <w:multiLevelType w:val="multilevel"/>
    <w:tmpl w:val="CA188A6C"/>
    <w:lvl w:ilvl="0">
      <w:start w:val="1"/>
      <w:numFmt w:val="decimal"/>
      <w:lvlText w:val="%1."/>
      <w:lvlJc w:val="left"/>
      <w:pPr>
        <w:ind w:left="1080" w:hanging="360"/>
      </w:pPr>
      <w:rPr>
        <w:b/>
        <w:bCs/>
      </w:rPr>
    </w:lvl>
    <w:lvl w:ilvl="1">
      <w:start w:val="1"/>
      <w:numFmt w:val="decimal"/>
      <w:lvlText w:val="%1.%2."/>
      <w:lvlJc w:val="left"/>
      <w:pPr>
        <w:ind w:left="1512" w:hanging="432"/>
      </w:pPr>
      <w:rPr>
        <w:b/>
        <w:bCs/>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77175891">
    <w:abstractNumId w:val="1"/>
  </w:num>
  <w:num w:numId="2" w16cid:durableId="1894003873">
    <w:abstractNumId w:val="5"/>
  </w:num>
  <w:num w:numId="3" w16cid:durableId="50810621">
    <w:abstractNumId w:val="0"/>
  </w:num>
  <w:num w:numId="4" w16cid:durableId="1229224161">
    <w:abstractNumId w:val="2"/>
  </w:num>
  <w:num w:numId="5" w16cid:durableId="1013261456">
    <w:abstractNumId w:val="4"/>
  </w:num>
  <w:num w:numId="6" w16cid:durableId="191918271">
    <w:abstractNumId w:val="3"/>
  </w:num>
  <w:num w:numId="7" w16cid:durableId="874346500">
    <w:abstractNumId w:val="7"/>
  </w:num>
  <w:num w:numId="8" w16cid:durableId="885987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4B"/>
    <w:rsid w:val="004142F1"/>
    <w:rsid w:val="00AB1CA6"/>
    <w:rsid w:val="00B04E42"/>
    <w:rsid w:val="00C05E4B"/>
    <w:rsid w:val="00C64B0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11A51A16"/>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4" w:lineRule="auto"/>
      <w:ind w:left="10" w:hanging="10"/>
    </w:pPr>
    <w:rPr>
      <w:rFonts w:ascii="Times New Roman" w:eastAsia="Times New Roman" w:hAnsi="Times New Roman" w:cs="Angsana New"/>
      <w:color w:val="000000"/>
      <w:sz w:val="22"/>
      <w:lang w:val="th" w:eastAsia="th"/>
    </w:rPr>
  </w:style>
  <w:style w:type="paragraph" w:styleId="Heading1">
    <w:name w:val="heading 1"/>
    <w:next w:val="Normal"/>
    <w:link w:val="Heading1Char"/>
    <w:uiPriority w:val="9"/>
    <w:qFormat/>
    <w:pPr>
      <w:keepNext/>
      <w:keepLines/>
      <w:spacing w:after="72" w:line="259" w:lineRule="auto"/>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140" w:line="259" w:lineRule="auto"/>
      <w:ind w:left="10" w:hanging="10"/>
      <w:outlineLvl w:val="1"/>
    </w:pPr>
    <w:rPr>
      <w:rFonts w:ascii="Times New Roman" w:eastAsia="Times New Roman" w:hAnsi="Times New Roman" w:cs="Times New Roman"/>
      <w:b/>
      <w:color w:val="000000"/>
      <w:sz w:val="22"/>
    </w:rPr>
  </w:style>
  <w:style w:type="paragraph" w:styleId="Heading3">
    <w:name w:val="heading 3"/>
    <w:next w:val="Normal"/>
    <w:link w:val="Heading3Char"/>
    <w:uiPriority w:val="9"/>
    <w:unhideWhenUsed/>
    <w:qFormat/>
    <w:pPr>
      <w:keepNext/>
      <w:keepLines/>
      <w:spacing w:after="17" w:line="259" w:lineRule="auto"/>
      <w:ind w:left="10" w:hanging="10"/>
      <w:outlineLvl w:val="2"/>
    </w:pPr>
    <w:rPr>
      <w:rFonts w:ascii="Times New Roman" w:eastAsia="Times New Roman" w:hAnsi="Times New Roman" w:cs="Times New Roman"/>
      <w:i/>
      <w:color w:val="000000"/>
      <w:sz w:val="22"/>
    </w:rPr>
  </w:style>
  <w:style w:type="paragraph" w:styleId="Heading4">
    <w:name w:val="heading 4"/>
    <w:next w:val="Normal"/>
    <w:link w:val="Heading4Char"/>
    <w:uiPriority w:val="9"/>
    <w:unhideWhenUsed/>
    <w:qFormat/>
    <w:pPr>
      <w:keepNext/>
      <w:keepLines/>
      <w:spacing w:after="140" w:line="259" w:lineRule="auto"/>
      <w:ind w:left="10" w:hanging="10"/>
      <w:outlineLvl w:val="3"/>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6</TotalTime>
  <Pages>19</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dc:creator>
  <cp:keywords/>
  <cp:lastModifiedBy>PIYATIDA PANITSUPAKAMOL</cp:lastModifiedBy>
  <cp:revision>2</cp:revision>
  <dcterms:created xsi:type="dcterms:W3CDTF">2024-09-06T05:17:00Z</dcterms:created>
  <dcterms:modified xsi:type="dcterms:W3CDTF">2024-09-06T05:17:00Z</dcterms:modified>
</cp:coreProperties>
</file>