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2C197" w14:textId="77777777" w:rsidR="00051511" w:rsidRPr="000A1286" w:rsidRDefault="00051511" w:rsidP="00051511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5B99900D" w14:textId="77777777" w:rsidR="00051511" w:rsidRDefault="00051511" w:rsidP="00051511">
      <w:pPr>
        <w:pStyle w:val="HEADING1SMPC"/>
      </w:pPr>
      <w:r w:rsidRPr="008F5678">
        <w:t>NAME OF THE MEDICINAL PRODUCT</w:t>
      </w:r>
    </w:p>
    <w:p w14:paraId="2D382687" w14:textId="0BAF2739" w:rsidR="00051511" w:rsidRPr="00A4294B" w:rsidRDefault="00051511" w:rsidP="00051511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051511">
        <w:rPr>
          <w:rFonts w:ascii="Times New Roman" w:hAnsi="Times New Roman" w:cs="Times New Roman"/>
          <w:color w:val="FF0000"/>
          <w:sz w:val="28"/>
        </w:rPr>
        <w:t xml:space="preserve">&lt;Trade Name&gt; &lt;Strength&gt; </w:t>
      </w:r>
      <w:r w:rsidR="00CB0438">
        <w:rPr>
          <w:rFonts w:ascii="Times New Roman" w:hAnsi="Times New Roman" w:cs="Times New Roman"/>
          <w:sz w:val="28"/>
        </w:rPr>
        <w:t>t</w:t>
      </w:r>
      <w:r w:rsidRPr="00051511">
        <w:rPr>
          <w:rFonts w:ascii="Times New Roman" w:hAnsi="Times New Roman" w:cs="Times New Roman"/>
          <w:sz w:val="28"/>
        </w:rPr>
        <w:t>ablets</w:t>
      </w:r>
    </w:p>
    <w:p w14:paraId="5E2AE0C8" w14:textId="77777777" w:rsidR="00051511" w:rsidRDefault="00051511" w:rsidP="00051511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2DFE4D65" w14:textId="6AD27536" w:rsidR="00051511" w:rsidRDefault="00051511" w:rsidP="00051511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051511">
        <w:rPr>
          <w:rFonts w:ascii="Times New Roman" w:hAnsi="Times New Roman" w:cs="Times New Roman"/>
          <w:sz w:val="28"/>
        </w:rPr>
        <w:t>Each tablet contains 10</w:t>
      </w:r>
      <w:r>
        <w:rPr>
          <w:rFonts w:ascii="Times New Roman" w:hAnsi="Times New Roman" w:cs="Times New Roman"/>
          <w:sz w:val="28"/>
        </w:rPr>
        <w:t xml:space="preserve"> </w:t>
      </w:r>
      <w:r w:rsidRPr="00051511">
        <w:rPr>
          <w:rFonts w:ascii="Times New Roman" w:hAnsi="Times New Roman" w:cs="Times New Roman"/>
          <w:sz w:val="28"/>
        </w:rPr>
        <w:t>mg</w:t>
      </w:r>
      <w:r w:rsidR="002D014C">
        <w:rPr>
          <w:rFonts w:ascii="Times New Roman" w:hAnsi="Times New Roman" w:cs="Times New Roman"/>
          <w:sz w:val="28"/>
        </w:rPr>
        <w:t xml:space="preserve"> i</w:t>
      </w:r>
      <w:r w:rsidRPr="00051511">
        <w:rPr>
          <w:rFonts w:ascii="Times New Roman" w:hAnsi="Times New Roman" w:cs="Times New Roman"/>
          <w:sz w:val="28"/>
        </w:rPr>
        <w:t xml:space="preserve">sosorbide </w:t>
      </w:r>
      <w:r w:rsidR="002D014C">
        <w:rPr>
          <w:rFonts w:ascii="Times New Roman" w:hAnsi="Times New Roman" w:cs="Times New Roman"/>
          <w:sz w:val="28"/>
        </w:rPr>
        <w:t>d</w:t>
      </w:r>
      <w:r w:rsidRPr="00051511">
        <w:rPr>
          <w:rFonts w:ascii="Times New Roman" w:hAnsi="Times New Roman" w:cs="Times New Roman"/>
          <w:sz w:val="28"/>
        </w:rPr>
        <w:t>initrate PhEur.</w:t>
      </w:r>
    </w:p>
    <w:p w14:paraId="0FEBF562" w14:textId="77777777" w:rsidR="00051511" w:rsidRPr="002D014C" w:rsidRDefault="00051511" w:rsidP="00051511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2D014C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6A317456" w14:textId="77777777" w:rsidR="00051511" w:rsidRPr="0085460F" w:rsidRDefault="00051511" w:rsidP="00051511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648E8E1" w14:textId="77777777" w:rsidR="00051511" w:rsidRPr="000A1286" w:rsidRDefault="00051511" w:rsidP="00051511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361AA6DA" w14:textId="77777777" w:rsidR="00051511" w:rsidRDefault="00051511" w:rsidP="00051511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377FCBFE" w14:textId="77777777" w:rsidR="00051511" w:rsidRDefault="00051511" w:rsidP="00051511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4E6B0A">
        <w:rPr>
          <w:rFonts w:ascii="Times New Roman" w:hAnsi="Times New Roman" w:cs="Times New Roman"/>
          <w:sz w:val="28"/>
        </w:rPr>
        <w:t>Tablets</w:t>
      </w:r>
    </w:p>
    <w:p w14:paraId="3CC19E19" w14:textId="77777777" w:rsidR="00051511" w:rsidRPr="0085460F" w:rsidRDefault="00051511" w:rsidP="00051511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6ADB0237" w14:textId="77777777" w:rsidR="00051511" w:rsidRPr="008F5678" w:rsidRDefault="00051511" w:rsidP="00051511">
      <w:pPr>
        <w:pStyle w:val="HEADING1SMPC"/>
        <w:rPr>
          <w:szCs w:val="28"/>
        </w:rPr>
      </w:pPr>
      <w:r w:rsidRPr="008F5678">
        <w:t>CLINICAL PARTICULARS</w:t>
      </w:r>
    </w:p>
    <w:p w14:paraId="6EF0EFB7" w14:textId="77777777" w:rsidR="00051511" w:rsidRDefault="00051511" w:rsidP="00051511">
      <w:pPr>
        <w:pStyle w:val="SubHeafingSMPC"/>
        <w:spacing w:before="0"/>
        <w:ind w:left="0" w:firstLine="0"/>
      </w:pPr>
      <w:r w:rsidRPr="007F158B">
        <w:t>Therapeutic indications</w:t>
      </w:r>
    </w:p>
    <w:p w14:paraId="171A9CF4" w14:textId="77777777" w:rsidR="00051511" w:rsidRDefault="00051511" w:rsidP="00051511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</w:rPr>
      </w:pPr>
      <w:r>
        <w:tab/>
      </w:r>
      <w:r w:rsidRPr="00051511">
        <w:rPr>
          <w:rFonts w:cstheme="minorBidi"/>
          <w:b w:val="0"/>
          <w:bCs w:val="0"/>
        </w:rPr>
        <w:t>1) Prophylaxis and treatment of angina pectoris.</w:t>
      </w:r>
    </w:p>
    <w:p w14:paraId="2C292383" w14:textId="55C05B20" w:rsidR="00051511" w:rsidRPr="00A27C5D" w:rsidRDefault="00051511" w:rsidP="00051511">
      <w:pPr>
        <w:pStyle w:val="SubHeafingSMPC"/>
        <w:numPr>
          <w:ilvl w:val="0"/>
          <w:numId w:val="0"/>
        </w:numPr>
        <w:spacing w:before="0"/>
        <w:jc w:val="thaiDistribute"/>
      </w:pPr>
      <w:r>
        <w:rPr>
          <w:rFonts w:cstheme="minorBidi"/>
          <w:b w:val="0"/>
          <w:bCs w:val="0"/>
        </w:rPr>
        <w:tab/>
      </w:r>
      <w:r w:rsidRPr="00051511">
        <w:rPr>
          <w:rFonts w:cstheme="minorBidi"/>
          <w:b w:val="0"/>
          <w:bCs w:val="0"/>
        </w:rPr>
        <w:t>2) As an adjunctive treatment in the management of severe acute or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051511">
        <w:rPr>
          <w:rFonts w:cstheme="minorBidi"/>
          <w:b w:val="0"/>
          <w:bCs w:val="0"/>
        </w:rPr>
        <w:t>chronic congestive cardiac failure</w:t>
      </w:r>
      <w:r w:rsidRPr="004E6B0A">
        <w:rPr>
          <w:rFonts w:cstheme="minorBidi"/>
          <w:b w:val="0"/>
          <w:bCs w:val="0"/>
        </w:rPr>
        <w:t>.</w:t>
      </w:r>
      <w:r w:rsidRPr="004E6B0A">
        <w:rPr>
          <w:rFonts w:cstheme="minorBidi"/>
          <w:b w:val="0"/>
          <w:bCs w:val="0"/>
          <w:cs/>
        </w:rPr>
        <w:tab/>
      </w:r>
    </w:p>
    <w:p w14:paraId="41441EF3" w14:textId="77777777" w:rsidR="00051511" w:rsidRPr="00E26561" w:rsidRDefault="00051511" w:rsidP="00051511">
      <w:pPr>
        <w:pStyle w:val="SubHeafingSMPC"/>
        <w:spacing w:before="0"/>
        <w:ind w:left="57"/>
      </w:pPr>
      <w:r w:rsidRPr="008F5678">
        <w:t>Posology and method of administration</w:t>
      </w:r>
    </w:p>
    <w:p w14:paraId="78D73AC9" w14:textId="77777777" w:rsidR="00051511" w:rsidRPr="002D014C" w:rsidRDefault="00051511" w:rsidP="00051511">
      <w:pPr>
        <w:pStyle w:val="SubHeafingSMPC"/>
        <w:numPr>
          <w:ilvl w:val="0"/>
          <w:numId w:val="0"/>
        </w:numPr>
        <w:spacing w:before="0"/>
        <w:rPr>
          <w:b w:val="0"/>
          <w:bCs w:val="0"/>
          <w:u w:val="single"/>
        </w:rPr>
      </w:pPr>
      <w:r>
        <w:rPr>
          <w:rFonts w:cstheme="minorBidi"/>
          <w:cs/>
        </w:rPr>
        <w:tab/>
      </w:r>
      <w:r w:rsidRPr="002D014C">
        <w:rPr>
          <w:b w:val="0"/>
          <w:bCs w:val="0"/>
          <w:u w:val="single"/>
        </w:rPr>
        <w:t>Posology</w:t>
      </w:r>
    </w:p>
    <w:p w14:paraId="01EF6B57" w14:textId="77777777" w:rsidR="00051511" w:rsidRDefault="00051511" w:rsidP="00051511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b w:val="0"/>
          <w:bCs w:val="0"/>
        </w:rPr>
        <w:tab/>
      </w:r>
      <w:r w:rsidRPr="00051511">
        <w:rPr>
          <w:b w:val="0"/>
          <w:bCs w:val="0"/>
        </w:rPr>
        <w:t>Adults</w:t>
      </w:r>
    </w:p>
    <w:p w14:paraId="13F8E27A" w14:textId="1D216B80" w:rsidR="00051511" w:rsidRDefault="00051511" w:rsidP="00051511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51511">
        <w:rPr>
          <w:b w:val="0"/>
          <w:bCs w:val="0"/>
          <w:i/>
          <w:iCs/>
        </w:rPr>
        <w:t>Angina:</w:t>
      </w:r>
      <w:r>
        <w:rPr>
          <w:b w:val="0"/>
          <w:bCs w:val="0"/>
        </w:rPr>
        <w:t xml:space="preserve"> </w:t>
      </w:r>
      <w:r w:rsidRPr="00051511">
        <w:rPr>
          <w:b w:val="0"/>
          <w:bCs w:val="0"/>
        </w:rPr>
        <w:t>30-120</w:t>
      </w:r>
      <w:r>
        <w:rPr>
          <w:b w:val="0"/>
          <w:bCs w:val="0"/>
        </w:rPr>
        <w:t xml:space="preserve"> </w:t>
      </w:r>
      <w:r w:rsidRPr="00051511">
        <w:rPr>
          <w:b w:val="0"/>
          <w:bCs w:val="0"/>
        </w:rPr>
        <w:t>mg daily in divided doses according to individual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051511">
        <w:rPr>
          <w:b w:val="0"/>
          <w:bCs w:val="0"/>
        </w:rPr>
        <w:t>requirements. Dosage should be gradually increased to minimise the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051511">
        <w:rPr>
          <w:b w:val="0"/>
          <w:bCs w:val="0"/>
        </w:rPr>
        <w:t>possibility of nitrate headache and/or tolerance.</w:t>
      </w:r>
    </w:p>
    <w:p w14:paraId="758A7F99" w14:textId="77777777" w:rsidR="00051511" w:rsidRDefault="00051511" w:rsidP="00051511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51511">
        <w:rPr>
          <w:b w:val="0"/>
          <w:bCs w:val="0"/>
          <w:i/>
          <w:iCs/>
        </w:rPr>
        <w:t>Congestive cardiac failure:</w:t>
      </w:r>
      <w:r w:rsidRPr="00051511">
        <w:rPr>
          <w:b w:val="0"/>
          <w:bCs w:val="0"/>
        </w:rPr>
        <w:t xml:space="preserve"> In severe congestive cardiac failure doses of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051511">
        <w:rPr>
          <w:b w:val="0"/>
          <w:bCs w:val="0"/>
        </w:rPr>
        <w:t>40-160</w:t>
      </w:r>
      <w:r>
        <w:rPr>
          <w:b w:val="0"/>
          <w:bCs w:val="0"/>
        </w:rPr>
        <w:t xml:space="preserve"> </w:t>
      </w:r>
      <w:r w:rsidRPr="00051511">
        <w:rPr>
          <w:b w:val="0"/>
          <w:bCs w:val="0"/>
        </w:rPr>
        <w:t>mg, daily in divided doses may be employed depending on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lastRenderedPageBreak/>
        <w:tab/>
      </w:r>
      <w:r w:rsidRPr="00051511">
        <w:rPr>
          <w:b w:val="0"/>
          <w:bCs w:val="0"/>
        </w:rPr>
        <w:t>individual requirements. The optimum dosage is best determined by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051511">
        <w:rPr>
          <w:b w:val="0"/>
          <w:bCs w:val="0"/>
        </w:rPr>
        <w:t>continuous haemodynamic monitoring. The use of isosorbide dinitrate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051511">
        <w:rPr>
          <w:b w:val="0"/>
          <w:bCs w:val="0"/>
        </w:rPr>
        <w:t>tablets in severe congestive cardiac failure should be regarded as an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051511">
        <w:rPr>
          <w:b w:val="0"/>
          <w:bCs w:val="0"/>
        </w:rPr>
        <w:t>adjunctive therapy to more conventional treatment (e.g. cardiac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051511">
        <w:rPr>
          <w:b w:val="0"/>
          <w:bCs w:val="0"/>
        </w:rPr>
        <w:t>glycosides, diuretics).</w:t>
      </w:r>
    </w:p>
    <w:p w14:paraId="7ED6ACAA" w14:textId="77777777" w:rsidR="00051511" w:rsidRDefault="00051511" w:rsidP="00051511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51511">
        <w:rPr>
          <w:b w:val="0"/>
          <w:bCs w:val="0"/>
        </w:rPr>
        <w:t>The maximum daily dose should not exceed 240</w:t>
      </w:r>
      <w:r>
        <w:rPr>
          <w:b w:val="0"/>
          <w:bCs w:val="0"/>
        </w:rPr>
        <w:t xml:space="preserve"> </w:t>
      </w:r>
      <w:r w:rsidRPr="00051511">
        <w:rPr>
          <w:b w:val="0"/>
          <w:bCs w:val="0"/>
        </w:rPr>
        <w:t>mg in divided doses.</w:t>
      </w:r>
    </w:p>
    <w:p w14:paraId="1C35152E" w14:textId="77777777" w:rsidR="002D014C" w:rsidRPr="002D014C" w:rsidRDefault="002D014C" w:rsidP="00051511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0398A2D7" w14:textId="77777777" w:rsidR="00051511" w:rsidRDefault="00051511" w:rsidP="00051511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51511">
        <w:rPr>
          <w:b w:val="0"/>
          <w:bCs w:val="0"/>
        </w:rPr>
        <w:t>Elderly</w:t>
      </w:r>
    </w:p>
    <w:p w14:paraId="71762F12" w14:textId="77777777" w:rsidR="00051511" w:rsidRDefault="00051511" w:rsidP="00051511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51511">
        <w:rPr>
          <w:b w:val="0"/>
          <w:bCs w:val="0"/>
        </w:rPr>
        <w:t>Dosage may be reduced in the elderly especially where there is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051511">
        <w:rPr>
          <w:b w:val="0"/>
          <w:bCs w:val="0"/>
        </w:rPr>
        <w:t>impairment of renal or hepatic function.</w:t>
      </w:r>
    </w:p>
    <w:p w14:paraId="5B555395" w14:textId="77777777" w:rsidR="002D014C" w:rsidRPr="002D014C" w:rsidRDefault="002D014C" w:rsidP="00051511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31D68B0E" w14:textId="77777777" w:rsidR="00051511" w:rsidRDefault="00051511" w:rsidP="00051511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51511">
        <w:rPr>
          <w:b w:val="0"/>
          <w:bCs w:val="0"/>
        </w:rPr>
        <w:t>Paediatric population</w:t>
      </w:r>
    </w:p>
    <w:p w14:paraId="28126712" w14:textId="77777777" w:rsidR="00051511" w:rsidRDefault="00051511" w:rsidP="00051511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51511">
        <w:rPr>
          <w:b w:val="0"/>
          <w:bCs w:val="0"/>
        </w:rPr>
        <w:t>The safety and efficacy of isosorbide dinitrate has yet to be established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051511">
        <w:rPr>
          <w:b w:val="0"/>
          <w:bCs w:val="0"/>
        </w:rPr>
        <w:t>in children.</w:t>
      </w:r>
    </w:p>
    <w:p w14:paraId="523CD0A2" w14:textId="77777777" w:rsidR="002D014C" w:rsidRPr="002D014C" w:rsidRDefault="002D014C" w:rsidP="00051511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794ECA6F" w14:textId="77777777" w:rsidR="00051511" w:rsidRPr="00051511" w:rsidRDefault="00051511" w:rsidP="00051511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51511">
        <w:rPr>
          <w:b w:val="0"/>
          <w:bCs w:val="0"/>
          <w:u w:val="single"/>
        </w:rPr>
        <w:t>Method of Administration</w:t>
      </w:r>
    </w:p>
    <w:p w14:paraId="32E085AC" w14:textId="79547335" w:rsidR="00051511" w:rsidRPr="00051511" w:rsidRDefault="00051511" w:rsidP="00051511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51511">
        <w:rPr>
          <w:b w:val="0"/>
          <w:bCs w:val="0"/>
        </w:rPr>
        <w:t>For oral administration</w:t>
      </w:r>
    </w:p>
    <w:p w14:paraId="5FD059BC" w14:textId="77777777" w:rsidR="00051511" w:rsidRDefault="00051511" w:rsidP="00051511">
      <w:pPr>
        <w:pStyle w:val="SubHeafingSMPC"/>
        <w:ind w:left="57"/>
      </w:pPr>
      <w:r w:rsidRPr="008F5678">
        <w:t>Contraindications</w:t>
      </w:r>
    </w:p>
    <w:p w14:paraId="06C083F8" w14:textId="77777777" w:rsidR="00051511" w:rsidRDefault="00051511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051511">
        <w:rPr>
          <w:b w:val="0"/>
          <w:bCs w:val="0"/>
          <w:lang w:eastAsia="zh-CN"/>
        </w:rPr>
        <w:t>Hypersensitivity to the active substance, other nitrates or to any of the</w:t>
      </w:r>
      <w:r>
        <w:rPr>
          <w:b w:val="0"/>
          <w:bCs w:val="0"/>
          <w:lang w:eastAsia="zh-CN"/>
        </w:rPr>
        <w:t xml:space="preserve"> </w:t>
      </w:r>
      <w:r>
        <w:rPr>
          <w:b w:val="0"/>
          <w:bCs w:val="0"/>
          <w:lang w:eastAsia="zh-CN"/>
        </w:rPr>
        <w:tab/>
      </w:r>
      <w:r w:rsidRPr="00051511">
        <w:rPr>
          <w:b w:val="0"/>
          <w:bCs w:val="0"/>
          <w:lang w:eastAsia="zh-CN"/>
        </w:rPr>
        <w:t>excipients listed in section 6.1.</w:t>
      </w:r>
    </w:p>
    <w:p w14:paraId="24202C0A" w14:textId="77777777" w:rsidR="002D014C" w:rsidRPr="002D014C" w:rsidRDefault="002D014C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  <w:lang w:eastAsia="zh-CN"/>
        </w:rPr>
      </w:pPr>
    </w:p>
    <w:p w14:paraId="5903EB4A" w14:textId="77777777" w:rsidR="00051511" w:rsidRDefault="00051511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051511">
        <w:rPr>
          <w:b w:val="0"/>
          <w:bCs w:val="0"/>
          <w:lang w:eastAsia="zh-CN"/>
        </w:rPr>
        <w:t>This product should not be given to patients with a known sensitivity to</w:t>
      </w:r>
      <w:r>
        <w:rPr>
          <w:b w:val="0"/>
          <w:bCs w:val="0"/>
          <w:lang w:eastAsia="zh-CN"/>
        </w:rPr>
        <w:t xml:space="preserve"> </w:t>
      </w:r>
      <w:r>
        <w:rPr>
          <w:b w:val="0"/>
          <w:bCs w:val="0"/>
          <w:lang w:eastAsia="zh-CN"/>
        </w:rPr>
        <w:tab/>
      </w:r>
      <w:r w:rsidRPr="00051511">
        <w:rPr>
          <w:b w:val="0"/>
          <w:bCs w:val="0"/>
          <w:lang w:eastAsia="zh-CN"/>
        </w:rPr>
        <w:t>nitrates, very low blood pressure, acute myocardial infarction with low</w:t>
      </w:r>
      <w:r>
        <w:rPr>
          <w:b w:val="0"/>
          <w:bCs w:val="0"/>
          <w:lang w:eastAsia="zh-CN"/>
        </w:rPr>
        <w:t xml:space="preserve"> </w:t>
      </w:r>
      <w:r>
        <w:rPr>
          <w:b w:val="0"/>
          <w:bCs w:val="0"/>
          <w:lang w:eastAsia="zh-CN"/>
        </w:rPr>
        <w:tab/>
      </w:r>
      <w:r w:rsidRPr="00051511">
        <w:rPr>
          <w:b w:val="0"/>
          <w:bCs w:val="0"/>
          <w:lang w:eastAsia="zh-CN"/>
        </w:rPr>
        <w:t>filling pressure, marked anaemia, head trauma, cerebral haemorrhage,</w:t>
      </w:r>
      <w:r>
        <w:rPr>
          <w:b w:val="0"/>
          <w:bCs w:val="0"/>
          <w:lang w:eastAsia="zh-CN"/>
        </w:rPr>
        <w:t xml:space="preserve"> </w:t>
      </w:r>
      <w:r>
        <w:rPr>
          <w:b w:val="0"/>
          <w:bCs w:val="0"/>
          <w:lang w:eastAsia="zh-CN"/>
        </w:rPr>
        <w:tab/>
      </w:r>
      <w:r w:rsidRPr="00051511">
        <w:rPr>
          <w:b w:val="0"/>
          <w:bCs w:val="0"/>
          <w:lang w:eastAsia="zh-CN"/>
        </w:rPr>
        <w:t>acute circulatory failure, severe hypotension or hypovolaemia.</w:t>
      </w:r>
    </w:p>
    <w:p w14:paraId="010DB9DD" w14:textId="77777777" w:rsidR="002D014C" w:rsidRPr="002D014C" w:rsidRDefault="002D014C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  <w:lang w:eastAsia="zh-CN"/>
        </w:rPr>
      </w:pPr>
    </w:p>
    <w:p w14:paraId="61CEBD80" w14:textId="77777777" w:rsidR="00051511" w:rsidRDefault="00051511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051511">
        <w:rPr>
          <w:b w:val="0"/>
          <w:bCs w:val="0"/>
          <w:lang w:eastAsia="zh-CN"/>
        </w:rPr>
        <w:t>Phosphodiesterase inhibitors (e.g. sildenafil) have been shown to</w:t>
      </w:r>
      <w:r>
        <w:rPr>
          <w:b w:val="0"/>
          <w:bCs w:val="0"/>
          <w:lang w:eastAsia="zh-CN"/>
        </w:rPr>
        <w:t xml:space="preserve"> </w:t>
      </w:r>
      <w:r>
        <w:rPr>
          <w:b w:val="0"/>
          <w:bCs w:val="0"/>
          <w:lang w:eastAsia="zh-CN"/>
        </w:rPr>
        <w:tab/>
      </w:r>
      <w:r w:rsidRPr="00051511">
        <w:rPr>
          <w:b w:val="0"/>
          <w:bCs w:val="0"/>
          <w:lang w:eastAsia="zh-CN"/>
        </w:rPr>
        <w:t>potentiate the hypotensive effects of nitrates, and their co-administration</w:t>
      </w:r>
      <w:r>
        <w:rPr>
          <w:b w:val="0"/>
          <w:bCs w:val="0"/>
          <w:lang w:eastAsia="zh-CN"/>
        </w:rPr>
        <w:t xml:space="preserve"> </w:t>
      </w:r>
      <w:r>
        <w:rPr>
          <w:b w:val="0"/>
          <w:bCs w:val="0"/>
          <w:lang w:eastAsia="zh-CN"/>
        </w:rPr>
        <w:tab/>
      </w:r>
      <w:r w:rsidRPr="00051511">
        <w:rPr>
          <w:b w:val="0"/>
          <w:bCs w:val="0"/>
          <w:lang w:eastAsia="zh-CN"/>
        </w:rPr>
        <w:t>with nitrates or nitric oxide donors is therefore contraindicated.</w:t>
      </w:r>
    </w:p>
    <w:p w14:paraId="41B50098" w14:textId="77777777" w:rsidR="002D014C" w:rsidRPr="002D014C" w:rsidRDefault="002D014C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  <w:lang w:eastAsia="zh-CN"/>
        </w:rPr>
      </w:pPr>
    </w:p>
    <w:p w14:paraId="07021308" w14:textId="21E9286F" w:rsidR="00051511" w:rsidRPr="004E6B0A" w:rsidRDefault="00051511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051511">
        <w:rPr>
          <w:b w:val="0"/>
          <w:bCs w:val="0"/>
          <w:lang w:eastAsia="zh-CN"/>
        </w:rPr>
        <w:t>During nitrate therapy, the soluble guanylate cyclase stimulator riociguat</w:t>
      </w:r>
      <w:r>
        <w:rPr>
          <w:b w:val="0"/>
          <w:bCs w:val="0"/>
          <w:lang w:eastAsia="zh-CN"/>
        </w:rPr>
        <w:t xml:space="preserve"> </w:t>
      </w:r>
      <w:r>
        <w:rPr>
          <w:b w:val="0"/>
          <w:bCs w:val="0"/>
          <w:lang w:eastAsia="zh-CN"/>
        </w:rPr>
        <w:tab/>
      </w:r>
      <w:r w:rsidRPr="00051511">
        <w:rPr>
          <w:b w:val="0"/>
          <w:bCs w:val="0"/>
          <w:lang w:eastAsia="zh-CN"/>
        </w:rPr>
        <w:t>must not be used (see section 4.5)</w:t>
      </w:r>
      <w:r w:rsidRPr="004E6B0A">
        <w:rPr>
          <w:b w:val="0"/>
          <w:bCs w:val="0"/>
          <w:lang w:eastAsia="zh-CN"/>
        </w:rPr>
        <w:t>.</w:t>
      </w:r>
    </w:p>
    <w:p w14:paraId="75A0D2D9" w14:textId="77777777" w:rsidR="00051511" w:rsidRDefault="00051511" w:rsidP="00051511">
      <w:pPr>
        <w:pStyle w:val="SubHeafingSMPC"/>
        <w:ind w:left="57"/>
      </w:pPr>
      <w:r w:rsidRPr="008F5678">
        <w:lastRenderedPageBreak/>
        <w:t>Special warnings and precautions for use</w:t>
      </w:r>
    </w:p>
    <w:p w14:paraId="49FD5DF1" w14:textId="77777777" w:rsidR="00051511" w:rsidRDefault="00051511" w:rsidP="0005151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51511">
        <w:rPr>
          <w:rFonts w:cstheme="minorBidi"/>
          <w:b w:val="0"/>
          <w:bCs w:val="0"/>
        </w:rPr>
        <w:t>Use with caution in patients with closed-angle glaucoma (increased intra</w:t>
      </w:r>
      <w:r>
        <w:rPr>
          <w:rFonts w:cstheme="minorBidi"/>
          <w:b w:val="0"/>
          <w:bCs w:val="0"/>
        </w:rPr>
        <w:t>-</w:t>
      </w:r>
      <w:r>
        <w:rPr>
          <w:rFonts w:cstheme="minorBidi"/>
          <w:b w:val="0"/>
          <w:bCs w:val="0"/>
        </w:rPr>
        <w:tab/>
      </w:r>
      <w:r w:rsidRPr="00051511">
        <w:rPr>
          <w:rFonts w:cstheme="minorBidi"/>
          <w:b w:val="0"/>
          <w:bCs w:val="0"/>
        </w:rPr>
        <w:t>ocular pressure).</w:t>
      </w:r>
    </w:p>
    <w:p w14:paraId="7633DA7D" w14:textId="77777777" w:rsidR="002D014C" w:rsidRPr="002D014C" w:rsidRDefault="002D014C" w:rsidP="0005151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0BBA998" w14:textId="77777777" w:rsidR="00051511" w:rsidRDefault="00051511" w:rsidP="0005151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51511">
        <w:rPr>
          <w:rFonts w:cstheme="minorBidi"/>
          <w:b w:val="0"/>
          <w:bCs w:val="0"/>
        </w:rPr>
        <w:t xml:space="preserve">These tablets should be used with caution in patients who are suffering </w:t>
      </w:r>
      <w:r>
        <w:rPr>
          <w:rFonts w:cstheme="minorBidi"/>
          <w:b w:val="0"/>
          <w:bCs w:val="0"/>
        </w:rPr>
        <w:tab/>
      </w:r>
      <w:r w:rsidRPr="00051511">
        <w:rPr>
          <w:rFonts w:cstheme="minorBidi"/>
          <w:b w:val="0"/>
          <w:bCs w:val="0"/>
        </w:rPr>
        <w:t xml:space="preserve">from hypothyroidism, hypothermia, malnutrition, severe liver disease or </w:t>
      </w:r>
      <w:r>
        <w:rPr>
          <w:rFonts w:cstheme="minorBidi"/>
          <w:b w:val="0"/>
          <w:bCs w:val="0"/>
        </w:rPr>
        <w:tab/>
      </w:r>
      <w:r w:rsidRPr="00051511">
        <w:rPr>
          <w:rFonts w:cstheme="minorBidi"/>
          <w:b w:val="0"/>
          <w:bCs w:val="0"/>
        </w:rPr>
        <w:t>renal disease.</w:t>
      </w:r>
    </w:p>
    <w:p w14:paraId="67495AE3" w14:textId="77777777" w:rsidR="002D014C" w:rsidRPr="002D014C" w:rsidRDefault="002D014C" w:rsidP="0005151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74461D9" w14:textId="77777777" w:rsidR="00051511" w:rsidRDefault="00051511" w:rsidP="0005151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51511">
        <w:rPr>
          <w:rFonts w:cstheme="minorBidi"/>
          <w:b w:val="0"/>
          <w:bCs w:val="0"/>
        </w:rPr>
        <w:t xml:space="preserve">Symptoms of circulatory collapse may arise after the first dose, </w:t>
      </w:r>
      <w:r>
        <w:rPr>
          <w:rFonts w:cstheme="minorBidi"/>
          <w:b w:val="0"/>
          <w:bCs w:val="0"/>
        </w:rPr>
        <w:tab/>
      </w:r>
      <w:r w:rsidRPr="00051511">
        <w:rPr>
          <w:rFonts w:cstheme="minorBidi"/>
          <w:b w:val="0"/>
          <w:bCs w:val="0"/>
        </w:rPr>
        <w:t>particularly in patients with labile circulation</w:t>
      </w:r>
      <w:r w:rsidRPr="00091200">
        <w:rPr>
          <w:rFonts w:cstheme="minorBidi"/>
          <w:b w:val="0"/>
          <w:bCs w:val="0"/>
        </w:rPr>
        <w:t>.</w:t>
      </w:r>
    </w:p>
    <w:p w14:paraId="59A64945" w14:textId="77777777" w:rsidR="002D014C" w:rsidRPr="002D014C" w:rsidRDefault="002D014C" w:rsidP="0005151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27E45E93" w14:textId="77777777" w:rsidR="00051511" w:rsidRDefault="00051511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51511">
        <w:rPr>
          <w:b w:val="0"/>
          <w:bCs w:val="0"/>
        </w:rPr>
        <w:t xml:space="preserve">This product may give rise to symptoms of postural hypotension and </w:t>
      </w:r>
      <w:r>
        <w:rPr>
          <w:b w:val="0"/>
          <w:bCs w:val="0"/>
        </w:rPr>
        <w:tab/>
      </w:r>
      <w:r w:rsidRPr="00051511">
        <w:rPr>
          <w:b w:val="0"/>
          <w:bCs w:val="0"/>
        </w:rPr>
        <w:t>syncope in some patients.</w:t>
      </w:r>
    </w:p>
    <w:p w14:paraId="030DAD00" w14:textId="77777777" w:rsidR="002D014C" w:rsidRPr="002D014C" w:rsidRDefault="002D014C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AE67777" w14:textId="77777777" w:rsidR="00051511" w:rsidRDefault="00051511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51511">
        <w:rPr>
          <w:b w:val="0"/>
          <w:bCs w:val="0"/>
        </w:rPr>
        <w:t xml:space="preserve">These tablets should be used with particular caution and under medical </w:t>
      </w:r>
      <w:r>
        <w:rPr>
          <w:b w:val="0"/>
          <w:bCs w:val="0"/>
        </w:rPr>
        <w:tab/>
      </w:r>
      <w:r w:rsidRPr="00051511">
        <w:rPr>
          <w:b w:val="0"/>
          <w:bCs w:val="0"/>
        </w:rPr>
        <w:t>supervision in the following:</w:t>
      </w:r>
    </w:p>
    <w:p w14:paraId="4DC4048C" w14:textId="77777777" w:rsidR="002D014C" w:rsidRDefault="00051511" w:rsidP="002D014C">
      <w:pPr>
        <w:pStyle w:val="SubHeafingSMPC"/>
        <w:numPr>
          <w:ilvl w:val="0"/>
          <w:numId w:val="12"/>
        </w:numPr>
        <w:jc w:val="thaiDistribute"/>
        <w:rPr>
          <w:b w:val="0"/>
          <w:bCs w:val="0"/>
        </w:rPr>
      </w:pPr>
      <w:r w:rsidRPr="00051511">
        <w:rPr>
          <w:b w:val="0"/>
          <w:bCs w:val="0"/>
        </w:rPr>
        <w:t>Low filling pressures e.g. in acute myocardial infarction, impaired left ventricular function (left ventricular failure).</w:t>
      </w:r>
    </w:p>
    <w:p w14:paraId="698258D0" w14:textId="73EF5C54" w:rsidR="00051511" w:rsidRPr="002D014C" w:rsidRDefault="00051511" w:rsidP="002D014C">
      <w:pPr>
        <w:pStyle w:val="SubHeafingSMPC"/>
        <w:numPr>
          <w:ilvl w:val="0"/>
          <w:numId w:val="12"/>
        </w:numPr>
        <w:jc w:val="thaiDistribute"/>
        <w:rPr>
          <w:b w:val="0"/>
          <w:bCs w:val="0"/>
        </w:rPr>
      </w:pPr>
      <w:r w:rsidRPr="002D014C">
        <w:rPr>
          <w:b w:val="0"/>
          <w:bCs w:val="0"/>
        </w:rPr>
        <w:t>Reducing systolic blood-pressure below 90 mmHg must be avoided patients with aortic/mitral valve stenosis.</w:t>
      </w:r>
    </w:p>
    <w:p w14:paraId="0D6B1884" w14:textId="77777777" w:rsidR="002D014C" w:rsidRPr="002D014C" w:rsidRDefault="00051511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  <w:r>
        <w:rPr>
          <w:b w:val="0"/>
          <w:bCs w:val="0"/>
        </w:rPr>
        <w:tab/>
      </w:r>
    </w:p>
    <w:p w14:paraId="0D7DF802" w14:textId="78232758" w:rsidR="00051511" w:rsidRDefault="002D014C" w:rsidP="002D014C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051511" w:rsidRPr="00051511">
        <w:rPr>
          <w:b w:val="0"/>
          <w:bCs w:val="0"/>
        </w:rPr>
        <w:t>Hypertrophic</w:t>
      </w:r>
      <w:r>
        <w:rPr>
          <w:b w:val="0"/>
          <w:bCs w:val="0"/>
        </w:rPr>
        <w:t xml:space="preserve"> </w:t>
      </w:r>
      <w:r w:rsidR="00051511" w:rsidRPr="00051511">
        <w:rPr>
          <w:b w:val="0"/>
          <w:bCs w:val="0"/>
        </w:rPr>
        <w:t>obstructive cardiomyopathy (HOCM), constrictive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="00051511" w:rsidRPr="00051511">
        <w:rPr>
          <w:b w:val="0"/>
          <w:bCs w:val="0"/>
        </w:rPr>
        <w:t xml:space="preserve">pericarditis, cardiac tamponade, low cardiac filling pressures, </w:t>
      </w:r>
      <w:r w:rsidR="00051511">
        <w:rPr>
          <w:b w:val="0"/>
          <w:bCs w:val="0"/>
        </w:rPr>
        <w:tab/>
      </w:r>
      <w:r w:rsidR="00051511" w:rsidRPr="00051511">
        <w:rPr>
          <w:b w:val="0"/>
          <w:bCs w:val="0"/>
        </w:rPr>
        <w:t xml:space="preserve">aortic/mitral valve stenosis, and diseases associated with raised </w:t>
      </w:r>
      <w:r w:rsidR="00051511">
        <w:rPr>
          <w:b w:val="0"/>
          <w:bCs w:val="0"/>
        </w:rPr>
        <w:tab/>
      </w:r>
      <w:r w:rsidR="00051511" w:rsidRPr="00051511">
        <w:rPr>
          <w:b w:val="0"/>
          <w:bCs w:val="0"/>
        </w:rPr>
        <w:t>intracranial pressure.</w:t>
      </w:r>
    </w:p>
    <w:p w14:paraId="0A8B5AF2" w14:textId="77777777" w:rsidR="002D014C" w:rsidRPr="002D014C" w:rsidRDefault="002D014C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68D3CCB" w14:textId="77777777" w:rsidR="00051511" w:rsidRDefault="00051511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51511">
        <w:rPr>
          <w:b w:val="0"/>
          <w:bCs w:val="0"/>
        </w:rPr>
        <w:t xml:space="preserve">Treatment with these tablets must not be interrupted or stopped to take </w:t>
      </w:r>
      <w:r>
        <w:rPr>
          <w:b w:val="0"/>
          <w:bCs w:val="0"/>
        </w:rPr>
        <w:tab/>
      </w:r>
      <w:r w:rsidRPr="00051511">
        <w:rPr>
          <w:b w:val="0"/>
          <w:bCs w:val="0"/>
        </w:rPr>
        <w:t xml:space="preserve">phosphodiestearase inhibitor products due to the increased risk of </w:t>
      </w:r>
      <w:r>
        <w:rPr>
          <w:b w:val="0"/>
          <w:bCs w:val="0"/>
        </w:rPr>
        <w:tab/>
      </w:r>
      <w:r w:rsidRPr="00051511">
        <w:rPr>
          <w:b w:val="0"/>
          <w:bCs w:val="0"/>
        </w:rPr>
        <w:t>inducing an attack of angina pectoris.</w:t>
      </w:r>
    </w:p>
    <w:p w14:paraId="34CB5360" w14:textId="77777777" w:rsidR="002D014C" w:rsidRPr="002D014C" w:rsidRDefault="002D014C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4BDCFD1" w14:textId="77777777" w:rsidR="00051511" w:rsidRDefault="00051511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51511">
        <w:rPr>
          <w:b w:val="0"/>
          <w:bCs w:val="0"/>
        </w:rPr>
        <w:t xml:space="preserve">If these tablets are not taken as indicated, tolerance to the medication </w:t>
      </w:r>
      <w:r>
        <w:rPr>
          <w:b w:val="0"/>
          <w:bCs w:val="0"/>
        </w:rPr>
        <w:tab/>
      </w:r>
      <w:r w:rsidRPr="00051511">
        <w:rPr>
          <w:b w:val="0"/>
          <w:bCs w:val="0"/>
        </w:rPr>
        <w:t>could develop.</w:t>
      </w:r>
    </w:p>
    <w:p w14:paraId="65810CE9" w14:textId="77777777" w:rsidR="00051511" w:rsidRPr="002D014C" w:rsidRDefault="00051511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lastRenderedPageBreak/>
        <w:tab/>
      </w:r>
      <w:r w:rsidRPr="002D014C">
        <w:rPr>
          <w:b w:val="0"/>
          <w:bCs w:val="0"/>
          <w:u w:val="single"/>
        </w:rPr>
        <w:t>Hypoxaemia</w:t>
      </w:r>
    </w:p>
    <w:p w14:paraId="121B093E" w14:textId="77777777" w:rsidR="00051511" w:rsidRDefault="00051511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51511">
        <w:rPr>
          <w:b w:val="0"/>
          <w:bCs w:val="0"/>
        </w:rPr>
        <w:t>Caution should be exercised in patients with hypoxaemia and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051511">
        <w:rPr>
          <w:b w:val="0"/>
          <w:bCs w:val="0"/>
        </w:rPr>
        <w:t xml:space="preserve">ventilation/perfusion imbalance due to lung disease or ischaemic heart </w:t>
      </w:r>
      <w:r>
        <w:rPr>
          <w:b w:val="0"/>
          <w:bCs w:val="0"/>
        </w:rPr>
        <w:tab/>
      </w:r>
      <w:r w:rsidRPr="00051511">
        <w:rPr>
          <w:b w:val="0"/>
          <w:bCs w:val="0"/>
        </w:rPr>
        <w:t>failure. As a potent vasodilator, ISDN could result in increased perfusion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051511">
        <w:rPr>
          <w:b w:val="0"/>
          <w:bCs w:val="0"/>
        </w:rPr>
        <w:t>of poorly ventilated areas, worsening of the ventilation/perfusion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051511">
        <w:rPr>
          <w:b w:val="0"/>
          <w:bCs w:val="0"/>
        </w:rPr>
        <w:t xml:space="preserve">imbalance, and a further decrease in the arterial partial pressure of </w:t>
      </w:r>
      <w:r>
        <w:rPr>
          <w:b w:val="0"/>
          <w:bCs w:val="0"/>
        </w:rPr>
        <w:tab/>
      </w:r>
      <w:r w:rsidRPr="00051511">
        <w:rPr>
          <w:b w:val="0"/>
          <w:bCs w:val="0"/>
        </w:rPr>
        <w:t>oxygen.</w:t>
      </w:r>
    </w:p>
    <w:p w14:paraId="77DB2373" w14:textId="77777777" w:rsidR="002D014C" w:rsidRPr="002D014C" w:rsidRDefault="002D014C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B24B867" w14:textId="77777777" w:rsidR="00051511" w:rsidRDefault="00051511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51511">
        <w:rPr>
          <w:b w:val="0"/>
          <w:bCs w:val="0"/>
        </w:rPr>
        <w:t>During treatment with ISDN alcohol should be avoided as it may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051511">
        <w:rPr>
          <w:b w:val="0"/>
          <w:bCs w:val="0"/>
        </w:rPr>
        <w:t>potentiate the hypotensive and vasodilating effect of ISDN (see section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051511">
        <w:rPr>
          <w:b w:val="0"/>
          <w:bCs w:val="0"/>
        </w:rPr>
        <w:t>4.5).</w:t>
      </w:r>
    </w:p>
    <w:p w14:paraId="6FA4FDA8" w14:textId="77777777" w:rsidR="002D014C" w:rsidRPr="002D014C" w:rsidRDefault="002D014C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8737921" w14:textId="77777777" w:rsidR="00051511" w:rsidRPr="002D014C" w:rsidRDefault="00051511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2D014C">
        <w:rPr>
          <w:b w:val="0"/>
          <w:bCs w:val="0"/>
          <w:u w:val="single"/>
        </w:rPr>
        <w:t>Excipients</w:t>
      </w:r>
    </w:p>
    <w:p w14:paraId="5AED0EE2" w14:textId="4FEBC863" w:rsidR="00051511" w:rsidRPr="00091200" w:rsidRDefault="00051511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51511">
        <w:rPr>
          <w:b w:val="0"/>
          <w:bCs w:val="0"/>
        </w:rPr>
        <w:t>This medicine contains lactose. Patients with rare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051511">
        <w:rPr>
          <w:b w:val="0"/>
          <w:bCs w:val="0"/>
        </w:rPr>
        <w:t xml:space="preserve">hereditary problems </w:t>
      </w:r>
      <w:r>
        <w:rPr>
          <w:b w:val="0"/>
          <w:bCs w:val="0"/>
        </w:rPr>
        <w:tab/>
      </w:r>
      <w:r w:rsidRPr="00051511">
        <w:rPr>
          <w:b w:val="0"/>
          <w:bCs w:val="0"/>
        </w:rPr>
        <w:t xml:space="preserve">of galactose intolerance, total lactase deficiency or glucose-galactose </w:t>
      </w:r>
      <w:r>
        <w:rPr>
          <w:b w:val="0"/>
          <w:bCs w:val="0"/>
        </w:rPr>
        <w:tab/>
      </w:r>
      <w:r w:rsidRPr="00051511">
        <w:rPr>
          <w:b w:val="0"/>
          <w:bCs w:val="0"/>
        </w:rPr>
        <w:t>malabsorption should not take this medicine.</w:t>
      </w:r>
    </w:p>
    <w:p w14:paraId="3C959592" w14:textId="77777777" w:rsidR="00051511" w:rsidRPr="002C2ECF" w:rsidRDefault="00051511" w:rsidP="00051511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4C89D270" w14:textId="77777777" w:rsidR="00BE53EC" w:rsidRDefault="00051511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BE53EC" w:rsidRPr="00BE53EC">
        <w:rPr>
          <w:b w:val="0"/>
          <w:bCs w:val="0"/>
        </w:rPr>
        <w:t>Concurrent intake of drugs with blood pressure lowering properties e.g.</w:t>
      </w:r>
      <w:r w:rsidR="00BE53EC">
        <w:rPr>
          <w:b w:val="0"/>
          <w:bCs w:val="0"/>
        </w:rPr>
        <w:t xml:space="preserve"> </w:t>
      </w:r>
      <w:r w:rsidR="00BE53EC">
        <w:rPr>
          <w:b w:val="0"/>
          <w:bCs w:val="0"/>
        </w:rPr>
        <w:tab/>
      </w:r>
      <w:r w:rsidR="00BE53EC" w:rsidRPr="00BE53EC">
        <w:rPr>
          <w:b w:val="0"/>
          <w:bCs w:val="0"/>
        </w:rPr>
        <w:t>beta-blockers, calcium antagonists, vasodilators, ACE-inhibitors,</w:t>
      </w:r>
      <w:r w:rsidR="00BE53EC">
        <w:rPr>
          <w:b w:val="0"/>
          <w:bCs w:val="0"/>
        </w:rPr>
        <w:t xml:space="preserve"> </w:t>
      </w:r>
      <w:r w:rsidR="00BE53EC">
        <w:rPr>
          <w:b w:val="0"/>
          <w:bCs w:val="0"/>
        </w:rPr>
        <w:tab/>
      </w:r>
      <w:r w:rsidR="00BE53EC" w:rsidRPr="00BE53EC">
        <w:rPr>
          <w:b w:val="0"/>
          <w:bCs w:val="0"/>
        </w:rPr>
        <w:t>monoamine oxidase inhibitors etc. and/or alcohol may potentiate the</w:t>
      </w:r>
      <w:r w:rsidR="00BE53EC">
        <w:rPr>
          <w:b w:val="0"/>
          <w:bCs w:val="0"/>
        </w:rPr>
        <w:t xml:space="preserve"> </w:t>
      </w:r>
      <w:r w:rsidR="00BE53EC">
        <w:rPr>
          <w:b w:val="0"/>
          <w:bCs w:val="0"/>
        </w:rPr>
        <w:tab/>
      </w:r>
      <w:r w:rsidR="00BE53EC" w:rsidRPr="00BE53EC">
        <w:rPr>
          <w:b w:val="0"/>
          <w:bCs w:val="0"/>
        </w:rPr>
        <w:t>hypotensive effect of the tablets. Symptoms of circulatory collapse can</w:t>
      </w:r>
      <w:r w:rsidR="00BE53EC">
        <w:rPr>
          <w:b w:val="0"/>
          <w:bCs w:val="0"/>
        </w:rPr>
        <w:t xml:space="preserve"> </w:t>
      </w:r>
      <w:r w:rsidR="00BE53EC">
        <w:rPr>
          <w:b w:val="0"/>
          <w:bCs w:val="0"/>
        </w:rPr>
        <w:tab/>
      </w:r>
      <w:r w:rsidR="00BE53EC" w:rsidRPr="00BE53EC">
        <w:rPr>
          <w:b w:val="0"/>
          <w:bCs w:val="0"/>
        </w:rPr>
        <w:t>arise in patients already taking ACE inhibitors</w:t>
      </w:r>
      <w:r w:rsidRPr="00D31F5A">
        <w:rPr>
          <w:b w:val="0"/>
          <w:bCs w:val="0"/>
        </w:rPr>
        <w:t>.</w:t>
      </w:r>
    </w:p>
    <w:p w14:paraId="5B1B82F5" w14:textId="77777777" w:rsidR="002D014C" w:rsidRPr="002D014C" w:rsidRDefault="002D014C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53C8C69" w14:textId="77777777" w:rsidR="00BE53EC" w:rsidRDefault="00BE53EC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E53EC">
        <w:rPr>
          <w:b w:val="0"/>
          <w:bCs w:val="0"/>
        </w:rPr>
        <w:t>The concurrent intake of ISDN with ACE-inhibitors or arterial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BE53EC">
        <w:rPr>
          <w:b w:val="0"/>
          <w:bCs w:val="0"/>
        </w:rPr>
        <w:t>vasodilators could be a desirable interaction unless the antihypertensive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BE53EC">
        <w:rPr>
          <w:b w:val="0"/>
          <w:bCs w:val="0"/>
        </w:rPr>
        <w:t>effects are excessive in which case consider reducing the dose of one or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BE53EC">
        <w:rPr>
          <w:b w:val="0"/>
          <w:bCs w:val="0"/>
        </w:rPr>
        <w:t>both drugs.</w:t>
      </w:r>
    </w:p>
    <w:p w14:paraId="41DB1725" w14:textId="4CB929BA" w:rsidR="00BE53EC" w:rsidRDefault="00BE53EC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BE53EC">
        <w:rPr>
          <w:b w:val="0"/>
          <w:bCs w:val="0"/>
        </w:rPr>
        <w:t>The hypotensive effect of nitrates is potentiated by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BE53EC">
        <w:rPr>
          <w:b w:val="0"/>
          <w:bCs w:val="0"/>
        </w:rPr>
        <w:t>concurrent</w:t>
      </w:r>
      <w:r w:rsidR="002D014C">
        <w:rPr>
          <w:b w:val="0"/>
          <w:bCs w:val="0"/>
        </w:rPr>
        <w:t xml:space="preserve"> </w:t>
      </w:r>
      <w:r w:rsidR="002D014C">
        <w:rPr>
          <w:b w:val="0"/>
          <w:bCs w:val="0"/>
        </w:rPr>
        <w:tab/>
      </w:r>
      <w:r w:rsidRPr="00BE53EC">
        <w:rPr>
          <w:b w:val="0"/>
          <w:bCs w:val="0"/>
        </w:rPr>
        <w:t>administration of phosphodiesterase inhibitors (e.g.</w:t>
      </w:r>
      <w:r>
        <w:rPr>
          <w:b w:val="0"/>
          <w:bCs w:val="0"/>
        </w:rPr>
        <w:t xml:space="preserve"> </w:t>
      </w:r>
      <w:r w:rsidRPr="00BE53EC">
        <w:rPr>
          <w:b w:val="0"/>
          <w:bCs w:val="0"/>
        </w:rPr>
        <w:t>sildenafil). This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BE53EC">
        <w:rPr>
          <w:b w:val="0"/>
          <w:bCs w:val="0"/>
        </w:rPr>
        <w:t>might also occur with neuroleptics and tricyclic antidepressants.</w:t>
      </w:r>
    </w:p>
    <w:p w14:paraId="0C519054" w14:textId="77777777" w:rsidR="002D014C" w:rsidRPr="002D014C" w:rsidRDefault="002D014C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0C52AAD" w14:textId="77777777" w:rsidR="00BE53EC" w:rsidRDefault="00BE53EC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E53EC">
        <w:rPr>
          <w:b w:val="0"/>
          <w:bCs w:val="0"/>
        </w:rPr>
        <w:t>Reports suggest that when administered concomitantly, nitrates may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BE53EC">
        <w:rPr>
          <w:b w:val="0"/>
          <w:bCs w:val="0"/>
        </w:rPr>
        <w:t>increase the blood level of dihydroergotamine and its hypertensive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BE53EC">
        <w:rPr>
          <w:b w:val="0"/>
          <w:bCs w:val="0"/>
        </w:rPr>
        <w:t>effect.</w:t>
      </w:r>
    </w:p>
    <w:p w14:paraId="0816B100" w14:textId="77777777" w:rsidR="002D014C" w:rsidRPr="002D014C" w:rsidRDefault="002D014C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BA81A1F" w14:textId="59A7EC0A" w:rsidR="00BE53EC" w:rsidRDefault="00BE53EC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E53EC">
        <w:rPr>
          <w:b w:val="0"/>
          <w:bCs w:val="0"/>
        </w:rPr>
        <w:t>Saproterin (</w:t>
      </w:r>
      <w:r w:rsidR="002D014C">
        <w:rPr>
          <w:b w:val="0"/>
          <w:bCs w:val="0"/>
        </w:rPr>
        <w:t>t</w:t>
      </w:r>
      <w:r w:rsidRPr="00BE53EC">
        <w:rPr>
          <w:b w:val="0"/>
          <w:bCs w:val="0"/>
        </w:rPr>
        <w:t>etrahydrobioterine, BH4) is a cofactor for nitric</w:t>
      </w:r>
      <w:r>
        <w:rPr>
          <w:b w:val="0"/>
          <w:bCs w:val="0"/>
        </w:rPr>
        <w:t xml:space="preserve"> </w:t>
      </w:r>
      <w:r w:rsidRPr="00BE53EC">
        <w:rPr>
          <w:b w:val="0"/>
          <w:bCs w:val="0"/>
        </w:rPr>
        <w:t xml:space="preserve">oxide </w:t>
      </w:r>
      <w:r>
        <w:rPr>
          <w:b w:val="0"/>
          <w:bCs w:val="0"/>
        </w:rPr>
        <w:tab/>
      </w:r>
      <w:r w:rsidRPr="00BE53EC">
        <w:rPr>
          <w:b w:val="0"/>
          <w:bCs w:val="0"/>
        </w:rPr>
        <w:t xml:space="preserve">sythetase. Caution is recommended during concomitant use of </w:t>
      </w:r>
      <w:r>
        <w:rPr>
          <w:b w:val="0"/>
          <w:bCs w:val="0"/>
        </w:rPr>
        <w:tab/>
      </w:r>
      <w:r w:rsidRPr="00BE53EC">
        <w:rPr>
          <w:b w:val="0"/>
          <w:bCs w:val="0"/>
        </w:rPr>
        <w:t xml:space="preserve">saproterin-containing medicine with all agents that cause vasodilation by </w:t>
      </w:r>
      <w:r>
        <w:rPr>
          <w:b w:val="0"/>
          <w:bCs w:val="0"/>
        </w:rPr>
        <w:tab/>
      </w:r>
      <w:r w:rsidRPr="00BE53EC">
        <w:rPr>
          <w:b w:val="0"/>
          <w:bCs w:val="0"/>
        </w:rPr>
        <w:t xml:space="preserve">affecting nitric oxide (NO) metabolism or action, including classical NO </w:t>
      </w:r>
      <w:r>
        <w:rPr>
          <w:b w:val="0"/>
          <w:bCs w:val="0"/>
        </w:rPr>
        <w:tab/>
      </w:r>
      <w:r w:rsidRPr="00BE53EC">
        <w:rPr>
          <w:b w:val="0"/>
          <w:bCs w:val="0"/>
        </w:rPr>
        <w:t xml:space="preserve">donors (e.g. glyceryl trinitrate (GTN), isosorbide dinitrate (ISDN), </w:t>
      </w:r>
      <w:r>
        <w:rPr>
          <w:b w:val="0"/>
          <w:bCs w:val="0"/>
        </w:rPr>
        <w:tab/>
      </w:r>
      <w:r w:rsidRPr="00BE53EC">
        <w:rPr>
          <w:b w:val="0"/>
          <w:bCs w:val="0"/>
        </w:rPr>
        <w:t>isosorbide mononitrate (ISMN) and others).</w:t>
      </w:r>
    </w:p>
    <w:p w14:paraId="023DD908" w14:textId="77777777" w:rsidR="002D014C" w:rsidRPr="002D014C" w:rsidRDefault="002D014C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D181E76" w14:textId="5F693542" w:rsidR="00BE53EC" w:rsidRPr="006722FC" w:rsidRDefault="00BE53EC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E53EC">
        <w:rPr>
          <w:b w:val="0"/>
          <w:bCs w:val="0"/>
        </w:rPr>
        <w:t xml:space="preserve">The use of isosorbide dinitrate with riociguat, a soluble guanylate cyclase </w:t>
      </w:r>
      <w:r>
        <w:rPr>
          <w:b w:val="0"/>
          <w:bCs w:val="0"/>
        </w:rPr>
        <w:tab/>
      </w:r>
      <w:r w:rsidRPr="00BE53EC">
        <w:rPr>
          <w:b w:val="0"/>
          <w:bCs w:val="0"/>
        </w:rPr>
        <w:t xml:space="preserve">stimulator, is contraindicated (see section 4.3) since concomitant use can </w:t>
      </w:r>
      <w:r>
        <w:rPr>
          <w:b w:val="0"/>
          <w:bCs w:val="0"/>
        </w:rPr>
        <w:tab/>
      </w:r>
      <w:r w:rsidRPr="00BE53EC">
        <w:rPr>
          <w:b w:val="0"/>
          <w:bCs w:val="0"/>
        </w:rPr>
        <w:t>cause hypotension.</w:t>
      </w:r>
    </w:p>
    <w:p w14:paraId="4B3F8860" w14:textId="77777777" w:rsidR="00051511" w:rsidRDefault="00051511" w:rsidP="00051511">
      <w:pPr>
        <w:pStyle w:val="SubHeafingSMPC"/>
        <w:ind w:left="57"/>
      </w:pPr>
      <w:r w:rsidRPr="008F5678">
        <w:t>Fertility, pregnancy and lactation</w:t>
      </w:r>
    </w:p>
    <w:p w14:paraId="21517FA3" w14:textId="77777777" w:rsidR="00BE53EC" w:rsidRPr="00BE53EC" w:rsidRDefault="00051511" w:rsidP="00BE53EC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="00BE53EC" w:rsidRPr="00BE53EC">
        <w:rPr>
          <w:b w:val="0"/>
          <w:bCs w:val="0"/>
          <w:u w:val="single"/>
        </w:rPr>
        <w:t>Pregnancy and breast-feeding</w:t>
      </w:r>
    </w:p>
    <w:p w14:paraId="4FFF8812" w14:textId="77777777" w:rsidR="002D014C" w:rsidRDefault="00BE53EC" w:rsidP="00BE53EC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r w:rsidRPr="00BE53EC">
        <w:rPr>
          <w:b w:val="0"/>
          <w:bCs w:val="0"/>
        </w:rPr>
        <w:t xml:space="preserve">This product should not be used during pregnancy or lactation unless </w:t>
      </w:r>
      <w:r>
        <w:rPr>
          <w:b w:val="0"/>
          <w:bCs w:val="0"/>
        </w:rPr>
        <w:tab/>
      </w:r>
      <w:r w:rsidRPr="00BE53EC">
        <w:rPr>
          <w:b w:val="0"/>
          <w:bCs w:val="0"/>
        </w:rPr>
        <w:t xml:space="preserve">considered essential by the physician. </w:t>
      </w:r>
    </w:p>
    <w:p w14:paraId="2F9B4781" w14:textId="77777777" w:rsidR="002D014C" w:rsidRPr="002D014C" w:rsidRDefault="002D014C" w:rsidP="00BE53EC">
      <w:pPr>
        <w:pStyle w:val="SubHeafingSMPC"/>
        <w:numPr>
          <w:ilvl w:val="0"/>
          <w:numId w:val="0"/>
        </w:numPr>
        <w:rPr>
          <w:b w:val="0"/>
          <w:bCs w:val="0"/>
          <w:sz w:val="10"/>
          <w:szCs w:val="10"/>
        </w:rPr>
      </w:pPr>
    </w:p>
    <w:p w14:paraId="278A9CBE" w14:textId="77777777" w:rsidR="002D014C" w:rsidRPr="002D014C" w:rsidRDefault="002D014C" w:rsidP="00BE53EC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="00BE53EC" w:rsidRPr="002D014C">
        <w:rPr>
          <w:b w:val="0"/>
          <w:bCs w:val="0"/>
          <w:u w:val="single"/>
        </w:rPr>
        <w:t>Fertility</w:t>
      </w:r>
    </w:p>
    <w:p w14:paraId="23806CCB" w14:textId="5FDEBBA5" w:rsidR="00051511" w:rsidRPr="00BE53EC" w:rsidRDefault="002D014C" w:rsidP="00BE53EC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r w:rsidR="00BE53EC" w:rsidRPr="00BE53EC">
        <w:rPr>
          <w:b w:val="0"/>
          <w:bCs w:val="0"/>
        </w:rPr>
        <w:t>There is no data available on the effect of ISDN on fertility in humans</w:t>
      </w:r>
      <w:r w:rsidR="00051511" w:rsidRPr="00BE53EC">
        <w:rPr>
          <w:b w:val="0"/>
          <w:bCs w:val="0"/>
        </w:rPr>
        <w:t>.</w:t>
      </w:r>
    </w:p>
    <w:p w14:paraId="10DA615F" w14:textId="77777777" w:rsidR="00051511" w:rsidRPr="009126B5" w:rsidRDefault="00051511" w:rsidP="00051511">
      <w:pPr>
        <w:pStyle w:val="SubHeafingSMPC"/>
        <w:ind w:left="57"/>
      </w:pPr>
      <w:r w:rsidRPr="008F5678">
        <w:t>Effects on ability to drive and use machines</w:t>
      </w:r>
    </w:p>
    <w:p w14:paraId="24D620C7" w14:textId="5EBE5F40" w:rsidR="00051511" w:rsidRPr="002D59FE" w:rsidRDefault="00051511" w:rsidP="00051511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BE53EC" w:rsidRPr="00BE53EC">
        <w:rPr>
          <w:b w:val="0"/>
          <w:bCs w:val="0"/>
          <w:lang w:eastAsia="zh-CN"/>
        </w:rPr>
        <w:t>Headaches, tiredness and dizziness may occur. These may affect the</w:t>
      </w:r>
      <w:r w:rsidR="00BE53EC">
        <w:rPr>
          <w:b w:val="0"/>
          <w:bCs w:val="0"/>
          <w:lang w:eastAsia="zh-CN"/>
        </w:rPr>
        <w:t xml:space="preserve"> </w:t>
      </w:r>
      <w:r w:rsidR="00BE53EC">
        <w:rPr>
          <w:b w:val="0"/>
          <w:bCs w:val="0"/>
          <w:lang w:eastAsia="zh-CN"/>
        </w:rPr>
        <w:tab/>
      </w:r>
      <w:r w:rsidR="00BE53EC" w:rsidRPr="00BE53EC">
        <w:rPr>
          <w:b w:val="0"/>
          <w:bCs w:val="0"/>
          <w:lang w:eastAsia="zh-CN"/>
        </w:rPr>
        <w:t xml:space="preserve">ability to drive and operate machinery. Patients should not drive or </w:t>
      </w:r>
      <w:r w:rsidR="00BE53EC">
        <w:rPr>
          <w:b w:val="0"/>
          <w:bCs w:val="0"/>
          <w:lang w:eastAsia="zh-CN"/>
        </w:rPr>
        <w:tab/>
      </w:r>
      <w:r w:rsidR="00BE53EC" w:rsidRPr="00BE53EC">
        <w:rPr>
          <w:b w:val="0"/>
          <w:bCs w:val="0"/>
          <w:lang w:eastAsia="zh-CN"/>
        </w:rPr>
        <w:t>operate machinery if their ability is impaired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45B42CA9" w14:textId="77777777" w:rsidR="00051511" w:rsidRDefault="00051511" w:rsidP="00051511">
      <w:pPr>
        <w:pStyle w:val="SubHeafingSMPC"/>
        <w:ind w:left="57"/>
      </w:pPr>
      <w:r w:rsidRPr="008F5678">
        <w:t>Undesirable effects</w:t>
      </w:r>
    </w:p>
    <w:p w14:paraId="7886CD79" w14:textId="71D20E41" w:rsidR="00051511" w:rsidRDefault="00051511" w:rsidP="00BE53EC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lastRenderedPageBreak/>
        <w:tab/>
      </w:r>
      <w:r w:rsidR="00BE53EC" w:rsidRPr="00BE53EC">
        <w:rPr>
          <w:rFonts w:cstheme="minorBidi"/>
          <w:b w:val="0"/>
          <w:bCs w:val="0"/>
        </w:rPr>
        <w:t>Undesirable effects frequencies are defined as: very common (≥ 1/10),</w:t>
      </w:r>
      <w:r w:rsidR="00BE53EC">
        <w:rPr>
          <w:rFonts w:cstheme="minorBidi"/>
          <w:b w:val="0"/>
          <w:bCs w:val="0"/>
        </w:rPr>
        <w:t xml:space="preserve"> </w:t>
      </w:r>
      <w:r w:rsidR="00BE53EC">
        <w:rPr>
          <w:rFonts w:cstheme="minorBidi"/>
          <w:b w:val="0"/>
          <w:bCs w:val="0"/>
        </w:rPr>
        <w:tab/>
      </w:r>
      <w:r w:rsidR="00BE53EC" w:rsidRPr="00BE53EC">
        <w:rPr>
          <w:rFonts w:cstheme="minorBidi"/>
          <w:b w:val="0"/>
          <w:bCs w:val="0"/>
        </w:rPr>
        <w:t>common (≥ 1/100 to &lt; 1/10), uncommon (≥ 1/1,000 to &lt; 1/100), rare (≥</w:t>
      </w:r>
      <w:r w:rsidR="00BE53EC">
        <w:rPr>
          <w:rFonts w:cstheme="minorBidi"/>
          <w:b w:val="0"/>
          <w:bCs w:val="0"/>
        </w:rPr>
        <w:t xml:space="preserve"> </w:t>
      </w:r>
      <w:r w:rsidR="00BE53EC">
        <w:rPr>
          <w:rFonts w:cstheme="minorBidi"/>
          <w:b w:val="0"/>
          <w:bCs w:val="0"/>
        </w:rPr>
        <w:tab/>
      </w:r>
      <w:r w:rsidR="00BE53EC" w:rsidRPr="00BE53EC">
        <w:rPr>
          <w:rFonts w:cstheme="minorBidi"/>
          <w:b w:val="0"/>
          <w:bCs w:val="0"/>
        </w:rPr>
        <w:t>1/10,000 to &lt; 1/1,000), very rare (&lt; 1/10,000), not known (cannot be</w:t>
      </w:r>
      <w:r w:rsidR="00BE53EC">
        <w:rPr>
          <w:rFonts w:cstheme="minorBidi"/>
          <w:b w:val="0"/>
          <w:bCs w:val="0"/>
        </w:rPr>
        <w:t xml:space="preserve"> </w:t>
      </w:r>
      <w:r w:rsidR="00BE53EC">
        <w:rPr>
          <w:rFonts w:cstheme="minorBidi"/>
          <w:b w:val="0"/>
          <w:bCs w:val="0"/>
        </w:rPr>
        <w:tab/>
      </w:r>
      <w:r w:rsidR="00BE53EC" w:rsidRPr="00BE53EC">
        <w:rPr>
          <w:rFonts w:cstheme="minorBidi"/>
          <w:b w:val="0"/>
          <w:bCs w:val="0"/>
        </w:rPr>
        <w:t>estimated from the available data)</w:t>
      </w:r>
    </w:p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8087"/>
      </w:tblGrid>
      <w:tr w:rsidR="00BE53EC" w14:paraId="3E54612D" w14:textId="77777777" w:rsidTr="002D014C">
        <w:tc>
          <w:tcPr>
            <w:tcW w:w="8087" w:type="dxa"/>
            <w:tcBorders>
              <w:bottom w:val="nil"/>
            </w:tcBorders>
          </w:tcPr>
          <w:p w14:paraId="2449F2E3" w14:textId="77777777" w:rsidR="00BE53EC" w:rsidRPr="002D014C" w:rsidRDefault="00BE53EC" w:rsidP="002D014C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  <w:rPr>
                <w:rFonts w:cstheme="minorBidi"/>
              </w:rPr>
            </w:pPr>
            <w:r w:rsidRPr="002D014C">
              <w:rPr>
                <w:rFonts w:cstheme="minorBidi"/>
              </w:rPr>
              <w:t>Endocrine disorders</w:t>
            </w:r>
          </w:p>
          <w:p w14:paraId="60191C02" w14:textId="71B0886D" w:rsidR="00BE53EC" w:rsidRDefault="00BE53EC" w:rsidP="002D014C">
            <w:pPr>
              <w:pStyle w:val="SubHeafingSMPC"/>
              <w:numPr>
                <w:ilvl w:val="0"/>
                <w:numId w:val="2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 w:rsidRPr="00BE53EC">
              <w:rPr>
                <w:rFonts w:cstheme="minorBidi"/>
                <w:b w:val="0"/>
                <w:bCs w:val="0"/>
              </w:rPr>
              <w:t>Very rare</w:t>
            </w:r>
            <w:r>
              <w:rPr>
                <w:rFonts w:cstheme="minorBidi"/>
                <w:b w:val="0"/>
                <w:bCs w:val="0"/>
              </w:rPr>
              <w:t xml:space="preserve">: </w:t>
            </w:r>
            <w:r w:rsidRPr="00BE53EC">
              <w:rPr>
                <w:rFonts w:cstheme="minorBidi"/>
                <w:b w:val="0"/>
                <w:bCs w:val="0"/>
              </w:rPr>
              <w:t>pituitary apoplexy in patients with undiagnosed pituitary tumours</w:t>
            </w:r>
          </w:p>
        </w:tc>
      </w:tr>
      <w:tr w:rsidR="00BE53EC" w14:paraId="477FBAEF" w14:textId="77777777" w:rsidTr="002D014C">
        <w:tc>
          <w:tcPr>
            <w:tcW w:w="8087" w:type="dxa"/>
            <w:tcBorders>
              <w:top w:val="nil"/>
              <w:bottom w:val="nil"/>
            </w:tcBorders>
          </w:tcPr>
          <w:p w14:paraId="081B4F06" w14:textId="77777777" w:rsidR="00BE53EC" w:rsidRPr="002D014C" w:rsidRDefault="00BE53EC" w:rsidP="002D014C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  <w:rPr>
                <w:rFonts w:cstheme="minorBidi"/>
              </w:rPr>
            </w:pPr>
            <w:r w:rsidRPr="002D014C">
              <w:rPr>
                <w:rFonts w:cstheme="minorBidi"/>
              </w:rPr>
              <w:t>Nervous system disorders</w:t>
            </w:r>
          </w:p>
          <w:p w14:paraId="527C374D" w14:textId="187987A1" w:rsidR="00BE53EC" w:rsidRDefault="00BE53EC" w:rsidP="002D014C">
            <w:pPr>
              <w:pStyle w:val="SubHeafingSMPC"/>
              <w:numPr>
                <w:ilvl w:val="0"/>
                <w:numId w:val="2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 w:rsidRPr="00BE53EC">
              <w:rPr>
                <w:rFonts w:cstheme="minorBidi"/>
                <w:b w:val="0"/>
                <w:bCs w:val="0"/>
              </w:rPr>
              <w:t>Very common</w:t>
            </w:r>
            <w:r>
              <w:rPr>
                <w:rFonts w:cstheme="minorBidi"/>
                <w:b w:val="0"/>
                <w:bCs w:val="0"/>
              </w:rPr>
              <w:t xml:space="preserve">: </w:t>
            </w:r>
            <w:r w:rsidRPr="00BE53EC">
              <w:rPr>
                <w:rFonts w:cstheme="minorBidi"/>
                <w:b w:val="0"/>
                <w:bCs w:val="0"/>
              </w:rPr>
              <w:t>headache</w:t>
            </w:r>
          </w:p>
          <w:p w14:paraId="573FD949" w14:textId="278682C3" w:rsidR="00BE53EC" w:rsidRPr="00BE53EC" w:rsidRDefault="00BE53EC" w:rsidP="002D014C">
            <w:pPr>
              <w:pStyle w:val="SubHeafingSMPC"/>
              <w:numPr>
                <w:ilvl w:val="0"/>
                <w:numId w:val="2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 w:rsidRPr="00BE53EC">
              <w:rPr>
                <w:rFonts w:cstheme="minorBidi"/>
                <w:b w:val="0"/>
                <w:bCs w:val="0"/>
              </w:rPr>
              <w:t>Common</w:t>
            </w:r>
            <w:r>
              <w:rPr>
                <w:rFonts w:cstheme="minorBidi"/>
                <w:b w:val="0"/>
                <w:bCs w:val="0"/>
              </w:rPr>
              <w:t xml:space="preserve">: </w:t>
            </w:r>
            <w:r w:rsidRPr="00BE53EC">
              <w:rPr>
                <w:rFonts w:cstheme="minorBidi"/>
                <w:b w:val="0"/>
                <w:bCs w:val="0"/>
              </w:rPr>
              <w:t>dizziness, somnolence</w:t>
            </w:r>
          </w:p>
        </w:tc>
      </w:tr>
      <w:tr w:rsidR="00BE53EC" w14:paraId="61649112" w14:textId="77777777" w:rsidTr="002D014C">
        <w:tc>
          <w:tcPr>
            <w:tcW w:w="8087" w:type="dxa"/>
            <w:tcBorders>
              <w:top w:val="nil"/>
              <w:bottom w:val="nil"/>
            </w:tcBorders>
          </w:tcPr>
          <w:p w14:paraId="7FF4068C" w14:textId="77777777" w:rsidR="00BE53EC" w:rsidRPr="002D014C" w:rsidRDefault="00BE53EC" w:rsidP="002D014C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  <w:rPr>
                <w:rFonts w:cstheme="minorBidi"/>
              </w:rPr>
            </w:pPr>
            <w:r w:rsidRPr="002D014C">
              <w:rPr>
                <w:rFonts w:cstheme="minorBidi"/>
              </w:rPr>
              <w:t>Eye disorders</w:t>
            </w:r>
          </w:p>
          <w:p w14:paraId="07123AC0" w14:textId="66F978BA" w:rsidR="00BE53EC" w:rsidRPr="00BE53EC" w:rsidRDefault="00BE53EC" w:rsidP="002D014C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 w:rsidRPr="00BE53EC">
              <w:rPr>
                <w:rFonts w:cstheme="minorBidi"/>
                <w:b w:val="0"/>
                <w:bCs w:val="0"/>
              </w:rPr>
              <w:t>Very rare</w:t>
            </w:r>
            <w:r>
              <w:rPr>
                <w:rFonts w:cstheme="minorBidi"/>
                <w:b w:val="0"/>
                <w:bCs w:val="0"/>
              </w:rPr>
              <w:t xml:space="preserve">: </w:t>
            </w:r>
            <w:r w:rsidRPr="00BE53EC">
              <w:rPr>
                <w:rFonts w:cstheme="minorBidi"/>
                <w:b w:val="0"/>
                <w:bCs w:val="0"/>
              </w:rPr>
              <w:t>angle closure glaucoma</w:t>
            </w:r>
          </w:p>
        </w:tc>
      </w:tr>
      <w:tr w:rsidR="00BE53EC" w14:paraId="56B28304" w14:textId="77777777" w:rsidTr="002D014C">
        <w:tc>
          <w:tcPr>
            <w:tcW w:w="8087" w:type="dxa"/>
            <w:tcBorders>
              <w:top w:val="nil"/>
              <w:bottom w:val="nil"/>
            </w:tcBorders>
          </w:tcPr>
          <w:p w14:paraId="0B89409C" w14:textId="77777777" w:rsidR="00BE53EC" w:rsidRPr="002D014C" w:rsidRDefault="00BE53EC" w:rsidP="002D014C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  <w:rPr>
                <w:rFonts w:cstheme="minorBidi"/>
              </w:rPr>
            </w:pPr>
            <w:r w:rsidRPr="002D014C">
              <w:rPr>
                <w:rFonts w:cstheme="minorBidi"/>
              </w:rPr>
              <w:t>Cardiac disorders</w:t>
            </w:r>
          </w:p>
          <w:p w14:paraId="16CA04BC" w14:textId="250EE4C2" w:rsidR="00BE53EC" w:rsidRDefault="00BE53EC" w:rsidP="002D014C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 w:rsidRPr="00BE53EC">
              <w:rPr>
                <w:rFonts w:cstheme="minorBidi"/>
                <w:b w:val="0"/>
                <w:bCs w:val="0"/>
              </w:rPr>
              <w:t>Common</w:t>
            </w:r>
            <w:r>
              <w:rPr>
                <w:rFonts w:cstheme="minorBidi"/>
                <w:b w:val="0"/>
                <w:bCs w:val="0"/>
              </w:rPr>
              <w:t xml:space="preserve">: </w:t>
            </w:r>
            <w:r w:rsidRPr="00BE53EC">
              <w:rPr>
                <w:rFonts w:cstheme="minorBidi"/>
                <w:b w:val="0"/>
                <w:bCs w:val="0"/>
              </w:rPr>
              <w:t>tachycardia</w:t>
            </w:r>
          </w:p>
          <w:p w14:paraId="688BCFDF" w14:textId="7702A8F6" w:rsidR="00BE53EC" w:rsidRPr="00BE53EC" w:rsidRDefault="00BE53EC" w:rsidP="002D014C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 w:rsidRPr="00BE53EC">
              <w:rPr>
                <w:rFonts w:cstheme="minorBidi"/>
                <w:b w:val="0"/>
                <w:bCs w:val="0"/>
              </w:rPr>
              <w:t>Uncommon</w:t>
            </w:r>
            <w:r>
              <w:rPr>
                <w:rFonts w:cstheme="minorBidi"/>
                <w:b w:val="0"/>
                <w:bCs w:val="0"/>
              </w:rPr>
              <w:t xml:space="preserve">: </w:t>
            </w:r>
            <w:r w:rsidRPr="00BE53EC">
              <w:rPr>
                <w:rFonts w:cstheme="minorBidi"/>
                <w:b w:val="0"/>
                <w:bCs w:val="0"/>
              </w:rPr>
              <w:t>angina pectoris aggravated</w:t>
            </w:r>
          </w:p>
        </w:tc>
      </w:tr>
      <w:tr w:rsidR="00BE53EC" w14:paraId="6C7C7ADA" w14:textId="77777777" w:rsidTr="009642F9">
        <w:tc>
          <w:tcPr>
            <w:tcW w:w="8087" w:type="dxa"/>
            <w:tcBorders>
              <w:top w:val="nil"/>
              <w:bottom w:val="nil"/>
            </w:tcBorders>
          </w:tcPr>
          <w:p w14:paraId="1FD6391D" w14:textId="77777777" w:rsidR="00BE53EC" w:rsidRPr="002D014C" w:rsidRDefault="00BE53EC" w:rsidP="002D014C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  <w:rPr>
                <w:rFonts w:cstheme="minorBidi"/>
              </w:rPr>
            </w:pPr>
            <w:r w:rsidRPr="002D014C">
              <w:rPr>
                <w:rFonts w:cstheme="minorBidi"/>
              </w:rPr>
              <w:t>Vascular disorders</w:t>
            </w:r>
          </w:p>
          <w:p w14:paraId="710E0D56" w14:textId="77777777" w:rsidR="00BE53EC" w:rsidRDefault="00BE53EC" w:rsidP="002D014C">
            <w:pPr>
              <w:pStyle w:val="SubHeafingSMPC"/>
              <w:numPr>
                <w:ilvl w:val="0"/>
                <w:numId w:val="4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 w:rsidRPr="00BE53EC">
              <w:rPr>
                <w:rFonts w:cstheme="minorBidi"/>
                <w:b w:val="0"/>
                <w:bCs w:val="0"/>
              </w:rPr>
              <w:t>Common</w:t>
            </w:r>
            <w:r>
              <w:rPr>
                <w:rFonts w:cstheme="minorBidi"/>
                <w:b w:val="0"/>
                <w:bCs w:val="0"/>
              </w:rPr>
              <w:t xml:space="preserve">: </w:t>
            </w:r>
            <w:r w:rsidRPr="00BE53EC">
              <w:rPr>
                <w:rFonts w:cstheme="minorBidi"/>
                <w:b w:val="0"/>
                <w:bCs w:val="0"/>
              </w:rPr>
              <w:t>orthostatic hypotension, symptoms/signs of cerebral ischaemia, peripheral oedema</w:t>
            </w:r>
          </w:p>
          <w:p w14:paraId="36457543" w14:textId="77777777" w:rsidR="00BE53EC" w:rsidRDefault="00BE53EC" w:rsidP="002D014C">
            <w:pPr>
              <w:pStyle w:val="SubHeafingSMPC"/>
              <w:numPr>
                <w:ilvl w:val="0"/>
                <w:numId w:val="4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 w:rsidRPr="00BE53EC">
              <w:rPr>
                <w:rFonts w:cstheme="minorBidi"/>
                <w:b w:val="0"/>
                <w:bCs w:val="0"/>
              </w:rPr>
              <w:t>Uncommon</w:t>
            </w:r>
            <w:r>
              <w:rPr>
                <w:rFonts w:cstheme="minorBidi"/>
                <w:b w:val="0"/>
                <w:bCs w:val="0"/>
              </w:rPr>
              <w:t xml:space="preserve">: </w:t>
            </w:r>
            <w:r w:rsidRPr="00BE53EC">
              <w:rPr>
                <w:rFonts w:cstheme="minorBidi"/>
                <w:b w:val="0"/>
                <w:bCs w:val="0"/>
              </w:rPr>
              <w:t>circulatory collapse (sometimes accompanied by bradyarrhythmia and syncope)</w:t>
            </w:r>
          </w:p>
          <w:p w14:paraId="5C8B710A" w14:textId="1223536F" w:rsidR="00BE53EC" w:rsidRPr="00BE53EC" w:rsidRDefault="00BE53EC" w:rsidP="002D014C">
            <w:pPr>
              <w:pStyle w:val="SubHeafingSMPC"/>
              <w:numPr>
                <w:ilvl w:val="0"/>
                <w:numId w:val="4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 w:rsidRPr="00BE53EC">
              <w:rPr>
                <w:rFonts w:cstheme="minorBidi"/>
                <w:b w:val="0"/>
                <w:bCs w:val="0"/>
              </w:rPr>
              <w:t>Not known</w:t>
            </w:r>
            <w:r>
              <w:rPr>
                <w:rFonts w:cstheme="minorBidi"/>
                <w:b w:val="0"/>
                <w:bCs w:val="0"/>
              </w:rPr>
              <w:t xml:space="preserve">: </w:t>
            </w:r>
            <w:r w:rsidRPr="00BE53EC">
              <w:rPr>
                <w:rFonts w:cstheme="minorBidi"/>
                <w:b w:val="0"/>
                <w:bCs w:val="0"/>
              </w:rPr>
              <w:t>hypotension</w:t>
            </w:r>
          </w:p>
        </w:tc>
      </w:tr>
      <w:tr w:rsidR="00BE53EC" w14:paraId="6579E86A" w14:textId="77777777" w:rsidTr="009642F9">
        <w:tc>
          <w:tcPr>
            <w:tcW w:w="8087" w:type="dxa"/>
            <w:tcBorders>
              <w:top w:val="nil"/>
              <w:bottom w:val="nil"/>
            </w:tcBorders>
          </w:tcPr>
          <w:p w14:paraId="45837439" w14:textId="77777777" w:rsidR="00BE53EC" w:rsidRPr="002D014C" w:rsidRDefault="00BE53EC" w:rsidP="002D014C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  <w:rPr>
                <w:rFonts w:cstheme="minorBidi"/>
              </w:rPr>
            </w:pPr>
            <w:r w:rsidRPr="002D014C">
              <w:rPr>
                <w:rFonts w:cstheme="minorBidi"/>
              </w:rPr>
              <w:t>Gastrointestinal disorders</w:t>
            </w:r>
          </w:p>
          <w:p w14:paraId="2E018A75" w14:textId="7DF17833" w:rsidR="00BE53EC" w:rsidRDefault="00BE53EC" w:rsidP="002D014C">
            <w:pPr>
              <w:pStyle w:val="SubHeafingSMPC"/>
              <w:numPr>
                <w:ilvl w:val="0"/>
                <w:numId w:val="5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 w:rsidRPr="00BE53EC">
              <w:rPr>
                <w:rFonts w:cstheme="minorBidi"/>
                <w:b w:val="0"/>
                <w:bCs w:val="0"/>
              </w:rPr>
              <w:t>Uncommon</w:t>
            </w:r>
            <w:r>
              <w:rPr>
                <w:rFonts w:cstheme="minorBidi"/>
                <w:b w:val="0"/>
                <w:bCs w:val="0"/>
              </w:rPr>
              <w:t xml:space="preserve">: </w:t>
            </w:r>
            <w:r w:rsidRPr="00BE53EC">
              <w:rPr>
                <w:rFonts w:cstheme="minorBidi"/>
                <w:b w:val="0"/>
                <w:bCs w:val="0"/>
              </w:rPr>
              <w:t>nausea, vomiting</w:t>
            </w:r>
          </w:p>
          <w:p w14:paraId="5D7B7D11" w14:textId="7D170D2C" w:rsidR="00BE53EC" w:rsidRPr="00BE53EC" w:rsidRDefault="00BE53EC" w:rsidP="002D014C">
            <w:pPr>
              <w:pStyle w:val="SubHeafingSMPC"/>
              <w:numPr>
                <w:ilvl w:val="0"/>
                <w:numId w:val="5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 w:rsidRPr="00BE53EC">
              <w:rPr>
                <w:rFonts w:cstheme="minorBidi"/>
                <w:b w:val="0"/>
                <w:bCs w:val="0"/>
              </w:rPr>
              <w:t>Very rare</w:t>
            </w:r>
            <w:r>
              <w:rPr>
                <w:rFonts w:cstheme="minorBidi"/>
                <w:b w:val="0"/>
                <w:bCs w:val="0"/>
              </w:rPr>
              <w:t xml:space="preserve">: </w:t>
            </w:r>
            <w:r w:rsidRPr="00BE53EC">
              <w:rPr>
                <w:rFonts w:cstheme="minorBidi"/>
                <w:b w:val="0"/>
                <w:bCs w:val="0"/>
              </w:rPr>
              <w:t>heartburn</w:t>
            </w:r>
          </w:p>
        </w:tc>
      </w:tr>
      <w:tr w:rsidR="00BE53EC" w14:paraId="0EFAAA3B" w14:textId="77777777" w:rsidTr="009642F9">
        <w:tc>
          <w:tcPr>
            <w:tcW w:w="8087" w:type="dxa"/>
            <w:tcBorders>
              <w:top w:val="nil"/>
              <w:bottom w:val="single" w:sz="4" w:space="0" w:color="auto"/>
            </w:tcBorders>
          </w:tcPr>
          <w:p w14:paraId="7016EEC1" w14:textId="77777777" w:rsidR="00BE53EC" w:rsidRPr="009642F9" w:rsidRDefault="00BE53EC" w:rsidP="002D014C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  <w:rPr>
                <w:rFonts w:cstheme="minorBidi"/>
              </w:rPr>
            </w:pPr>
            <w:r w:rsidRPr="009642F9">
              <w:rPr>
                <w:rFonts w:cstheme="minorBidi"/>
              </w:rPr>
              <w:t>Skin and subcutaneous tissue disorders</w:t>
            </w:r>
          </w:p>
          <w:p w14:paraId="0B3E81FC" w14:textId="7145B915" w:rsidR="00BE53EC" w:rsidRDefault="00BE53EC" w:rsidP="002D014C">
            <w:pPr>
              <w:pStyle w:val="SubHeafingSMPC"/>
              <w:numPr>
                <w:ilvl w:val="0"/>
                <w:numId w:val="6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 w:rsidRPr="00BE53EC">
              <w:rPr>
                <w:rFonts w:cstheme="minorBidi"/>
                <w:b w:val="0"/>
                <w:bCs w:val="0"/>
              </w:rPr>
              <w:t>Uncommon</w:t>
            </w:r>
            <w:r>
              <w:rPr>
                <w:rFonts w:cstheme="minorBidi"/>
                <w:b w:val="0"/>
                <w:bCs w:val="0"/>
              </w:rPr>
              <w:t xml:space="preserve">: </w:t>
            </w:r>
            <w:r w:rsidRPr="00BE53EC">
              <w:rPr>
                <w:rFonts w:cstheme="minorBidi"/>
                <w:b w:val="0"/>
                <w:bCs w:val="0"/>
              </w:rPr>
              <w:t>allergic skin reaction (e.g. rash), flushing</w:t>
            </w:r>
          </w:p>
          <w:p w14:paraId="0BCB3D48" w14:textId="41DBC2E9" w:rsidR="00BE53EC" w:rsidRPr="009642F9" w:rsidRDefault="00BE53EC" w:rsidP="009642F9">
            <w:pPr>
              <w:pStyle w:val="SubHeafingSMPC"/>
              <w:numPr>
                <w:ilvl w:val="0"/>
                <w:numId w:val="6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 w:rsidRPr="00BE53EC">
              <w:rPr>
                <w:rFonts w:cstheme="minorBidi"/>
                <w:b w:val="0"/>
                <w:bCs w:val="0"/>
              </w:rPr>
              <w:t>Very rare</w:t>
            </w:r>
            <w:r>
              <w:rPr>
                <w:rFonts w:cstheme="minorBidi"/>
                <w:b w:val="0"/>
                <w:bCs w:val="0"/>
              </w:rPr>
              <w:t xml:space="preserve">: </w:t>
            </w:r>
            <w:r w:rsidRPr="00BE53EC">
              <w:rPr>
                <w:rFonts w:cstheme="minorBidi"/>
                <w:b w:val="0"/>
                <w:bCs w:val="0"/>
              </w:rPr>
              <w:t>angioedema, Stevens-Johnson Syndrome</w:t>
            </w:r>
          </w:p>
        </w:tc>
      </w:tr>
      <w:tr w:rsidR="009642F9" w14:paraId="01EF8F66" w14:textId="77777777" w:rsidTr="009642F9">
        <w:tc>
          <w:tcPr>
            <w:tcW w:w="8087" w:type="dxa"/>
            <w:tcBorders>
              <w:top w:val="single" w:sz="4" w:space="0" w:color="auto"/>
              <w:bottom w:val="nil"/>
            </w:tcBorders>
          </w:tcPr>
          <w:p w14:paraId="628ACD37" w14:textId="5A2C430B" w:rsidR="009642F9" w:rsidRPr="009642F9" w:rsidRDefault="009642F9" w:rsidP="009642F9">
            <w:pPr>
              <w:pStyle w:val="SubHeafingSMPC"/>
              <w:numPr>
                <w:ilvl w:val="0"/>
                <w:numId w:val="6"/>
              </w:numPr>
              <w:spacing w:before="0"/>
              <w:jc w:val="thaiDistribute"/>
              <w:rPr>
                <w:rFonts w:cstheme="minorBidi"/>
              </w:rPr>
            </w:pPr>
            <w:r w:rsidRPr="00BE53EC">
              <w:rPr>
                <w:rFonts w:cstheme="minorBidi"/>
                <w:b w:val="0"/>
                <w:bCs w:val="0"/>
              </w:rPr>
              <w:lastRenderedPageBreak/>
              <w:t>Not known</w:t>
            </w:r>
            <w:r>
              <w:rPr>
                <w:rFonts w:cstheme="minorBidi"/>
                <w:b w:val="0"/>
                <w:bCs w:val="0"/>
              </w:rPr>
              <w:t xml:space="preserve">: </w:t>
            </w:r>
            <w:r w:rsidRPr="00BE53EC">
              <w:rPr>
                <w:rFonts w:cstheme="minorBidi"/>
                <w:b w:val="0"/>
                <w:bCs w:val="0"/>
              </w:rPr>
              <w:t>exfoliative dermatitis</w:t>
            </w:r>
          </w:p>
        </w:tc>
      </w:tr>
      <w:tr w:rsidR="00BE53EC" w14:paraId="0C795234" w14:textId="77777777" w:rsidTr="009642F9">
        <w:tc>
          <w:tcPr>
            <w:tcW w:w="8087" w:type="dxa"/>
            <w:tcBorders>
              <w:top w:val="nil"/>
            </w:tcBorders>
          </w:tcPr>
          <w:p w14:paraId="22730449" w14:textId="77777777" w:rsidR="00BE53EC" w:rsidRPr="009642F9" w:rsidRDefault="00BE53EC" w:rsidP="002D014C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  <w:rPr>
                <w:rFonts w:cstheme="minorBidi"/>
              </w:rPr>
            </w:pPr>
            <w:r w:rsidRPr="009642F9">
              <w:rPr>
                <w:rFonts w:cstheme="minorBidi"/>
              </w:rPr>
              <w:t>General disorders and administration site conditions</w:t>
            </w:r>
          </w:p>
          <w:p w14:paraId="4AADE6BA" w14:textId="4814032A" w:rsidR="00BE53EC" w:rsidRPr="00BE53EC" w:rsidRDefault="00BE53EC" w:rsidP="002D014C">
            <w:pPr>
              <w:pStyle w:val="SubHeafingSMPC"/>
              <w:numPr>
                <w:ilvl w:val="0"/>
                <w:numId w:val="7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 w:rsidRPr="00BE53EC">
              <w:rPr>
                <w:rFonts w:cstheme="minorBidi"/>
                <w:b w:val="0"/>
                <w:bCs w:val="0"/>
              </w:rPr>
              <w:t>Common</w:t>
            </w:r>
            <w:r>
              <w:rPr>
                <w:rFonts w:cstheme="minorBidi"/>
                <w:b w:val="0"/>
                <w:bCs w:val="0"/>
              </w:rPr>
              <w:t xml:space="preserve">: </w:t>
            </w:r>
            <w:r w:rsidRPr="00BE53EC">
              <w:rPr>
                <w:rFonts w:cstheme="minorBidi"/>
                <w:b w:val="0"/>
                <w:bCs w:val="0"/>
              </w:rPr>
              <w:t>asthenia</w:t>
            </w:r>
          </w:p>
        </w:tc>
      </w:tr>
    </w:tbl>
    <w:p w14:paraId="4FA12853" w14:textId="77777777" w:rsidR="002D6EA0" w:rsidRDefault="002D6EA0" w:rsidP="00BE53EC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2D6EA0">
        <w:rPr>
          <w:rFonts w:cstheme="minorBidi"/>
          <w:b w:val="0"/>
          <w:bCs w:val="0"/>
        </w:rPr>
        <w:t xml:space="preserve">Severe hypotensive responses have been reported for organic nitrates and </w:t>
      </w:r>
      <w:r>
        <w:rPr>
          <w:rFonts w:cstheme="minorBidi"/>
          <w:b w:val="0"/>
          <w:bCs w:val="0"/>
        </w:rPr>
        <w:tab/>
      </w:r>
      <w:r w:rsidRPr="002D6EA0">
        <w:rPr>
          <w:rFonts w:cstheme="minorBidi"/>
          <w:b w:val="0"/>
          <w:bCs w:val="0"/>
        </w:rPr>
        <w:t xml:space="preserve">include nausea, vomiting, restlessness, pallor and excessive perspiration. </w:t>
      </w:r>
    </w:p>
    <w:p w14:paraId="1ADE982C" w14:textId="77777777" w:rsidR="002D6EA0" w:rsidRDefault="002D6EA0" w:rsidP="00BE53EC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2D6EA0">
        <w:rPr>
          <w:rFonts w:cstheme="minorBidi"/>
          <w:b w:val="0"/>
          <w:bCs w:val="0"/>
        </w:rPr>
        <w:t xml:space="preserve">During treatment with these tablets, a temporary hypoxaemia may occur </w:t>
      </w:r>
      <w:r>
        <w:rPr>
          <w:rFonts w:cstheme="minorBidi"/>
          <w:b w:val="0"/>
          <w:bCs w:val="0"/>
        </w:rPr>
        <w:tab/>
      </w:r>
      <w:r w:rsidRPr="002D6EA0">
        <w:rPr>
          <w:rFonts w:cstheme="minorBidi"/>
          <w:b w:val="0"/>
          <w:bCs w:val="0"/>
        </w:rPr>
        <w:t xml:space="preserve">due to a relative redistribution of the blood flow in hypoventilated </w:t>
      </w:r>
      <w:r>
        <w:rPr>
          <w:rFonts w:cstheme="minorBidi"/>
          <w:b w:val="0"/>
          <w:bCs w:val="0"/>
        </w:rPr>
        <w:tab/>
      </w:r>
      <w:r w:rsidRPr="002D6EA0">
        <w:rPr>
          <w:rFonts w:cstheme="minorBidi"/>
          <w:b w:val="0"/>
          <w:bCs w:val="0"/>
        </w:rPr>
        <w:t xml:space="preserve">alveolar areas. Particularly in patients with coronary artery disease this </w:t>
      </w:r>
      <w:r>
        <w:rPr>
          <w:rFonts w:cstheme="minorBidi"/>
          <w:b w:val="0"/>
          <w:bCs w:val="0"/>
        </w:rPr>
        <w:tab/>
      </w:r>
      <w:r w:rsidRPr="002D6EA0">
        <w:rPr>
          <w:rFonts w:cstheme="minorBidi"/>
          <w:b w:val="0"/>
          <w:bCs w:val="0"/>
        </w:rPr>
        <w:t>may lead to a myocardial hypoxia.</w:t>
      </w:r>
    </w:p>
    <w:p w14:paraId="6AD9A22D" w14:textId="77777777" w:rsidR="009642F9" w:rsidRPr="009642F9" w:rsidRDefault="009642F9" w:rsidP="00BE53EC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5BDED96" w14:textId="77777777" w:rsidR="002D6EA0" w:rsidRPr="002D6EA0" w:rsidRDefault="002D6EA0" w:rsidP="00BE53EC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2D6EA0">
        <w:rPr>
          <w:rFonts w:cstheme="minorBidi"/>
          <w:b w:val="0"/>
          <w:bCs w:val="0"/>
          <w:u w:val="single"/>
        </w:rPr>
        <w:t>Reporting of suspected adverse reactions</w:t>
      </w:r>
    </w:p>
    <w:p w14:paraId="08577EBF" w14:textId="08960606" w:rsidR="00BE53EC" w:rsidRPr="00BE53EC" w:rsidRDefault="002D6EA0" w:rsidP="00BE53EC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cs/>
        </w:rPr>
      </w:pPr>
      <w:r>
        <w:rPr>
          <w:rFonts w:cstheme="minorBidi"/>
          <w:b w:val="0"/>
          <w:bCs w:val="0"/>
        </w:rPr>
        <w:tab/>
      </w:r>
      <w:r w:rsidR="009642F9" w:rsidRPr="009642F9">
        <w:rPr>
          <w:rFonts w:cstheme="minorBidi"/>
          <w:b w:val="0"/>
          <w:bCs w:val="0"/>
        </w:rPr>
        <w:t xml:space="preserve">Reporting suspected adverse reactions after authorisation of the </w:t>
      </w:r>
      <w:r w:rsidR="009642F9">
        <w:rPr>
          <w:rFonts w:cstheme="minorBidi"/>
          <w:b w:val="0"/>
          <w:bCs w:val="0"/>
        </w:rPr>
        <w:tab/>
      </w:r>
      <w:r w:rsidR="009642F9" w:rsidRPr="009642F9">
        <w:rPr>
          <w:rFonts w:cstheme="minorBidi"/>
          <w:b w:val="0"/>
          <w:bCs w:val="0"/>
        </w:rPr>
        <w:t xml:space="preserve">medicinal product is important. It allows continued monitoring of the </w:t>
      </w:r>
      <w:r w:rsidR="009642F9">
        <w:rPr>
          <w:rFonts w:cstheme="minorBidi"/>
          <w:b w:val="0"/>
          <w:bCs w:val="0"/>
        </w:rPr>
        <w:tab/>
      </w:r>
      <w:r w:rsidR="009642F9" w:rsidRPr="009642F9">
        <w:rPr>
          <w:rFonts w:cstheme="minorBidi"/>
          <w:b w:val="0"/>
          <w:bCs w:val="0"/>
        </w:rPr>
        <w:t xml:space="preserve">benefit/risk balance of the medicinal product. Healthcare professionals </w:t>
      </w:r>
      <w:r w:rsidR="009642F9">
        <w:rPr>
          <w:rFonts w:cstheme="minorBidi"/>
          <w:b w:val="0"/>
          <w:bCs w:val="0"/>
        </w:rPr>
        <w:tab/>
      </w:r>
      <w:r w:rsidR="009642F9" w:rsidRPr="009642F9">
        <w:rPr>
          <w:rFonts w:cstheme="minorBidi"/>
          <w:b w:val="0"/>
          <w:bCs w:val="0"/>
        </w:rPr>
        <w:t xml:space="preserve">are asked to report any suspected adverse reactions via Health Product </w:t>
      </w:r>
      <w:r w:rsidR="009642F9">
        <w:rPr>
          <w:rFonts w:cstheme="minorBidi"/>
          <w:b w:val="0"/>
          <w:bCs w:val="0"/>
        </w:rPr>
        <w:tab/>
      </w:r>
      <w:r w:rsidR="009642F9" w:rsidRPr="009642F9">
        <w:rPr>
          <w:rFonts w:cstheme="minorBidi"/>
          <w:b w:val="0"/>
          <w:bCs w:val="0"/>
        </w:rPr>
        <w:t>Vigilance Center; HPVC, Thai FDA</w:t>
      </w:r>
      <w:r w:rsidRPr="002D6EA0">
        <w:rPr>
          <w:rFonts w:cstheme="minorBidi"/>
          <w:b w:val="0"/>
          <w:bCs w:val="0"/>
        </w:rPr>
        <w:t>.</w:t>
      </w:r>
    </w:p>
    <w:p w14:paraId="6685A3D9" w14:textId="77777777" w:rsidR="00051511" w:rsidRDefault="00051511" w:rsidP="00051511">
      <w:pPr>
        <w:pStyle w:val="SubHeafingSMPC"/>
        <w:ind w:left="0" w:firstLine="0"/>
      </w:pPr>
      <w:r w:rsidRPr="008F5678">
        <w:t>Overdose</w:t>
      </w:r>
    </w:p>
    <w:p w14:paraId="2BDA8BD8" w14:textId="77777777" w:rsidR="002D6EA0" w:rsidRDefault="00051511" w:rsidP="002D6EA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Pr="000926E3">
        <w:rPr>
          <w:rFonts w:cstheme="minorBidi"/>
          <w:b w:val="0"/>
          <w:bCs w:val="0"/>
          <w:u w:val="single"/>
        </w:rPr>
        <w:t>Symptoms</w:t>
      </w:r>
      <w:r w:rsidRPr="000926E3">
        <w:rPr>
          <w:rFonts w:cstheme="minorBidi"/>
          <w:b w:val="0"/>
          <w:bCs w:val="0"/>
        </w:rPr>
        <w:t xml:space="preserve"> </w:t>
      </w:r>
    </w:p>
    <w:p w14:paraId="26D9813E" w14:textId="77777777" w:rsidR="002D6EA0" w:rsidRDefault="002D6EA0" w:rsidP="002D6EA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2D6EA0">
        <w:rPr>
          <w:b w:val="0"/>
          <w:bCs w:val="0"/>
        </w:rPr>
        <w:t>Fall of blood pressure ≤ 90</w:t>
      </w:r>
      <w:r>
        <w:rPr>
          <w:b w:val="0"/>
          <w:bCs w:val="0"/>
        </w:rPr>
        <w:t xml:space="preserve"> </w:t>
      </w:r>
      <w:r w:rsidRPr="002D6EA0">
        <w:rPr>
          <w:b w:val="0"/>
          <w:bCs w:val="0"/>
        </w:rPr>
        <w:t xml:space="preserve">mmHg, paleness, sweating, weak pulse,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>tachycardia, light</w:t>
      </w:r>
      <w:r>
        <w:rPr>
          <w:b w:val="0"/>
          <w:bCs w:val="0"/>
        </w:rPr>
        <w:t>-</w:t>
      </w:r>
      <w:r w:rsidRPr="002D6EA0">
        <w:rPr>
          <w:b w:val="0"/>
          <w:bCs w:val="0"/>
        </w:rPr>
        <w:t xml:space="preserve">headedness on standing, headache, weakness,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>dizziness, nausea and vomiting.</w:t>
      </w:r>
    </w:p>
    <w:p w14:paraId="6DE2CB41" w14:textId="77777777" w:rsidR="009642F9" w:rsidRPr="009642F9" w:rsidRDefault="009642F9" w:rsidP="002D6EA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35D47610" w14:textId="77777777" w:rsidR="002D6EA0" w:rsidRDefault="002D6EA0" w:rsidP="002D6EA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2D6EA0">
        <w:rPr>
          <w:b w:val="0"/>
          <w:bCs w:val="0"/>
        </w:rPr>
        <w:t xml:space="preserve">During isosorbide mononitrate biotransformation nitrite ions are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released, which may include methaemoglobinaemia and cyanosis with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subsequent tachypnoea, anxiety, loss of consciousness and cardiac arrest.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It cannot be excluded that an overdose of isosorbide dinitrate may cause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>this adverse reaction.</w:t>
      </w:r>
    </w:p>
    <w:p w14:paraId="31640B97" w14:textId="5708B1F2" w:rsidR="002D6EA0" w:rsidRPr="002D6EA0" w:rsidRDefault="002D6EA0" w:rsidP="002D6EA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lastRenderedPageBreak/>
        <w:tab/>
      </w:r>
      <w:r w:rsidRPr="002D6EA0">
        <w:rPr>
          <w:b w:val="0"/>
          <w:bCs w:val="0"/>
        </w:rPr>
        <w:t xml:space="preserve">In very high doses the intracranial pressure may be increased. This might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>lead to cerebral symptoms.</w:t>
      </w:r>
    </w:p>
    <w:p w14:paraId="00CA8042" w14:textId="77777777" w:rsidR="00051511" w:rsidRPr="000926E3" w:rsidRDefault="00051511" w:rsidP="00051511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6C7A40AB" w14:textId="77777777" w:rsidR="002D6EA0" w:rsidRDefault="00051511" w:rsidP="0005151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926E3">
        <w:rPr>
          <w:rFonts w:cstheme="minorBidi"/>
          <w:b w:val="0"/>
          <w:bCs w:val="0"/>
          <w:u w:val="single"/>
        </w:rPr>
        <w:t>Treatment</w:t>
      </w:r>
    </w:p>
    <w:p w14:paraId="459533D5" w14:textId="77777777" w:rsidR="002D6EA0" w:rsidRDefault="002D6EA0" w:rsidP="0005151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2D6EA0">
        <w:rPr>
          <w:rFonts w:cstheme="minorBidi"/>
          <w:b w:val="0"/>
          <w:bCs w:val="0"/>
        </w:rPr>
        <w:t>Stop intake of the drug.</w:t>
      </w:r>
    </w:p>
    <w:p w14:paraId="07471FBD" w14:textId="77777777" w:rsidR="002D6EA0" w:rsidRDefault="002D6EA0" w:rsidP="0005151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2D6EA0">
        <w:rPr>
          <w:rFonts w:cstheme="minorBidi"/>
          <w:b w:val="0"/>
          <w:bCs w:val="0"/>
        </w:rPr>
        <w:t>General procedures in the event of nitrate-related hypotension:</w:t>
      </w:r>
    </w:p>
    <w:p w14:paraId="095A20F1" w14:textId="77777777" w:rsidR="002D6EA0" w:rsidRDefault="002D6EA0" w:rsidP="002D6EA0">
      <w:pPr>
        <w:pStyle w:val="SubHeafingSMPC"/>
        <w:numPr>
          <w:ilvl w:val="0"/>
          <w:numId w:val="9"/>
        </w:numPr>
        <w:jc w:val="thaiDistribute"/>
        <w:rPr>
          <w:rFonts w:cstheme="minorBidi"/>
          <w:b w:val="0"/>
          <w:bCs w:val="0"/>
        </w:rPr>
      </w:pPr>
      <w:r w:rsidRPr="002D6EA0">
        <w:rPr>
          <w:rFonts w:cstheme="minorBidi"/>
          <w:b w:val="0"/>
          <w:bCs w:val="0"/>
        </w:rPr>
        <w:t>Patient should be kept horizontal with the head lowered and legs raised</w:t>
      </w:r>
    </w:p>
    <w:p w14:paraId="36C4F511" w14:textId="77777777" w:rsidR="002D6EA0" w:rsidRDefault="002D6EA0" w:rsidP="002D6EA0">
      <w:pPr>
        <w:pStyle w:val="SubHeafingSMPC"/>
        <w:numPr>
          <w:ilvl w:val="0"/>
          <w:numId w:val="9"/>
        </w:numPr>
        <w:jc w:val="thaiDistribute"/>
        <w:rPr>
          <w:rFonts w:cstheme="minorBidi"/>
          <w:b w:val="0"/>
          <w:bCs w:val="0"/>
        </w:rPr>
      </w:pPr>
      <w:r w:rsidRPr="002D6EA0">
        <w:rPr>
          <w:rFonts w:cstheme="minorBidi"/>
          <w:b w:val="0"/>
          <w:bCs w:val="0"/>
        </w:rPr>
        <w:t>Supply oxygen</w:t>
      </w:r>
    </w:p>
    <w:p w14:paraId="2A7C9F44" w14:textId="77777777" w:rsidR="002D6EA0" w:rsidRDefault="002D6EA0" w:rsidP="002D6EA0">
      <w:pPr>
        <w:pStyle w:val="SubHeafingSMPC"/>
        <w:numPr>
          <w:ilvl w:val="0"/>
          <w:numId w:val="9"/>
        </w:numPr>
        <w:jc w:val="thaiDistribute"/>
        <w:rPr>
          <w:rFonts w:cstheme="minorBidi"/>
          <w:b w:val="0"/>
          <w:bCs w:val="0"/>
        </w:rPr>
      </w:pPr>
      <w:r w:rsidRPr="002D6EA0">
        <w:rPr>
          <w:rFonts w:cstheme="minorBidi"/>
          <w:b w:val="0"/>
          <w:bCs w:val="0"/>
        </w:rPr>
        <w:t>Expand plasma volume</w:t>
      </w:r>
    </w:p>
    <w:p w14:paraId="184EE5CE" w14:textId="77777777" w:rsidR="002D6EA0" w:rsidRDefault="002D6EA0" w:rsidP="002D6EA0">
      <w:pPr>
        <w:pStyle w:val="SubHeafingSMPC"/>
        <w:numPr>
          <w:ilvl w:val="0"/>
          <w:numId w:val="9"/>
        </w:numPr>
        <w:jc w:val="thaiDistribute"/>
        <w:rPr>
          <w:rFonts w:cstheme="minorBidi"/>
          <w:b w:val="0"/>
          <w:bCs w:val="0"/>
        </w:rPr>
      </w:pPr>
      <w:r w:rsidRPr="002D6EA0">
        <w:rPr>
          <w:rFonts w:cstheme="minorBidi"/>
          <w:b w:val="0"/>
          <w:bCs w:val="0"/>
        </w:rPr>
        <w:t>For specific shock treatment admit patient to intensive care unit.</w:t>
      </w:r>
    </w:p>
    <w:p w14:paraId="156CE048" w14:textId="77777777" w:rsidR="002D6EA0" w:rsidRDefault="002D6EA0" w:rsidP="002D6EA0">
      <w:pPr>
        <w:pStyle w:val="SubHeafingSMPC"/>
        <w:numPr>
          <w:ilvl w:val="0"/>
          <w:numId w:val="0"/>
        </w:numPr>
        <w:ind w:left="709"/>
        <w:jc w:val="thaiDistribute"/>
        <w:rPr>
          <w:rFonts w:cstheme="minorBidi"/>
          <w:b w:val="0"/>
          <w:bCs w:val="0"/>
        </w:rPr>
      </w:pPr>
      <w:r w:rsidRPr="002D6EA0">
        <w:rPr>
          <w:rFonts w:cstheme="minorBidi"/>
          <w:b w:val="0"/>
          <w:bCs w:val="0"/>
        </w:rPr>
        <w:t>Specific Procedures:</w:t>
      </w:r>
    </w:p>
    <w:p w14:paraId="7596EBEB" w14:textId="77777777" w:rsidR="002D6EA0" w:rsidRDefault="002D6EA0" w:rsidP="002D6EA0">
      <w:pPr>
        <w:pStyle w:val="SubHeafingSMPC"/>
        <w:numPr>
          <w:ilvl w:val="0"/>
          <w:numId w:val="10"/>
        </w:numPr>
        <w:jc w:val="thaiDistribute"/>
        <w:rPr>
          <w:rFonts w:cstheme="minorBidi"/>
          <w:b w:val="0"/>
          <w:bCs w:val="0"/>
        </w:rPr>
      </w:pPr>
      <w:r w:rsidRPr="002D6EA0">
        <w:rPr>
          <w:rFonts w:cstheme="minorBidi"/>
          <w:b w:val="0"/>
          <w:bCs w:val="0"/>
        </w:rPr>
        <w:t xml:space="preserve">Raising the blood pressure if the blood pressure is very low </w:t>
      </w:r>
    </w:p>
    <w:p w14:paraId="03ED5F86" w14:textId="77777777" w:rsidR="002D6EA0" w:rsidRDefault="002D6EA0" w:rsidP="002D6EA0">
      <w:pPr>
        <w:pStyle w:val="SubHeafingSMPC"/>
        <w:numPr>
          <w:ilvl w:val="0"/>
          <w:numId w:val="10"/>
        </w:numPr>
        <w:jc w:val="thaiDistribute"/>
        <w:rPr>
          <w:rFonts w:cstheme="minorBidi"/>
          <w:b w:val="0"/>
          <w:bCs w:val="0"/>
        </w:rPr>
      </w:pPr>
      <w:r w:rsidRPr="002D6EA0">
        <w:rPr>
          <w:rFonts w:cstheme="minorBidi"/>
          <w:b w:val="0"/>
          <w:bCs w:val="0"/>
        </w:rPr>
        <w:t>Treatment of methaeglobinaemia (reduction therapy of choice with vitamin C, methylene</w:t>
      </w:r>
      <w:r>
        <w:rPr>
          <w:rFonts w:cstheme="minorBidi"/>
          <w:b w:val="0"/>
          <w:bCs w:val="0"/>
        </w:rPr>
        <w:t>-</w:t>
      </w:r>
      <w:r w:rsidRPr="002D6EA0">
        <w:rPr>
          <w:rFonts w:cstheme="minorBidi"/>
          <w:b w:val="0"/>
          <w:bCs w:val="0"/>
        </w:rPr>
        <w:t>blue, or toluidine-blue; administer oxygen (if necessary); initiate artificial ventilation; haemodialysis (if necessary)).</w:t>
      </w:r>
    </w:p>
    <w:p w14:paraId="257D1FDD" w14:textId="77777777" w:rsidR="002D6EA0" w:rsidRDefault="002D6EA0" w:rsidP="002D6EA0">
      <w:pPr>
        <w:pStyle w:val="SubHeafingSMPC"/>
        <w:numPr>
          <w:ilvl w:val="0"/>
          <w:numId w:val="0"/>
        </w:numPr>
        <w:ind w:left="709"/>
        <w:jc w:val="thaiDistribute"/>
        <w:rPr>
          <w:rFonts w:cstheme="minorBidi"/>
          <w:b w:val="0"/>
          <w:bCs w:val="0"/>
        </w:rPr>
      </w:pPr>
      <w:r w:rsidRPr="002D6EA0">
        <w:rPr>
          <w:rFonts w:cstheme="minorBidi"/>
          <w:b w:val="0"/>
          <w:bCs w:val="0"/>
        </w:rPr>
        <w:t>Resuscitation measures:</w:t>
      </w:r>
    </w:p>
    <w:p w14:paraId="73A70CCF" w14:textId="544C887D" w:rsidR="00051511" w:rsidRPr="000800F9" w:rsidRDefault="002D6EA0" w:rsidP="002D6EA0">
      <w:pPr>
        <w:pStyle w:val="SubHeafingSMPC"/>
        <w:numPr>
          <w:ilvl w:val="0"/>
          <w:numId w:val="11"/>
        </w:numPr>
        <w:jc w:val="thaiDistribute"/>
        <w:rPr>
          <w:rFonts w:cstheme="minorBidi"/>
          <w:b w:val="0"/>
          <w:bCs w:val="0"/>
        </w:rPr>
      </w:pPr>
      <w:r w:rsidRPr="002D6EA0">
        <w:rPr>
          <w:rFonts w:cstheme="minorBidi"/>
          <w:b w:val="0"/>
          <w:bCs w:val="0"/>
        </w:rPr>
        <w:t>In case of signs of respiratory and circulatory arrest,</w:t>
      </w:r>
      <w:r>
        <w:rPr>
          <w:rFonts w:cstheme="minorBidi"/>
          <w:b w:val="0"/>
          <w:bCs w:val="0"/>
        </w:rPr>
        <w:t xml:space="preserve"> </w:t>
      </w:r>
      <w:r w:rsidRPr="002D6EA0">
        <w:rPr>
          <w:rFonts w:cstheme="minorBidi"/>
          <w:b w:val="0"/>
          <w:bCs w:val="0"/>
        </w:rPr>
        <w:t>initiate resuscitation measures immediately.</w:t>
      </w:r>
    </w:p>
    <w:p w14:paraId="6AA3612D" w14:textId="77777777" w:rsidR="00051511" w:rsidRPr="008F5678" w:rsidRDefault="00051511" w:rsidP="00051511">
      <w:pPr>
        <w:pStyle w:val="HEADING1SMPC"/>
      </w:pPr>
      <w:r w:rsidRPr="008F5678">
        <w:t xml:space="preserve">PHARMACOLOGICAL PROPERTIES </w:t>
      </w:r>
    </w:p>
    <w:p w14:paraId="18D3EA05" w14:textId="77777777" w:rsidR="00051511" w:rsidRDefault="00051511" w:rsidP="00051511">
      <w:pPr>
        <w:pStyle w:val="SubHeafingSMPC"/>
        <w:ind w:left="57"/>
      </w:pPr>
      <w:r w:rsidRPr="008F5678">
        <w:t>Pharmacodynamic properties</w:t>
      </w:r>
    </w:p>
    <w:p w14:paraId="77D25D2A" w14:textId="2ECDE9FC" w:rsidR="00051511" w:rsidRPr="002D6EA0" w:rsidRDefault="00051511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tab/>
      </w:r>
      <w:r w:rsidRPr="00D466B7">
        <w:rPr>
          <w:b w:val="0"/>
          <w:bCs w:val="0"/>
          <w:i/>
          <w:iCs/>
        </w:rPr>
        <w:t>Pharmacotherapeutic group:</w:t>
      </w:r>
      <w:r w:rsidR="002D6EA0">
        <w:rPr>
          <w:b w:val="0"/>
          <w:bCs w:val="0"/>
          <w:i/>
          <w:iCs/>
        </w:rPr>
        <w:t xml:space="preserve"> </w:t>
      </w:r>
      <w:r w:rsidR="002D6EA0" w:rsidRPr="002D6EA0">
        <w:rPr>
          <w:b w:val="0"/>
          <w:bCs w:val="0"/>
        </w:rPr>
        <w:t xml:space="preserve">Vasodilators used in cardiac diseases. </w:t>
      </w:r>
      <w:r w:rsidR="002D6EA0">
        <w:rPr>
          <w:b w:val="0"/>
          <w:bCs w:val="0"/>
        </w:rPr>
        <w:tab/>
      </w:r>
      <w:r w:rsidR="002D6EA0" w:rsidRPr="002D6EA0">
        <w:rPr>
          <w:b w:val="0"/>
          <w:bCs w:val="0"/>
        </w:rPr>
        <w:t>organic nitrates, ATC code: C01D A08</w:t>
      </w:r>
    </w:p>
    <w:p w14:paraId="5C4CFDE8" w14:textId="77777777" w:rsidR="00051511" w:rsidRPr="00D466B7" w:rsidRDefault="00051511" w:rsidP="00051511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6C8855CE" w14:textId="77777777" w:rsidR="002D6EA0" w:rsidRDefault="00051511" w:rsidP="002D6EA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2D6EA0" w:rsidRPr="002D6EA0">
        <w:rPr>
          <w:b w:val="0"/>
          <w:bCs w:val="0"/>
        </w:rPr>
        <w:t xml:space="preserve">Pharmacodynamics Isosorbide dinitrate causes a relaxation of vascular </w:t>
      </w:r>
      <w:r w:rsidR="002D6EA0">
        <w:rPr>
          <w:b w:val="0"/>
          <w:bCs w:val="0"/>
        </w:rPr>
        <w:tab/>
      </w:r>
      <w:r w:rsidR="002D6EA0" w:rsidRPr="002D6EA0">
        <w:rPr>
          <w:b w:val="0"/>
          <w:bCs w:val="0"/>
        </w:rPr>
        <w:t xml:space="preserve">smooth muscle thereby inducing a vasodilation. Both peripheral arteries </w:t>
      </w:r>
      <w:r w:rsidR="002D6EA0">
        <w:rPr>
          <w:b w:val="0"/>
          <w:bCs w:val="0"/>
        </w:rPr>
        <w:tab/>
      </w:r>
      <w:r w:rsidR="002D6EA0" w:rsidRPr="002D6EA0">
        <w:rPr>
          <w:b w:val="0"/>
          <w:bCs w:val="0"/>
        </w:rPr>
        <w:t xml:space="preserve">and veins are relaxed by isosorbide dinitrate. The latter effect promotes </w:t>
      </w:r>
      <w:r w:rsidR="002D6EA0">
        <w:rPr>
          <w:b w:val="0"/>
          <w:bCs w:val="0"/>
        </w:rPr>
        <w:lastRenderedPageBreak/>
        <w:tab/>
      </w:r>
      <w:r w:rsidR="002D6EA0" w:rsidRPr="002D6EA0">
        <w:rPr>
          <w:b w:val="0"/>
          <w:bCs w:val="0"/>
        </w:rPr>
        <w:t xml:space="preserve">venous pooling of blood and decreases venous return to the heart, thereby </w:t>
      </w:r>
      <w:r w:rsidR="002D6EA0">
        <w:rPr>
          <w:b w:val="0"/>
          <w:bCs w:val="0"/>
        </w:rPr>
        <w:tab/>
      </w:r>
      <w:r w:rsidR="002D6EA0" w:rsidRPr="002D6EA0">
        <w:rPr>
          <w:b w:val="0"/>
          <w:bCs w:val="0"/>
        </w:rPr>
        <w:t>reducing ventricular end-diastolic pressure and volume (preload).</w:t>
      </w:r>
    </w:p>
    <w:p w14:paraId="59251459" w14:textId="77777777" w:rsidR="002D6EA0" w:rsidRDefault="002D6EA0" w:rsidP="002D6EA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The action on arterial, and at higher dosages arteriolar vessels, reduce the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systemic vascular resistance (afterload). This in turn reduces the cardiac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>work.</w:t>
      </w:r>
    </w:p>
    <w:p w14:paraId="7A4B5F43" w14:textId="77777777" w:rsidR="009642F9" w:rsidRPr="009642F9" w:rsidRDefault="009642F9" w:rsidP="002D6EA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E5D12C1" w14:textId="77777777" w:rsidR="002D6EA0" w:rsidRDefault="002D6EA0" w:rsidP="002D6EA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The effect on both preload and afterload lead subsequently to a reduced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>oxygen consumption of the heart.</w:t>
      </w:r>
    </w:p>
    <w:p w14:paraId="6795131A" w14:textId="77777777" w:rsidR="009642F9" w:rsidRPr="009642F9" w:rsidRDefault="009642F9" w:rsidP="002D6EA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2EC3D79" w14:textId="77777777" w:rsidR="002D6EA0" w:rsidRDefault="002D6EA0" w:rsidP="002D6EA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Furthermore, isosorbide dinitrate causes redistribution of blood flow to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the subendocardial regions of the heart when the coronary circulation is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partially occluded by arteriosclerotic lesions. This last effect is likely to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be due to a selective dilation of large coronary vessels. Nitrate-induced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dilation of collateral arteries can improve the perfusion of poststenotic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myocardium. Nitrates also dilate eccentric stenoses as they can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counteract possible constricting factors acting on the residual arch of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compliant smooth muscle at the site of the coronary narrowing.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>Furthermore, coronary spasms can be relaxed by nitrates.</w:t>
      </w:r>
    </w:p>
    <w:p w14:paraId="01207C14" w14:textId="77777777" w:rsidR="009642F9" w:rsidRPr="009642F9" w:rsidRDefault="009642F9" w:rsidP="002D6EA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EA8DDBF" w14:textId="77777777" w:rsidR="002D6EA0" w:rsidRDefault="002D6EA0" w:rsidP="002D6EA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Nitrates were shown to improve resting and exercise haemodynamics in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patients suffering from congestive heart failure. In this beneficial effect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several mechanisms including an improvement of valvular regurgitation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(due to the lessening of ventricular dilation) and the reduction of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>myocardial oxygen demand are involved.</w:t>
      </w:r>
    </w:p>
    <w:p w14:paraId="2498C4BE" w14:textId="77777777" w:rsidR="009642F9" w:rsidRPr="009642F9" w:rsidRDefault="009642F9" w:rsidP="002D6EA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5C4577D" w14:textId="77777777" w:rsidR="002D6EA0" w:rsidRDefault="002D6EA0" w:rsidP="002D6EA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D6EA0">
        <w:rPr>
          <w:b w:val="0"/>
          <w:bCs w:val="0"/>
        </w:rPr>
        <w:t>By decreasing the oxygen demand and increasing the oxygen supply, the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area of myocardial damage is reduced. Therefore, isosorbide dinitrate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>may be useful in selected patients who suffered a myocardial infarction.</w:t>
      </w:r>
    </w:p>
    <w:p w14:paraId="77F105D8" w14:textId="77777777" w:rsidR="002D6EA0" w:rsidRDefault="002D6EA0" w:rsidP="002D6EA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2D6EA0">
        <w:rPr>
          <w:b w:val="0"/>
          <w:bCs w:val="0"/>
        </w:rPr>
        <w:t xml:space="preserve">Effects on other organ systems include a relaxation of the bronchial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muscle, the muscles of the gastrointestinal, the biliary and the urinary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>tract. Relaxation of the uterine smooth muscles is reported as well.</w:t>
      </w:r>
    </w:p>
    <w:p w14:paraId="5BA6A218" w14:textId="77777777" w:rsidR="009642F9" w:rsidRPr="009642F9" w:rsidRDefault="009642F9" w:rsidP="002D6EA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B29B347" w14:textId="77777777" w:rsidR="002D6EA0" w:rsidRPr="002D6EA0" w:rsidRDefault="002D6EA0" w:rsidP="002D6EA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2D6EA0">
        <w:rPr>
          <w:b w:val="0"/>
          <w:bCs w:val="0"/>
          <w:u w:val="single"/>
        </w:rPr>
        <w:t>Mechanism of action</w:t>
      </w:r>
    </w:p>
    <w:p w14:paraId="7100DA19" w14:textId="20E7E47F" w:rsidR="002D6EA0" w:rsidRPr="008D1D64" w:rsidRDefault="002D6EA0" w:rsidP="002D6EA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Like all organic nitrates, isosorbide dinitrate acts as a donor of nitric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oxide (NO). NO causes a relaxation of vascular smooth muscle via the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stimulation of guanylyl cyclase and the subsequent increase of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intracellular cyclic guanosine monophosphate (cGMP) concentration. A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cGMP-dependent protein kinase is thus stimulated, with resultant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alteration of the phosphorylation of various proteins in the smooth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muscle cell. This eventually leads to the dephosphorylation of the light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>chain of myosin and the lowering of contractility.</w:t>
      </w:r>
    </w:p>
    <w:p w14:paraId="13B8E360" w14:textId="77777777" w:rsidR="00051511" w:rsidRDefault="00051511" w:rsidP="00051511">
      <w:pPr>
        <w:pStyle w:val="SubHeafingSMPC"/>
        <w:ind w:left="57"/>
      </w:pPr>
      <w:r w:rsidRPr="008F5678">
        <w:t>Pharmacokinetic properties</w:t>
      </w:r>
    </w:p>
    <w:p w14:paraId="5F6B6192" w14:textId="77777777" w:rsidR="002D6EA0" w:rsidRDefault="00051511" w:rsidP="002D6EA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2D6EA0" w:rsidRPr="002D6EA0">
        <w:rPr>
          <w:b w:val="0"/>
          <w:bCs w:val="0"/>
        </w:rPr>
        <w:t xml:space="preserve">After administration of one tablet of ISDN 20mg at least two peak </w:t>
      </w:r>
      <w:r w:rsidR="002D6EA0">
        <w:rPr>
          <w:b w:val="0"/>
          <w:bCs w:val="0"/>
        </w:rPr>
        <w:tab/>
      </w:r>
      <w:r w:rsidR="002D6EA0" w:rsidRPr="002D6EA0">
        <w:rPr>
          <w:b w:val="0"/>
          <w:bCs w:val="0"/>
        </w:rPr>
        <w:t xml:space="preserve">concentrations of ISDN occurred in the plasma. The initial peak (mean </w:t>
      </w:r>
      <w:r w:rsidR="002D6EA0">
        <w:rPr>
          <w:b w:val="0"/>
          <w:bCs w:val="0"/>
        </w:rPr>
        <w:tab/>
      </w:r>
      <w:r w:rsidR="002D6EA0" w:rsidRPr="002D6EA0">
        <w:rPr>
          <w:b w:val="0"/>
          <w:bCs w:val="0"/>
        </w:rPr>
        <w:t xml:space="preserve">1.9 ng/ml, range 1.0 to 3.4 ng/ml) occurred during 0.5 to 2 hours and then </w:t>
      </w:r>
      <w:r w:rsidR="002D6EA0">
        <w:rPr>
          <w:b w:val="0"/>
          <w:bCs w:val="0"/>
        </w:rPr>
        <w:tab/>
      </w:r>
      <w:r w:rsidR="002D6EA0" w:rsidRPr="002D6EA0">
        <w:rPr>
          <w:b w:val="0"/>
          <w:bCs w:val="0"/>
        </w:rPr>
        <w:t xml:space="preserve">the mean plasma concentrations declined to 1.3 ng/ml at 3 hours. The </w:t>
      </w:r>
      <w:r w:rsidR="002D6EA0">
        <w:rPr>
          <w:b w:val="0"/>
          <w:bCs w:val="0"/>
        </w:rPr>
        <w:tab/>
      </w:r>
      <w:r w:rsidR="002D6EA0" w:rsidRPr="002D6EA0">
        <w:rPr>
          <w:b w:val="0"/>
          <w:bCs w:val="0"/>
        </w:rPr>
        <w:t xml:space="preserve">concentration then increased again to reach a major peak level (mean 6.2 </w:t>
      </w:r>
      <w:r w:rsidR="002D6EA0">
        <w:rPr>
          <w:b w:val="0"/>
          <w:bCs w:val="0"/>
        </w:rPr>
        <w:tab/>
      </w:r>
      <w:r w:rsidR="002D6EA0" w:rsidRPr="002D6EA0">
        <w:rPr>
          <w:b w:val="0"/>
          <w:bCs w:val="0"/>
        </w:rPr>
        <w:t xml:space="preserve">ng/ml range 1.6 to 12.3 ng/ml) during 4 to 6 hours after dosing. Plasma </w:t>
      </w:r>
      <w:r w:rsidR="002D6EA0">
        <w:rPr>
          <w:b w:val="0"/>
          <w:bCs w:val="0"/>
        </w:rPr>
        <w:tab/>
      </w:r>
      <w:r w:rsidR="002D6EA0" w:rsidRPr="002D6EA0">
        <w:rPr>
          <w:b w:val="0"/>
          <w:bCs w:val="0"/>
        </w:rPr>
        <w:t xml:space="preserve">concentrations of ISDN have been measured after administration of </w:t>
      </w:r>
      <w:r w:rsidR="002D6EA0">
        <w:rPr>
          <w:b w:val="0"/>
          <w:bCs w:val="0"/>
        </w:rPr>
        <w:tab/>
      </w:r>
      <w:r w:rsidR="002D6EA0" w:rsidRPr="002D6EA0">
        <w:rPr>
          <w:b w:val="0"/>
          <w:bCs w:val="0"/>
        </w:rPr>
        <w:t xml:space="preserve">increasing doses in the range 20 to 100 mg as ISDN 20mg tablets. Means </w:t>
      </w:r>
      <w:r w:rsidR="002D6EA0">
        <w:rPr>
          <w:b w:val="0"/>
          <w:bCs w:val="0"/>
        </w:rPr>
        <w:tab/>
      </w:r>
      <w:r w:rsidR="002D6EA0" w:rsidRPr="002D6EA0">
        <w:rPr>
          <w:b w:val="0"/>
          <w:bCs w:val="0"/>
        </w:rPr>
        <w:t xml:space="preserve">of peak concentrations of 4.2 ng/ml, 13.1 ng/ml, 20.7 ng/ml, 36.8 ng/ml </w:t>
      </w:r>
      <w:r w:rsidR="002D6EA0">
        <w:rPr>
          <w:b w:val="0"/>
          <w:bCs w:val="0"/>
        </w:rPr>
        <w:tab/>
      </w:r>
      <w:r w:rsidR="002D6EA0" w:rsidRPr="002D6EA0">
        <w:rPr>
          <w:b w:val="0"/>
          <w:bCs w:val="0"/>
        </w:rPr>
        <w:t xml:space="preserve">and 34.9 ng/ml were measured after doses of 20mg, 40mg, 60mg, 80mg </w:t>
      </w:r>
      <w:r w:rsidR="002D6EA0">
        <w:rPr>
          <w:b w:val="0"/>
          <w:bCs w:val="0"/>
        </w:rPr>
        <w:tab/>
      </w:r>
      <w:r w:rsidR="002D6EA0" w:rsidRPr="002D6EA0">
        <w:rPr>
          <w:b w:val="0"/>
          <w:bCs w:val="0"/>
        </w:rPr>
        <w:t>and 100</w:t>
      </w:r>
      <w:r w:rsidR="002D6EA0">
        <w:rPr>
          <w:b w:val="0"/>
          <w:bCs w:val="0"/>
        </w:rPr>
        <w:t xml:space="preserve"> </w:t>
      </w:r>
      <w:r w:rsidR="002D6EA0" w:rsidRPr="002D6EA0">
        <w:rPr>
          <w:b w:val="0"/>
          <w:bCs w:val="0"/>
        </w:rPr>
        <w:t>mg respectively.</w:t>
      </w:r>
    </w:p>
    <w:p w14:paraId="3CE97F6E" w14:textId="77777777" w:rsidR="009642F9" w:rsidRPr="009642F9" w:rsidRDefault="009642F9" w:rsidP="002D6EA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8EA0915" w14:textId="77777777" w:rsidR="002D6EA0" w:rsidRDefault="002D6EA0" w:rsidP="002D6EA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Gastrointestinal absorption is slower than absorption through the oral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>mucosa. The first pass effect is higher when given orally.</w:t>
      </w:r>
    </w:p>
    <w:p w14:paraId="1C2E3AF6" w14:textId="77777777" w:rsidR="002D6EA0" w:rsidRDefault="002D6EA0" w:rsidP="002D6EA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2D6EA0">
        <w:rPr>
          <w:b w:val="0"/>
          <w:bCs w:val="0"/>
        </w:rPr>
        <w:t>Isosorbide</w:t>
      </w:r>
      <w:r>
        <w:rPr>
          <w:b w:val="0"/>
          <w:bCs w:val="0"/>
        </w:rPr>
        <w:t xml:space="preserve"> </w:t>
      </w:r>
      <w:r w:rsidRPr="002D6EA0">
        <w:rPr>
          <w:b w:val="0"/>
          <w:bCs w:val="0"/>
        </w:rPr>
        <w:t xml:space="preserve">dinitrate is metabolised to isosorbide 2-mononitrate with a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 xml:space="preserve">half-life of 2.01 h (±0.4 h) to 2.5 h and isosorbide 5-mononitrate with a 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>half-life of 4.6 h (±0.8 h). Both metabolites are pharmacologically active.</w:t>
      </w:r>
    </w:p>
    <w:p w14:paraId="1EC5186F" w14:textId="7367651F" w:rsidR="002D6EA0" w:rsidRPr="002D6EA0" w:rsidRDefault="002D6EA0" w:rsidP="002D6EA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D6EA0">
        <w:rPr>
          <w:b w:val="0"/>
          <w:bCs w:val="0"/>
        </w:rPr>
        <w:t>The relative bioavailability of ISDN in comparison to the non-sustained-</w:t>
      </w:r>
      <w:r>
        <w:rPr>
          <w:b w:val="0"/>
          <w:bCs w:val="0"/>
        </w:rPr>
        <w:tab/>
      </w:r>
      <w:r w:rsidRPr="002D6EA0">
        <w:rPr>
          <w:b w:val="0"/>
          <w:bCs w:val="0"/>
        </w:rPr>
        <w:t>release tablet amounts to more than 80% after oral use.</w:t>
      </w:r>
    </w:p>
    <w:p w14:paraId="19CAFFEC" w14:textId="77777777" w:rsidR="00051511" w:rsidRPr="00F82D07" w:rsidRDefault="00051511" w:rsidP="00051511">
      <w:pPr>
        <w:pStyle w:val="SubHeafingSMPC"/>
        <w:ind w:left="57"/>
      </w:pPr>
      <w:r w:rsidRPr="008F5678">
        <w:t xml:space="preserve">Preclinical safety data </w:t>
      </w:r>
    </w:p>
    <w:p w14:paraId="1BC8C6DF" w14:textId="2FF570FA" w:rsidR="00051511" w:rsidRDefault="00051511" w:rsidP="0005151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2D6EA0" w:rsidRPr="002D6EA0">
        <w:rPr>
          <w:b w:val="0"/>
          <w:bCs w:val="0"/>
        </w:rPr>
        <w:t>There are no preclinical data of relevance to the prescriber which are</w:t>
      </w:r>
      <w:r w:rsidR="002D6EA0">
        <w:rPr>
          <w:b w:val="0"/>
          <w:bCs w:val="0"/>
        </w:rPr>
        <w:t xml:space="preserve"> </w:t>
      </w:r>
      <w:r w:rsidR="002D6EA0">
        <w:rPr>
          <w:b w:val="0"/>
          <w:bCs w:val="0"/>
        </w:rPr>
        <w:tab/>
      </w:r>
      <w:r w:rsidR="002D6EA0" w:rsidRPr="002D6EA0">
        <w:rPr>
          <w:b w:val="0"/>
          <w:bCs w:val="0"/>
        </w:rPr>
        <w:t>additional to that already included in other sections of the SPC</w:t>
      </w:r>
      <w:r w:rsidRPr="00D84F3B">
        <w:rPr>
          <w:b w:val="0"/>
          <w:bCs w:val="0"/>
        </w:rPr>
        <w:t>.</w:t>
      </w:r>
    </w:p>
    <w:p w14:paraId="00820D17" w14:textId="77777777" w:rsidR="00051511" w:rsidRPr="008F5678" w:rsidRDefault="00051511" w:rsidP="00051511">
      <w:pPr>
        <w:pStyle w:val="HEADING1SMPC"/>
      </w:pPr>
      <w:r w:rsidRPr="008F5678">
        <w:t xml:space="preserve">PHARMACEUTICAL PARTICULARS </w:t>
      </w:r>
    </w:p>
    <w:p w14:paraId="183CE80D" w14:textId="77777777" w:rsidR="00051511" w:rsidRPr="008F5678" w:rsidRDefault="00051511" w:rsidP="00051511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739EF324" w14:textId="77777777" w:rsidR="00051511" w:rsidRPr="000A71B4" w:rsidRDefault="00051511" w:rsidP="00051511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33E2AF2B" w14:textId="77777777" w:rsidR="00051511" w:rsidRPr="00F527B4" w:rsidRDefault="00051511" w:rsidP="00051511">
      <w:pPr>
        <w:pStyle w:val="SubHeafingSMPC"/>
        <w:ind w:left="57"/>
      </w:pPr>
      <w:r w:rsidRPr="008F5678">
        <w:t xml:space="preserve">Incompatibilities </w:t>
      </w:r>
    </w:p>
    <w:p w14:paraId="1A66C2E4" w14:textId="77777777" w:rsidR="00051511" w:rsidRPr="000A71B4" w:rsidRDefault="00051511" w:rsidP="00051511">
      <w:pPr>
        <w:pStyle w:val="SubHeafingSMPC"/>
        <w:numPr>
          <w:ilvl w:val="0"/>
          <w:numId w:val="0"/>
        </w:numPr>
        <w:ind w:left="57"/>
        <w:jc w:val="center"/>
      </w:pPr>
      <w:r>
        <w:rPr>
          <w:b w:val="0"/>
          <w:bCs w:val="0"/>
        </w:rPr>
        <w:tab/>
      </w:r>
      <w:r w:rsidRPr="000A71B4">
        <w:rPr>
          <w:b w:val="0"/>
          <w:bCs w:val="0"/>
          <w:color w:val="FF0000"/>
        </w:rPr>
        <w:t>&lt;Regarding the approval&gt;</w:t>
      </w:r>
    </w:p>
    <w:p w14:paraId="734F5621" w14:textId="77777777" w:rsidR="00051511" w:rsidRPr="000A71B4" w:rsidRDefault="00051511" w:rsidP="00051511">
      <w:pPr>
        <w:pStyle w:val="SubHeafingSMPC"/>
        <w:ind w:left="57"/>
      </w:pPr>
      <w:r w:rsidRPr="008F5678">
        <w:t xml:space="preserve">Shelf life </w:t>
      </w:r>
    </w:p>
    <w:p w14:paraId="45A81DC2" w14:textId="77777777" w:rsidR="00051511" w:rsidRPr="000A71B4" w:rsidRDefault="00051511" w:rsidP="00051511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5D8A795C" w14:textId="77777777" w:rsidR="00051511" w:rsidRPr="008F5678" w:rsidRDefault="00051511" w:rsidP="00051511">
      <w:pPr>
        <w:pStyle w:val="SubHeafingSMPC"/>
        <w:ind w:left="57"/>
      </w:pPr>
      <w:r w:rsidRPr="008F5678">
        <w:t xml:space="preserve">Special precautions for storage </w:t>
      </w:r>
    </w:p>
    <w:p w14:paraId="245EAF1E" w14:textId="77777777" w:rsidR="00051511" w:rsidRPr="000A71B4" w:rsidRDefault="00051511" w:rsidP="00051511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5F70CC91" w14:textId="77777777" w:rsidR="00051511" w:rsidRPr="008F5678" w:rsidRDefault="00051511" w:rsidP="00051511">
      <w:pPr>
        <w:pStyle w:val="SubHeafingSMPC"/>
        <w:ind w:left="57"/>
      </w:pPr>
      <w:r w:rsidRPr="008F5678">
        <w:t xml:space="preserve">Nature and contents of container </w:t>
      </w:r>
    </w:p>
    <w:p w14:paraId="0564B923" w14:textId="77777777" w:rsidR="00051511" w:rsidRPr="000A71B4" w:rsidRDefault="00051511" w:rsidP="00051511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041F1AC2" w14:textId="77777777" w:rsidR="00051511" w:rsidRPr="000A71B4" w:rsidRDefault="00051511" w:rsidP="00051511">
      <w:pPr>
        <w:pStyle w:val="SubHeafingSMPC"/>
        <w:ind w:left="57"/>
      </w:pPr>
      <w:r w:rsidRPr="008F5678">
        <w:t xml:space="preserve">Special precautions for disposal </w:t>
      </w:r>
    </w:p>
    <w:p w14:paraId="385229F1" w14:textId="77777777" w:rsidR="00051511" w:rsidRPr="000A71B4" w:rsidRDefault="00051511" w:rsidP="00051511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431FD57F" w14:textId="77777777" w:rsidR="00051511" w:rsidRDefault="00051511" w:rsidP="00051511">
      <w:pPr>
        <w:pStyle w:val="HEADING1SMPC"/>
      </w:pPr>
      <w:r w:rsidRPr="008F5678">
        <w:t xml:space="preserve">MARKETING AUTHORISATION HOLDER </w:t>
      </w:r>
    </w:p>
    <w:p w14:paraId="374E45E6" w14:textId="77777777" w:rsidR="00051511" w:rsidRPr="00D741D1" w:rsidRDefault="00051511" w:rsidP="00051511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50DC5D73" w14:textId="77777777" w:rsidR="00051511" w:rsidRDefault="00051511" w:rsidP="00051511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30F9D6E6" w14:textId="77777777" w:rsidR="00051511" w:rsidRPr="002270FF" w:rsidRDefault="00051511" w:rsidP="00051511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7BB61263" w14:textId="77777777" w:rsidR="00051511" w:rsidRDefault="00051511" w:rsidP="00051511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lastRenderedPageBreak/>
        <w:t xml:space="preserve">DATE OF FIRST AUTHORISATION/RENEWAL OF THE AUTHORISATION </w:t>
      </w:r>
    </w:p>
    <w:p w14:paraId="12EC6231" w14:textId="77777777" w:rsidR="00051511" w:rsidRPr="002270FF" w:rsidRDefault="00051511" w:rsidP="00051511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117FBFF4" w14:textId="77777777" w:rsidR="00051511" w:rsidRPr="008F5678" w:rsidRDefault="00051511" w:rsidP="00051511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6CF3B86C" w14:textId="77777777" w:rsidR="00051511" w:rsidRPr="002270FF" w:rsidRDefault="00051511" w:rsidP="0005151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5CF6FDB2" w14:textId="77777777" w:rsidR="00051511" w:rsidRPr="004E6B0A" w:rsidRDefault="00051511" w:rsidP="00051511">
      <w:pPr>
        <w:rPr>
          <w:rFonts w:ascii="Times New Roman" w:hAnsi="Times New Roman" w:cs="Times New Roman"/>
          <w:sz w:val="28"/>
          <w:szCs w:val="28"/>
        </w:rPr>
      </w:pPr>
    </w:p>
    <w:p w14:paraId="5AE8D994" w14:textId="77777777" w:rsidR="00CD0A94" w:rsidRDefault="00CD0A94"/>
    <w:sectPr w:rsidR="00CD0A94" w:rsidSect="00051511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07FE6" w14:textId="77777777" w:rsidR="00D9057C" w:rsidRDefault="00D9057C" w:rsidP="002D6EA0">
      <w:pPr>
        <w:spacing w:line="240" w:lineRule="auto"/>
      </w:pPr>
      <w:r>
        <w:separator/>
      </w:r>
    </w:p>
  </w:endnote>
  <w:endnote w:type="continuationSeparator" w:id="0">
    <w:p w14:paraId="05EA323B" w14:textId="77777777" w:rsidR="00D9057C" w:rsidRDefault="00D9057C" w:rsidP="002D6E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0A6F7640" w14:textId="77777777" w:rsidR="00B205A8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71182DE5" w14:textId="77777777" w:rsidR="00B205A8" w:rsidRDefault="00B205A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359E6372" w14:textId="77777777" w:rsidR="00B205A8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1859D519" w14:textId="16453BFD" w:rsidR="00B205A8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2D6EA0" w:rsidRPr="002D6EA0">
      <w:rPr>
        <w:rFonts w:ascii="Times New Roman" w:hAnsi="Times New Roman" w:cs="Times New Roman"/>
        <w:sz w:val="24"/>
        <w:szCs w:val="24"/>
      </w:rPr>
      <w:t>Ref: Isosorbide dinitrate, MHRA, date 29/09/2023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7F4E3" w14:textId="77777777" w:rsidR="00D9057C" w:rsidRDefault="00D9057C" w:rsidP="002D6EA0">
      <w:pPr>
        <w:spacing w:line="240" w:lineRule="auto"/>
      </w:pPr>
      <w:r>
        <w:separator/>
      </w:r>
    </w:p>
  </w:footnote>
  <w:footnote w:type="continuationSeparator" w:id="0">
    <w:p w14:paraId="0A9B880E" w14:textId="77777777" w:rsidR="00D9057C" w:rsidRDefault="00D9057C" w:rsidP="002D6E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533"/>
    <w:multiLevelType w:val="hybridMultilevel"/>
    <w:tmpl w:val="12E0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2820"/>
    <w:multiLevelType w:val="hybridMultilevel"/>
    <w:tmpl w:val="317EFBA2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E6E08"/>
    <w:multiLevelType w:val="hybridMultilevel"/>
    <w:tmpl w:val="E342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EC00B3"/>
    <w:multiLevelType w:val="hybridMultilevel"/>
    <w:tmpl w:val="F4F022B2"/>
    <w:lvl w:ilvl="0" w:tplc="86D4D366">
      <w:start w:val="1"/>
      <w:numFmt w:val="bullet"/>
      <w:lvlText w:val="-"/>
      <w:lvlJc w:val="left"/>
      <w:pPr>
        <w:ind w:left="1429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BA635F"/>
    <w:multiLevelType w:val="hybridMultilevel"/>
    <w:tmpl w:val="F3A4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C5D36"/>
    <w:multiLevelType w:val="hybridMultilevel"/>
    <w:tmpl w:val="6908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70076"/>
    <w:multiLevelType w:val="hybridMultilevel"/>
    <w:tmpl w:val="98767BF6"/>
    <w:lvl w:ilvl="0" w:tplc="86D4D366">
      <w:start w:val="1"/>
      <w:numFmt w:val="bullet"/>
      <w:lvlText w:val="-"/>
      <w:lvlJc w:val="left"/>
      <w:pPr>
        <w:ind w:left="1429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A87416"/>
    <w:multiLevelType w:val="hybridMultilevel"/>
    <w:tmpl w:val="6EF0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B697C"/>
    <w:multiLevelType w:val="hybridMultilevel"/>
    <w:tmpl w:val="7E42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25D0F"/>
    <w:multiLevelType w:val="hybridMultilevel"/>
    <w:tmpl w:val="A0021662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0300CF"/>
    <w:multiLevelType w:val="hybridMultilevel"/>
    <w:tmpl w:val="5B7863EE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8729891">
    <w:abstractNumId w:val="3"/>
  </w:num>
  <w:num w:numId="2" w16cid:durableId="1212378423">
    <w:abstractNumId w:val="6"/>
  </w:num>
  <w:num w:numId="3" w16cid:durableId="1270166827">
    <w:abstractNumId w:val="0"/>
  </w:num>
  <w:num w:numId="4" w16cid:durableId="1286501066">
    <w:abstractNumId w:val="2"/>
  </w:num>
  <w:num w:numId="5" w16cid:durableId="170949968">
    <w:abstractNumId w:val="8"/>
  </w:num>
  <w:num w:numId="6" w16cid:durableId="441799323">
    <w:abstractNumId w:val="9"/>
  </w:num>
  <w:num w:numId="7" w16cid:durableId="1639988568">
    <w:abstractNumId w:val="5"/>
  </w:num>
  <w:num w:numId="8" w16cid:durableId="1406299479">
    <w:abstractNumId w:val="11"/>
  </w:num>
  <w:num w:numId="9" w16cid:durableId="667908433">
    <w:abstractNumId w:val="10"/>
  </w:num>
  <w:num w:numId="10" w16cid:durableId="250626889">
    <w:abstractNumId w:val="4"/>
  </w:num>
  <w:num w:numId="11" w16cid:durableId="1769154289">
    <w:abstractNumId w:val="7"/>
  </w:num>
  <w:num w:numId="12" w16cid:durableId="1609583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11"/>
    <w:rsid w:val="00051511"/>
    <w:rsid w:val="002D014C"/>
    <w:rsid w:val="002D6EA0"/>
    <w:rsid w:val="00454EC5"/>
    <w:rsid w:val="00550BCB"/>
    <w:rsid w:val="00610BC8"/>
    <w:rsid w:val="0083274C"/>
    <w:rsid w:val="00920590"/>
    <w:rsid w:val="00957B20"/>
    <w:rsid w:val="009642F9"/>
    <w:rsid w:val="009B4CA0"/>
    <w:rsid w:val="009D7C74"/>
    <w:rsid w:val="009F5322"/>
    <w:rsid w:val="00A710F6"/>
    <w:rsid w:val="00B06764"/>
    <w:rsid w:val="00B205A8"/>
    <w:rsid w:val="00B268E1"/>
    <w:rsid w:val="00BE53EC"/>
    <w:rsid w:val="00CB0438"/>
    <w:rsid w:val="00CD0A94"/>
    <w:rsid w:val="00D807F6"/>
    <w:rsid w:val="00D9057C"/>
    <w:rsid w:val="00DF6515"/>
    <w:rsid w:val="00E0401D"/>
    <w:rsid w:val="00F5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FABB2"/>
  <w15:chartTrackingRefBased/>
  <w15:docId w15:val="{332E6021-6C32-4718-A837-6C8A9206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51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151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51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11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5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5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5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5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5151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5151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5151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515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51511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515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5151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515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515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1511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5151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51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5151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51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51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5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515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51511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051511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051511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051511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051511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051511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051511"/>
  </w:style>
  <w:style w:type="paragraph" w:styleId="ae">
    <w:name w:val="Body Text"/>
    <w:basedOn w:val="a"/>
    <w:link w:val="af2"/>
    <w:uiPriority w:val="99"/>
    <w:unhideWhenUsed/>
    <w:rsid w:val="00051511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051511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table" w:styleId="af3">
    <w:name w:val="Table Grid"/>
    <w:basedOn w:val="a1"/>
    <w:uiPriority w:val="39"/>
    <w:rsid w:val="00BE53E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2D6EA0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5">
    <w:name w:val="หัวกระดาษ อักขระ"/>
    <w:basedOn w:val="a0"/>
    <w:link w:val="af4"/>
    <w:uiPriority w:val="99"/>
    <w:rsid w:val="002D6EA0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2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2024-08-06T15:40:00Z</dcterms:created>
  <dcterms:modified xsi:type="dcterms:W3CDTF">2024-08-18T03:19:00Z</dcterms:modified>
</cp:coreProperties>
</file>