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85C4D" w14:textId="1FEC1B29" w:rsidR="003847D8" w:rsidRPr="003847D8" w:rsidRDefault="003847D8" w:rsidP="003847D8">
      <w:pPr>
        <w:spacing w:line="480" w:lineRule="auto"/>
        <w:jc w:val="center"/>
        <w:rPr>
          <w:rFonts w:ascii="Times New Roman" w:hAnsi="Times New Roman" w:cs="Times New Roman"/>
          <w:b/>
          <w:bCs/>
          <w:sz w:val="28"/>
          <w:szCs w:val="28"/>
        </w:rPr>
      </w:pPr>
      <w:r w:rsidRPr="003847D8">
        <w:rPr>
          <w:rFonts w:ascii="Times New Roman" w:hAnsi="Times New Roman" w:cs="Times New Roman"/>
          <w:b/>
          <w:bCs/>
          <w:sz w:val="28"/>
          <w:szCs w:val="28"/>
        </w:rPr>
        <w:t>SUMMARY OF PRODUCT CHARACTERISTICS</w:t>
      </w:r>
    </w:p>
    <w:p w14:paraId="63EF2B0F" w14:textId="77777777" w:rsidR="003847D8" w:rsidRDefault="003847D8" w:rsidP="003847D8">
      <w:pPr>
        <w:pStyle w:val="ListParagraph"/>
        <w:numPr>
          <w:ilvl w:val="0"/>
          <w:numId w:val="2"/>
        </w:numPr>
        <w:spacing w:after="240"/>
        <w:ind w:left="357" w:hanging="357"/>
        <w:contextualSpacing w:val="0"/>
        <w:rPr>
          <w:rFonts w:ascii="Times New Roman" w:hAnsi="Times New Roman" w:cs="Times New Roman"/>
          <w:b/>
          <w:bCs/>
          <w:sz w:val="28"/>
          <w:szCs w:val="28"/>
        </w:rPr>
      </w:pPr>
      <w:r w:rsidRPr="003847D8">
        <w:rPr>
          <w:rFonts w:ascii="Times New Roman" w:hAnsi="Times New Roman" w:cs="Times New Roman"/>
          <w:b/>
          <w:bCs/>
          <w:sz w:val="28"/>
          <w:szCs w:val="28"/>
        </w:rPr>
        <w:t xml:space="preserve">NAME OF THE MEDICINAL PRODUCT  </w:t>
      </w:r>
    </w:p>
    <w:p w14:paraId="4CEFA6A6" w14:textId="7DBA0217" w:rsidR="003847D8" w:rsidRPr="003847D8" w:rsidRDefault="003847D8" w:rsidP="003847D8">
      <w:pPr>
        <w:pStyle w:val="ListParagraph"/>
        <w:spacing w:before="240" w:after="240"/>
        <w:ind w:left="357"/>
        <w:contextualSpacing w:val="0"/>
        <w:rPr>
          <w:rFonts w:ascii="Times New Roman" w:hAnsi="Times New Roman" w:cs="Times New Roman"/>
          <w:b/>
          <w:bCs/>
          <w:sz w:val="28"/>
          <w:szCs w:val="28"/>
        </w:rPr>
      </w:pPr>
      <w:r w:rsidRPr="003847D8">
        <w:rPr>
          <w:rFonts w:ascii="Times New Roman" w:hAnsi="Times New Roman" w:cs="Times New Roman"/>
          <w:color w:val="FF0000"/>
          <w:sz w:val="28"/>
          <w:szCs w:val="28"/>
        </w:rPr>
        <w:t xml:space="preserve">&lt;Trade Name&gt;  &lt;Strength&gt;  </w:t>
      </w:r>
      <w:r w:rsidRPr="003847D8">
        <w:rPr>
          <w:rFonts w:ascii="Times New Roman" w:hAnsi="Times New Roman" w:cs="Times New Roman"/>
          <w:sz w:val="28"/>
          <w:szCs w:val="28"/>
        </w:rPr>
        <w:t xml:space="preserve">Tablets  </w:t>
      </w:r>
    </w:p>
    <w:p w14:paraId="3C0D3137" w14:textId="77777777" w:rsidR="003847D8" w:rsidRDefault="003847D8" w:rsidP="003847D8">
      <w:pPr>
        <w:pStyle w:val="ListParagraph"/>
        <w:numPr>
          <w:ilvl w:val="0"/>
          <w:numId w:val="2"/>
        </w:numPr>
        <w:spacing w:after="240"/>
        <w:ind w:left="357" w:hanging="357"/>
        <w:contextualSpacing w:val="0"/>
        <w:rPr>
          <w:rFonts w:ascii="Times New Roman" w:hAnsi="Times New Roman" w:cs="Times New Roman"/>
          <w:b/>
          <w:bCs/>
          <w:sz w:val="28"/>
          <w:szCs w:val="28"/>
        </w:rPr>
      </w:pPr>
      <w:r w:rsidRPr="003847D8">
        <w:rPr>
          <w:rFonts w:ascii="Times New Roman" w:hAnsi="Times New Roman" w:cs="Times New Roman"/>
          <w:b/>
          <w:bCs/>
          <w:sz w:val="28"/>
          <w:szCs w:val="28"/>
        </w:rPr>
        <w:t xml:space="preserve">QUALITATIVE AND QUANTITATIVE COMPOSITION  </w:t>
      </w:r>
    </w:p>
    <w:p w14:paraId="7CD89BB8" w14:textId="77777777" w:rsidR="003847D8" w:rsidRDefault="003847D8" w:rsidP="003847D8">
      <w:pPr>
        <w:pStyle w:val="ListParagraph"/>
        <w:spacing w:line="360" w:lineRule="auto"/>
        <w:ind w:left="360"/>
        <w:rPr>
          <w:rFonts w:ascii="Times New Roman" w:hAnsi="Times New Roman" w:cs="Times New Roman"/>
          <w:sz w:val="28"/>
          <w:szCs w:val="28"/>
        </w:rPr>
      </w:pPr>
      <w:r w:rsidRPr="003847D8">
        <w:rPr>
          <w:rFonts w:ascii="Times New Roman" w:hAnsi="Times New Roman" w:cs="Times New Roman"/>
          <w:sz w:val="28"/>
          <w:szCs w:val="28"/>
        </w:rPr>
        <w:t xml:space="preserve">One tablet contains </w:t>
      </w:r>
      <w:r w:rsidRPr="003847D8">
        <w:rPr>
          <w:rFonts w:ascii="Times New Roman" w:hAnsi="Times New Roman" w:cs="Times New Roman"/>
          <w:color w:val="FF0000"/>
          <w:sz w:val="28"/>
          <w:szCs w:val="28"/>
        </w:rPr>
        <w:t xml:space="preserve">&lt;Strength&gt;  </w:t>
      </w:r>
      <w:r w:rsidRPr="003847D8">
        <w:rPr>
          <w:rFonts w:ascii="Times New Roman" w:hAnsi="Times New Roman" w:cs="Times New Roman"/>
          <w:sz w:val="28"/>
          <w:szCs w:val="28"/>
        </w:rPr>
        <w:t xml:space="preserve">clarithromycin.  </w:t>
      </w:r>
    </w:p>
    <w:p w14:paraId="2AC9A143" w14:textId="77777777" w:rsidR="003847D8" w:rsidRDefault="003847D8" w:rsidP="003847D8">
      <w:pPr>
        <w:pStyle w:val="ListParagraph"/>
        <w:spacing w:line="360" w:lineRule="auto"/>
        <w:ind w:left="360"/>
        <w:rPr>
          <w:rFonts w:ascii="Times New Roman" w:hAnsi="Times New Roman" w:cs="Times New Roman"/>
          <w:sz w:val="28"/>
          <w:szCs w:val="28"/>
        </w:rPr>
      </w:pPr>
      <w:r w:rsidRPr="003847D8">
        <w:rPr>
          <w:rFonts w:ascii="Times New Roman" w:hAnsi="Times New Roman" w:cs="Times New Roman"/>
          <w:sz w:val="28"/>
          <w:szCs w:val="28"/>
        </w:rPr>
        <w:t xml:space="preserve">Excipient with known effect: sodium 6.1 mg per tablet  </w:t>
      </w:r>
    </w:p>
    <w:p w14:paraId="34CA446B" w14:textId="77777777" w:rsidR="003847D8" w:rsidRDefault="003847D8" w:rsidP="003847D8">
      <w:pPr>
        <w:pStyle w:val="ListParagraph"/>
        <w:spacing w:line="360" w:lineRule="auto"/>
        <w:ind w:left="360"/>
        <w:rPr>
          <w:rFonts w:ascii="Times New Roman" w:hAnsi="Times New Roman" w:cs="Times New Roman"/>
          <w:color w:val="FF0000"/>
          <w:sz w:val="28"/>
          <w:szCs w:val="28"/>
        </w:rPr>
      </w:pPr>
      <w:r w:rsidRPr="003847D8">
        <w:rPr>
          <w:rFonts w:ascii="Times New Roman" w:hAnsi="Times New Roman" w:cs="Times New Roman"/>
          <w:color w:val="FF0000"/>
          <w:sz w:val="28"/>
          <w:szCs w:val="28"/>
        </w:rPr>
        <w:t xml:space="preserve">&lt;Regarding the approval&gt; </w:t>
      </w:r>
    </w:p>
    <w:p w14:paraId="779C2C6D" w14:textId="76447522" w:rsidR="003847D8" w:rsidRPr="003847D8" w:rsidRDefault="003847D8" w:rsidP="003847D8">
      <w:pPr>
        <w:pStyle w:val="ListParagraph"/>
        <w:spacing w:after="240" w:line="360" w:lineRule="auto"/>
        <w:ind w:left="357"/>
        <w:contextualSpacing w:val="0"/>
        <w:rPr>
          <w:rFonts w:ascii="Times New Roman" w:hAnsi="Times New Roman" w:cs="Times New Roman"/>
          <w:b/>
          <w:bCs/>
          <w:sz w:val="28"/>
          <w:szCs w:val="28"/>
        </w:rPr>
      </w:pPr>
      <w:r w:rsidRPr="003847D8">
        <w:rPr>
          <w:rFonts w:ascii="Times New Roman" w:hAnsi="Times New Roman" w:cs="Times New Roman"/>
          <w:sz w:val="28"/>
          <w:szCs w:val="28"/>
        </w:rPr>
        <w:t xml:space="preserve">For a full list of excipients, see section 6.1.  </w:t>
      </w:r>
    </w:p>
    <w:p w14:paraId="4D2AEA83" w14:textId="77777777" w:rsidR="003847D8" w:rsidRDefault="003847D8" w:rsidP="003847D8">
      <w:pPr>
        <w:pStyle w:val="ListParagraph"/>
        <w:numPr>
          <w:ilvl w:val="0"/>
          <w:numId w:val="2"/>
        </w:numPr>
        <w:spacing w:after="240"/>
        <w:ind w:left="357" w:hanging="357"/>
        <w:contextualSpacing w:val="0"/>
        <w:rPr>
          <w:rFonts w:ascii="Times New Roman" w:hAnsi="Times New Roman" w:cs="Times New Roman"/>
          <w:b/>
          <w:bCs/>
          <w:sz w:val="28"/>
          <w:szCs w:val="28"/>
        </w:rPr>
      </w:pPr>
      <w:r w:rsidRPr="003847D8">
        <w:rPr>
          <w:rFonts w:ascii="Times New Roman" w:hAnsi="Times New Roman" w:cs="Times New Roman"/>
          <w:b/>
          <w:bCs/>
          <w:sz w:val="28"/>
          <w:szCs w:val="28"/>
        </w:rPr>
        <w:t xml:space="preserve">PHARMACEUTICAL FORM  </w:t>
      </w:r>
    </w:p>
    <w:p w14:paraId="104B758A" w14:textId="77777777" w:rsidR="003847D8" w:rsidRDefault="003847D8" w:rsidP="003847D8">
      <w:pPr>
        <w:pStyle w:val="ListParagraph"/>
        <w:spacing w:line="360" w:lineRule="auto"/>
        <w:ind w:left="360"/>
        <w:rPr>
          <w:rFonts w:ascii="Times New Roman" w:hAnsi="Times New Roman" w:cs="Times New Roman"/>
          <w:sz w:val="28"/>
          <w:szCs w:val="28"/>
        </w:rPr>
      </w:pPr>
      <w:r w:rsidRPr="003847D8">
        <w:rPr>
          <w:rFonts w:ascii="Times New Roman" w:hAnsi="Times New Roman" w:cs="Times New Roman"/>
          <w:sz w:val="28"/>
          <w:szCs w:val="28"/>
        </w:rPr>
        <w:t>F</w:t>
      </w:r>
      <w:r w:rsidRPr="003847D8">
        <w:rPr>
          <w:rFonts w:ascii="Times New Roman" w:hAnsi="Times New Roman" w:cs="Times New Roman"/>
          <w:sz w:val="28"/>
          <w:szCs w:val="28"/>
        </w:rPr>
        <w:t xml:space="preserve">ilm-coated tablet containing 500 mg of clarithromycin </w:t>
      </w:r>
    </w:p>
    <w:p w14:paraId="70EEA5A5" w14:textId="55754E58" w:rsidR="003847D8" w:rsidRPr="003847D8" w:rsidRDefault="003847D8" w:rsidP="003847D8">
      <w:pPr>
        <w:pStyle w:val="ListParagraph"/>
        <w:spacing w:after="240" w:line="360" w:lineRule="auto"/>
        <w:ind w:left="357"/>
        <w:contextualSpacing w:val="0"/>
        <w:rPr>
          <w:rFonts w:ascii="Times New Roman" w:hAnsi="Times New Roman" w:cs="Times New Roman"/>
          <w:b/>
          <w:bCs/>
          <w:color w:val="FF0000"/>
          <w:sz w:val="28"/>
          <w:szCs w:val="28"/>
        </w:rPr>
      </w:pPr>
      <w:r w:rsidRPr="003847D8">
        <w:rPr>
          <w:rFonts w:ascii="Times New Roman" w:hAnsi="Times New Roman" w:cs="Times New Roman"/>
          <w:color w:val="FF0000"/>
          <w:sz w:val="28"/>
          <w:szCs w:val="28"/>
        </w:rPr>
        <w:t xml:space="preserve">&lt;Regarding the approval&gt; </w:t>
      </w:r>
    </w:p>
    <w:p w14:paraId="040FA20F" w14:textId="77777777" w:rsidR="003847D8" w:rsidRDefault="003847D8" w:rsidP="003847D8">
      <w:pPr>
        <w:pStyle w:val="ListParagraph"/>
        <w:numPr>
          <w:ilvl w:val="0"/>
          <w:numId w:val="2"/>
        </w:numPr>
        <w:spacing w:line="480" w:lineRule="auto"/>
        <w:rPr>
          <w:rFonts w:ascii="Times New Roman" w:hAnsi="Times New Roman" w:cs="Times New Roman"/>
          <w:b/>
          <w:bCs/>
          <w:sz w:val="28"/>
          <w:szCs w:val="28"/>
        </w:rPr>
      </w:pPr>
      <w:r w:rsidRPr="003847D8">
        <w:rPr>
          <w:rFonts w:ascii="Times New Roman" w:hAnsi="Times New Roman" w:cs="Times New Roman"/>
          <w:b/>
          <w:bCs/>
          <w:sz w:val="28"/>
          <w:szCs w:val="28"/>
        </w:rPr>
        <w:t xml:space="preserve">CLINICAL PARTICULARS  </w:t>
      </w:r>
    </w:p>
    <w:p w14:paraId="49D2BC13" w14:textId="77777777" w:rsidR="003847D8" w:rsidRDefault="003847D8" w:rsidP="003847D8">
      <w:pPr>
        <w:pStyle w:val="ListParagraph"/>
        <w:numPr>
          <w:ilvl w:val="1"/>
          <w:numId w:val="2"/>
        </w:numPr>
        <w:spacing w:after="0" w:line="480" w:lineRule="auto"/>
        <w:ind w:left="788" w:hanging="431"/>
        <w:contextualSpacing w:val="0"/>
        <w:rPr>
          <w:rFonts w:ascii="Times New Roman" w:hAnsi="Times New Roman" w:cs="Times New Roman"/>
          <w:b/>
          <w:bCs/>
          <w:sz w:val="28"/>
          <w:szCs w:val="28"/>
        </w:rPr>
      </w:pPr>
      <w:r w:rsidRPr="003847D8">
        <w:rPr>
          <w:rFonts w:ascii="Times New Roman" w:hAnsi="Times New Roman" w:cs="Times New Roman"/>
          <w:b/>
          <w:bCs/>
          <w:sz w:val="28"/>
          <w:szCs w:val="28"/>
        </w:rPr>
        <w:t xml:space="preserve">Therapeutic indications  </w:t>
      </w:r>
    </w:p>
    <w:p w14:paraId="6B184517"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Consideration should be given to official guidance on the appropriate use of antibacterial agents.  </w:t>
      </w:r>
    </w:p>
    <w:p w14:paraId="44ED94C1" w14:textId="7B2388D3"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Clarithromycin </w:t>
      </w:r>
      <w:r w:rsidRPr="003847D8">
        <w:rPr>
          <w:rFonts w:ascii="Times New Roman" w:hAnsi="Times New Roman" w:cs="Times New Roman"/>
          <w:color w:val="FF0000"/>
          <w:sz w:val="28"/>
          <w:szCs w:val="28"/>
        </w:rPr>
        <w:t xml:space="preserve">&lt;Strength&gt; </w:t>
      </w:r>
      <w:r w:rsidRPr="003847D8">
        <w:rPr>
          <w:rFonts w:ascii="Times New Roman" w:hAnsi="Times New Roman" w:cs="Times New Roman"/>
          <w:sz w:val="28"/>
          <w:szCs w:val="28"/>
        </w:rPr>
        <w:t xml:space="preserve">Tablets are indicated in adults and children 12 years and older.  </w:t>
      </w:r>
    </w:p>
    <w:p w14:paraId="584F1E01" w14:textId="77777777" w:rsidR="003847D8" w:rsidRDefault="003847D8" w:rsidP="003847D8">
      <w:pPr>
        <w:pStyle w:val="ListParagraph"/>
        <w:spacing w:line="360" w:lineRule="auto"/>
        <w:ind w:left="792"/>
        <w:jc w:val="thaiDistribute"/>
        <w:rPr>
          <w:rFonts w:ascii="Times New Roman" w:hAnsi="Times New Roman" w:cs="Times New Roman"/>
          <w:sz w:val="28"/>
          <w:szCs w:val="28"/>
        </w:rPr>
      </w:pPr>
      <w:r w:rsidRPr="003847D8">
        <w:rPr>
          <w:rFonts w:ascii="Times New Roman" w:hAnsi="Times New Roman" w:cs="Times New Roman"/>
          <w:sz w:val="28"/>
          <w:szCs w:val="28"/>
        </w:rPr>
        <w:t xml:space="preserve">Clarithromycin is indicated for treatment of infections caused by susceptible organisms.  Indications include:  </w:t>
      </w:r>
    </w:p>
    <w:p w14:paraId="795C63FC" w14:textId="77777777" w:rsidR="003847D8" w:rsidRPr="003847D8" w:rsidRDefault="003847D8" w:rsidP="003847D8">
      <w:pPr>
        <w:pStyle w:val="ListParagraph"/>
        <w:numPr>
          <w:ilvl w:val="0"/>
          <w:numId w:val="3"/>
        </w:numPr>
        <w:spacing w:line="360" w:lineRule="auto"/>
        <w:jc w:val="thaiDistribute"/>
        <w:rPr>
          <w:rFonts w:ascii="Times New Roman" w:hAnsi="Times New Roman" w:cs="Times New Roman"/>
          <w:b/>
          <w:bCs/>
          <w:sz w:val="28"/>
          <w:szCs w:val="28"/>
        </w:rPr>
      </w:pPr>
      <w:r w:rsidRPr="003847D8">
        <w:rPr>
          <w:rFonts w:ascii="Times New Roman" w:hAnsi="Times New Roman" w:cs="Times New Roman"/>
          <w:sz w:val="28"/>
          <w:szCs w:val="28"/>
        </w:rPr>
        <w:lastRenderedPageBreak/>
        <w:t xml:space="preserve">Lower respiratory tract infections for example, acute and chronic bronchitis, and pneumonia (see section 4.4 and 5.1 regarding Sensitivity Testing).  </w:t>
      </w:r>
    </w:p>
    <w:p w14:paraId="061DF32C" w14:textId="77777777" w:rsidR="003847D8" w:rsidRPr="003847D8" w:rsidRDefault="003847D8" w:rsidP="003847D8">
      <w:pPr>
        <w:pStyle w:val="ListParagraph"/>
        <w:numPr>
          <w:ilvl w:val="0"/>
          <w:numId w:val="3"/>
        </w:numPr>
        <w:spacing w:after="240" w:line="360" w:lineRule="auto"/>
        <w:ind w:left="1508" w:hanging="357"/>
        <w:contextualSpacing w:val="0"/>
        <w:jc w:val="thaiDistribute"/>
        <w:rPr>
          <w:rFonts w:ascii="Times New Roman" w:hAnsi="Times New Roman" w:cs="Times New Roman"/>
          <w:b/>
          <w:bCs/>
          <w:sz w:val="28"/>
          <w:szCs w:val="28"/>
        </w:rPr>
      </w:pPr>
      <w:r w:rsidRPr="003847D8">
        <w:rPr>
          <w:rFonts w:ascii="Times New Roman" w:hAnsi="Times New Roman" w:cs="Times New Roman"/>
          <w:sz w:val="28"/>
          <w:szCs w:val="28"/>
        </w:rPr>
        <w:t xml:space="preserve">Upper respiratory tract infections for example, sinusitis and pharyngitis.  </w:t>
      </w:r>
    </w:p>
    <w:p w14:paraId="299C1F27" w14:textId="77777777" w:rsidR="003847D8" w:rsidRDefault="003847D8" w:rsidP="003847D8">
      <w:pPr>
        <w:spacing w:after="240" w:line="360" w:lineRule="auto"/>
        <w:ind w:left="720"/>
        <w:jc w:val="thaiDistribute"/>
        <w:rPr>
          <w:rFonts w:ascii="Times New Roman" w:hAnsi="Times New Roman" w:cs="Times New Roman"/>
          <w:sz w:val="28"/>
          <w:szCs w:val="28"/>
        </w:rPr>
      </w:pPr>
      <w:r w:rsidRPr="003847D8">
        <w:rPr>
          <w:rFonts w:ascii="Times New Roman" w:hAnsi="Times New Roman" w:cs="Times New Roman"/>
          <w:sz w:val="28"/>
          <w:szCs w:val="28"/>
        </w:rPr>
        <w:t xml:space="preserve">Clarithromycin is appropriate for initial therapy in community acquired respiratory infections and has been shown to be active in vitro against common and atypical respiratory pathogens as listed in the microbiology section. </w:t>
      </w:r>
    </w:p>
    <w:p w14:paraId="789EE25B" w14:textId="77777777" w:rsidR="003847D8" w:rsidRDefault="003847D8" w:rsidP="003847D8">
      <w:pPr>
        <w:spacing w:after="240" w:line="360" w:lineRule="auto"/>
        <w:ind w:left="720"/>
        <w:jc w:val="thaiDistribute"/>
        <w:rPr>
          <w:rFonts w:ascii="Times New Roman" w:hAnsi="Times New Roman" w:cs="Times New Roman"/>
          <w:b/>
          <w:bCs/>
          <w:sz w:val="28"/>
          <w:szCs w:val="28"/>
        </w:rPr>
      </w:pPr>
      <w:r w:rsidRPr="003847D8">
        <w:rPr>
          <w:rFonts w:ascii="Times New Roman" w:hAnsi="Times New Roman" w:cs="Times New Roman"/>
          <w:sz w:val="28"/>
          <w:szCs w:val="28"/>
        </w:rPr>
        <w:t xml:space="preserve">Clarithromycin is also indicated in skin and soft tissue infections of mild to moderate severity (e.g. folliculitis, cellulitis, erysipelas) (see section 4.4 and 5.1 regarding Sensitivity Testing).  </w:t>
      </w:r>
    </w:p>
    <w:p w14:paraId="70B446D8" w14:textId="77777777" w:rsidR="003847D8" w:rsidRDefault="003847D8" w:rsidP="003847D8">
      <w:pPr>
        <w:spacing w:after="240" w:line="360" w:lineRule="auto"/>
        <w:ind w:left="720"/>
        <w:jc w:val="thaiDistribute"/>
        <w:rPr>
          <w:rFonts w:ascii="Times New Roman" w:hAnsi="Times New Roman" w:cs="Times New Roman"/>
          <w:b/>
          <w:bCs/>
          <w:sz w:val="28"/>
          <w:szCs w:val="28"/>
        </w:rPr>
      </w:pPr>
      <w:r w:rsidRPr="003847D8">
        <w:rPr>
          <w:rFonts w:ascii="Times New Roman" w:hAnsi="Times New Roman" w:cs="Times New Roman"/>
          <w:sz w:val="28"/>
          <w:szCs w:val="28"/>
        </w:rPr>
        <w:t xml:space="preserve">Clarithromycin in the presence of acid suppression effected by omeprazole or lansoprazole is also indicated for the eradication of H. pylori in patients with duodenal ulcers.  See Dosage and Administration section.  </w:t>
      </w:r>
    </w:p>
    <w:p w14:paraId="6576A350" w14:textId="30431A5F" w:rsidR="003847D8" w:rsidRPr="003847D8" w:rsidRDefault="003847D8" w:rsidP="003847D8">
      <w:pPr>
        <w:spacing w:after="240" w:line="360" w:lineRule="auto"/>
        <w:ind w:left="720"/>
        <w:jc w:val="thaiDistribute"/>
        <w:rPr>
          <w:rFonts w:ascii="Times New Roman" w:hAnsi="Times New Roman" w:cs="Times New Roman"/>
          <w:b/>
          <w:bCs/>
          <w:sz w:val="28"/>
          <w:szCs w:val="28"/>
        </w:rPr>
      </w:pPr>
      <w:r w:rsidRPr="003847D8">
        <w:rPr>
          <w:rFonts w:ascii="Times New Roman" w:hAnsi="Times New Roman" w:cs="Times New Roman"/>
          <w:sz w:val="28"/>
          <w:szCs w:val="28"/>
        </w:rPr>
        <w:t xml:space="preserve">Clarithromycin is usually active against the following organisms in vitro:  </w:t>
      </w:r>
    </w:p>
    <w:p w14:paraId="039B0462" w14:textId="10C07955" w:rsidR="003847D8" w:rsidRPr="003847D8" w:rsidRDefault="003847D8" w:rsidP="003847D8">
      <w:pPr>
        <w:pStyle w:val="ListParagraph"/>
        <w:numPr>
          <w:ilvl w:val="0"/>
          <w:numId w:val="4"/>
        </w:numPr>
        <w:spacing w:line="360" w:lineRule="auto"/>
        <w:ind w:left="1080"/>
        <w:jc w:val="thaiDistribute"/>
        <w:rPr>
          <w:rFonts w:ascii="Times New Roman" w:hAnsi="Times New Roman" w:cs="Times New Roman"/>
          <w:sz w:val="28"/>
          <w:szCs w:val="28"/>
        </w:rPr>
      </w:pPr>
      <w:r w:rsidRPr="003847D8">
        <w:rPr>
          <w:rFonts w:ascii="Times New Roman" w:hAnsi="Times New Roman" w:cs="Times New Roman"/>
          <w:sz w:val="28"/>
          <w:szCs w:val="28"/>
        </w:rPr>
        <w:t xml:space="preserve">Gram-positive Bacteria:   Staphylococcus aureus (methicillin susceptible); Streptococcus pyogenes (Group A beta-haemolytic streptococci); alphahaemolytic streptococci (viridans group); Streptococcus (Diplococcus) pneumoniae; Streptococcus agalactiae; Listeria monocytogenes.  </w:t>
      </w:r>
    </w:p>
    <w:p w14:paraId="46DAB1E3" w14:textId="0C8422ED" w:rsidR="003847D8" w:rsidRPr="003847D8" w:rsidRDefault="003847D8" w:rsidP="003847D8">
      <w:pPr>
        <w:pStyle w:val="ListParagraph"/>
        <w:numPr>
          <w:ilvl w:val="0"/>
          <w:numId w:val="4"/>
        </w:numPr>
        <w:spacing w:line="360" w:lineRule="auto"/>
        <w:ind w:left="1080"/>
        <w:jc w:val="thaiDistribute"/>
        <w:rPr>
          <w:rFonts w:ascii="Times New Roman" w:hAnsi="Times New Roman" w:cs="Times New Roman"/>
          <w:sz w:val="28"/>
          <w:szCs w:val="28"/>
        </w:rPr>
      </w:pPr>
      <w:r w:rsidRPr="003847D8">
        <w:rPr>
          <w:rFonts w:ascii="Times New Roman" w:hAnsi="Times New Roman" w:cs="Times New Roman"/>
          <w:sz w:val="28"/>
          <w:szCs w:val="28"/>
        </w:rPr>
        <w:lastRenderedPageBreak/>
        <w:t xml:space="preserve">Gram-negative Bacteria:  Haemophilus influenzae; Haemophilus parainfluenzae; Moraxella (Branhamella) catarrhalis; Neisseria gonorrhoeae; Legionella pneumophila; Bordetella pertussis; Helicobacter pylori; Campylobacter jejuni.  </w:t>
      </w:r>
    </w:p>
    <w:p w14:paraId="150DA5AB" w14:textId="6E29726E" w:rsidR="003847D8" w:rsidRPr="003847D8" w:rsidRDefault="003847D8" w:rsidP="003847D8">
      <w:pPr>
        <w:pStyle w:val="ListParagraph"/>
        <w:numPr>
          <w:ilvl w:val="0"/>
          <w:numId w:val="4"/>
        </w:numPr>
        <w:spacing w:line="360" w:lineRule="auto"/>
        <w:ind w:left="1080"/>
        <w:jc w:val="thaiDistribute"/>
        <w:rPr>
          <w:rFonts w:ascii="Times New Roman" w:hAnsi="Times New Roman" w:cs="Times New Roman"/>
          <w:sz w:val="28"/>
          <w:szCs w:val="28"/>
        </w:rPr>
      </w:pPr>
      <w:r w:rsidRPr="003847D8">
        <w:rPr>
          <w:rFonts w:ascii="Times New Roman" w:hAnsi="Times New Roman" w:cs="Times New Roman"/>
          <w:sz w:val="28"/>
          <w:szCs w:val="28"/>
        </w:rPr>
        <w:t xml:space="preserve">Mycoplasma:  Mycoplasma pneumoniae; Ureaplasma urealyticum.  </w:t>
      </w:r>
    </w:p>
    <w:p w14:paraId="5D14BCD3" w14:textId="702B68A6" w:rsidR="003847D8" w:rsidRPr="003847D8" w:rsidRDefault="003847D8" w:rsidP="003847D8">
      <w:pPr>
        <w:pStyle w:val="ListParagraph"/>
        <w:numPr>
          <w:ilvl w:val="0"/>
          <w:numId w:val="4"/>
        </w:numPr>
        <w:spacing w:line="360" w:lineRule="auto"/>
        <w:ind w:left="1080"/>
        <w:jc w:val="thaiDistribute"/>
        <w:rPr>
          <w:rFonts w:ascii="Times New Roman" w:hAnsi="Times New Roman" w:cs="Times New Roman"/>
          <w:sz w:val="28"/>
          <w:szCs w:val="28"/>
        </w:rPr>
      </w:pPr>
      <w:r w:rsidRPr="003847D8">
        <w:rPr>
          <w:rFonts w:ascii="Times New Roman" w:hAnsi="Times New Roman" w:cs="Times New Roman"/>
          <w:sz w:val="28"/>
          <w:szCs w:val="28"/>
        </w:rPr>
        <w:t xml:space="preserve">Other Organisms:  Chlamydia trachomatis; Mycobacterium avium; Mycobacterium leprae.  </w:t>
      </w:r>
    </w:p>
    <w:p w14:paraId="3BCEEB96" w14:textId="6E4A99B6" w:rsidR="003847D8" w:rsidRPr="003847D8" w:rsidRDefault="003847D8" w:rsidP="003847D8">
      <w:pPr>
        <w:pStyle w:val="ListParagraph"/>
        <w:numPr>
          <w:ilvl w:val="0"/>
          <w:numId w:val="4"/>
        </w:numPr>
        <w:spacing w:after="240" w:line="360" w:lineRule="auto"/>
        <w:ind w:left="1077" w:hanging="357"/>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Anaerobes:  Macrolide-susceptible Bacteroides fragilis; Clostridium perfringens; Peptococcus species; Peptostreptococcus species; Propionibacterium acnes.  </w:t>
      </w:r>
    </w:p>
    <w:p w14:paraId="1C057416" w14:textId="77777777" w:rsidR="003847D8" w:rsidRDefault="003847D8" w:rsidP="003847D8">
      <w:pPr>
        <w:spacing w:line="360" w:lineRule="auto"/>
        <w:ind w:left="720"/>
        <w:jc w:val="thaiDistribute"/>
        <w:rPr>
          <w:rFonts w:ascii="Times New Roman" w:hAnsi="Times New Roman" w:cs="Times New Roman"/>
          <w:sz w:val="28"/>
          <w:szCs w:val="28"/>
        </w:rPr>
      </w:pPr>
      <w:r w:rsidRPr="003847D8">
        <w:rPr>
          <w:rFonts w:ascii="Times New Roman" w:hAnsi="Times New Roman" w:cs="Times New Roman"/>
          <w:sz w:val="28"/>
          <w:szCs w:val="28"/>
        </w:rPr>
        <w:t xml:space="preserve">Clarithromycin has bactericidal activity against several bacterial strains.  The organisms include Haemophilus influenzae; Streptococcus pneumoniae; Streptococcus pyogenes; Streptococcus agalactiae; Moraxella (Branhamella) catarrhalis; Neisseria gonorrhoeae; H. pylori and Campylobacter spp.  </w:t>
      </w:r>
    </w:p>
    <w:p w14:paraId="20A608A6" w14:textId="1C2E3F2C" w:rsidR="003847D8" w:rsidRDefault="003847D8" w:rsidP="003847D8">
      <w:pPr>
        <w:spacing w:line="360" w:lineRule="auto"/>
        <w:ind w:left="720"/>
        <w:jc w:val="thaiDistribute"/>
        <w:rPr>
          <w:rFonts w:ascii="Times New Roman" w:hAnsi="Times New Roman" w:cs="Times New Roman"/>
          <w:sz w:val="28"/>
          <w:szCs w:val="28"/>
        </w:rPr>
      </w:pPr>
      <w:r w:rsidRPr="003847D8">
        <w:rPr>
          <w:rFonts w:ascii="Times New Roman" w:hAnsi="Times New Roman" w:cs="Times New Roman"/>
          <w:sz w:val="28"/>
          <w:szCs w:val="28"/>
        </w:rPr>
        <w:t xml:space="preserve">The activity of clarithromycin against H. pylori is greater at neutral pH than at acid pH.  </w:t>
      </w:r>
    </w:p>
    <w:p w14:paraId="15E4168B" w14:textId="77777777" w:rsidR="003847D8" w:rsidRDefault="003847D8" w:rsidP="003847D8">
      <w:pPr>
        <w:pStyle w:val="ListParagraph"/>
        <w:numPr>
          <w:ilvl w:val="1"/>
          <w:numId w:val="2"/>
        </w:numPr>
        <w:spacing w:after="240"/>
        <w:ind w:left="788" w:hanging="431"/>
        <w:contextualSpacing w:val="0"/>
        <w:rPr>
          <w:rFonts w:ascii="Times New Roman" w:hAnsi="Times New Roman" w:cs="Times New Roman"/>
          <w:b/>
          <w:bCs/>
          <w:sz w:val="28"/>
          <w:szCs w:val="28"/>
        </w:rPr>
      </w:pPr>
      <w:r w:rsidRPr="003847D8">
        <w:rPr>
          <w:rFonts w:ascii="Times New Roman" w:hAnsi="Times New Roman" w:cs="Times New Roman"/>
          <w:b/>
          <w:bCs/>
          <w:sz w:val="28"/>
          <w:szCs w:val="28"/>
        </w:rPr>
        <w:t xml:space="preserve">Posology and method of administration  </w:t>
      </w:r>
    </w:p>
    <w:p w14:paraId="193D9336" w14:textId="77777777" w:rsidR="003847D8" w:rsidRDefault="003847D8" w:rsidP="003847D8">
      <w:pPr>
        <w:pStyle w:val="ListParagraph"/>
        <w:spacing w:after="240"/>
        <w:ind w:left="794"/>
        <w:contextualSpacing w:val="0"/>
        <w:rPr>
          <w:rFonts w:ascii="Times New Roman" w:hAnsi="Times New Roman" w:cs="Times New Roman"/>
          <w:sz w:val="28"/>
          <w:szCs w:val="28"/>
        </w:rPr>
      </w:pPr>
      <w:r w:rsidRPr="003847D8">
        <w:rPr>
          <w:rFonts w:ascii="Times New Roman" w:hAnsi="Times New Roman" w:cs="Times New Roman"/>
          <w:sz w:val="28"/>
          <w:szCs w:val="28"/>
        </w:rPr>
        <w:t xml:space="preserve">Patients with respiratory tract/skin and soft tissue infections.  </w:t>
      </w:r>
    </w:p>
    <w:p w14:paraId="582011C9" w14:textId="77777777" w:rsidR="003847D8" w:rsidRDefault="003847D8">
      <w:pPr>
        <w:rPr>
          <w:rFonts w:ascii="Times New Roman" w:hAnsi="Times New Roman" w:cs="Times New Roman"/>
          <w:sz w:val="28"/>
          <w:szCs w:val="28"/>
          <w:u w:val="single"/>
        </w:rPr>
      </w:pPr>
      <w:r>
        <w:rPr>
          <w:rFonts w:ascii="Times New Roman" w:hAnsi="Times New Roman" w:cs="Times New Roman"/>
          <w:sz w:val="28"/>
          <w:szCs w:val="28"/>
          <w:u w:val="single"/>
        </w:rPr>
        <w:br w:type="page"/>
      </w:r>
    </w:p>
    <w:p w14:paraId="74136157" w14:textId="5EEA287C" w:rsidR="003847D8" w:rsidRPr="003847D8" w:rsidRDefault="003847D8" w:rsidP="003847D8">
      <w:pPr>
        <w:pStyle w:val="ListParagraph"/>
        <w:spacing w:after="240"/>
        <w:ind w:left="794"/>
        <w:contextualSpacing w:val="0"/>
        <w:rPr>
          <w:rFonts w:ascii="Times New Roman" w:hAnsi="Times New Roman" w:cs="Times New Roman"/>
          <w:sz w:val="28"/>
          <w:szCs w:val="28"/>
          <w:u w:val="single"/>
        </w:rPr>
      </w:pPr>
      <w:r w:rsidRPr="003847D8">
        <w:rPr>
          <w:rFonts w:ascii="Times New Roman" w:hAnsi="Times New Roman" w:cs="Times New Roman"/>
          <w:sz w:val="28"/>
          <w:szCs w:val="28"/>
          <w:u w:val="single"/>
        </w:rPr>
        <w:lastRenderedPageBreak/>
        <w:t xml:space="preserve">Adults:  </w:t>
      </w:r>
    </w:p>
    <w:p w14:paraId="5C0D9F72"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The usual dose is 250 mg twice daily although this may be increased to 500mg twice daily in severe infections. The usual duration of treatment is 6 to 14 days.  </w:t>
      </w:r>
    </w:p>
    <w:p w14:paraId="2779AFDE"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u w:val="single"/>
        </w:rPr>
        <w:t>Children older than 12 years</w:t>
      </w:r>
      <w:r w:rsidRPr="003847D8">
        <w:rPr>
          <w:rFonts w:ascii="Times New Roman" w:hAnsi="Times New Roman" w:cs="Times New Roman"/>
          <w:sz w:val="28"/>
          <w:szCs w:val="28"/>
        </w:rPr>
        <w:t xml:space="preserve">:  As for adults.  </w:t>
      </w:r>
    </w:p>
    <w:p w14:paraId="4A49B5D5"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u w:val="single"/>
        </w:rPr>
      </w:pPr>
      <w:r w:rsidRPr="003847D8">
        <w:rPr>
          <w:rFonts w:ascii="Times New Roman" w:hAnsi="Times New Roman" w:cs="Times New Roman"/>
          <w:sz w:val="28"/>
          <w:szCs w:val="28"/>
          <w:u w:val="single"/>
        </w:rPr>
        <w:t>Children younger than 12 years:</w:t>
      </w:r>
    </w:p>
    <w:p w14:paraId="442793C7"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Use of Clarithromycin 500mg Tablets are not recommended for children younger than 12 years. Clinical trials have been conducted using clarithromycin paediatric suspension in children 6 months to 12 years of age. Therefore, children under 12 years of age should use clarithromycin paediatric suspension (granules for oral suspension). </w:t>
      </w:r>
    </w:p>
    <w:p w14:paraId="0DA63F01"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Clarithromycin may be given without regard to meals as food does not affect the extent of bioavailability.  </w:t>
      </w:r>
    </w:p>
    <w:p w14:paraId="12B2A576" w14:textId="6831FDAD" w:rsidR="003847D8" w:rsidRP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u w:val="single"/>
        </w:rPr>
      </w:pPr>
      <w:r w:rsidRPr="003847D8">
        <w:rPr>
          <w:rFonts w:ascii="Times New Roman" w:hAnsi="Times New Roman" w:cs="Times New Roman"/>
          <w:sz w:val="28"/>
          <w:szCs w:val="28"/>
        </w:rPr>
        <w:t xml:space="preserve">Eradication of H. pylori in patients with duodenal ulcers (Adults)  The usual duration of treatment is 6 to 14 days.  </w:t>
      </w:r>
    </w:p>
    <w:p w14:paraId="1A13254B" w14:textId="77777777" w:rsidR="003847D8" w:rsidRDefault="003847D8" w:rsidP="003847D8">
      <w:pPr>
        <w:spacing w:line="360" w:lineRule="auto"/>
        <w:ind w:firstLine="720"/>
        <w:rPr>
          <w:rFonts w:ascii="Times New Roman" w:hAnsi="Times New Roman" w:cs="Times New Roman"/>
          <w:sz w:val="28"/>
          <w:szCs w:val="28"/>
          <w:u w:val="single"/>
        </w:rPr>
      </w:pPr>
      <w:r w:rsidRPr="003847D8">
        <w:rPr>
          <w:rFonts w:ascii="Times New Roman" w:hAnsi="Times New Roman" w:cs="Times New Roman"/>
          <w:sz w:val="28"/>
          <w:szCs w:val="28"/>
          <w:u w:val="single"/>
        </w:rPr>
        <w:t>Triple Therapy</w:t>
      </w:r>
    </w:p>
    <w:p w14:paraId="3AFCEF80" w14:textId="77777777" w:rsidR="003847D8" w:rsidRDefault="003847D8" w:rsidP="003847D8">
      <w:pPr>
        <w:spacing w:after="240" w:line="360" w:lineRule="auto"/>
        <w:ind w:left="720"/>
        <w:jc w:val="thaiDistribute"/>
        <w:rPr>
          <w:rFonts w:ascii="Times New Roman" w:hAnsi="Times New Roman" w:cs="Times New Roman"/>
          <w:sz w:val="28"/>
          <w:szCs w:val="28"/>
          <w:u w:val="single"/>
        </w:rPr>
      </w:pPr>
      <w:r w:rsidRPr="003847D8">
        <w:rPr>
          <w:rFonts w:ascii="Times New Roman" w:hAnsi="Times New Roman" w:cs="Times New Roman"/>
          <w:sz w:val="28"/>
          <w:szCs w:val="28"/>
        </w:rPr>
        <w:t xml:space="preserve">Clarithromycin (500mg) twice daily and lansoprazole 30mg twice daily should be given with amoxycillin 1000mg twice daily.  </w:t>
      </w:r>
    </w:p>
    <w:p w14:paraId="280D418E" w14:textId="77777777" w:rsidR="003847D8" w:rsidRDefault="003847D8">
      <w:pPr>
        <w:rPr>
          <w:rFonts w:ascii="Times New Roman" w:hAnsi="Times New Roman" w:cs="Times New Roman"/>
          <w:sz w:val="28"/>
          <w:szCs w:val="28"/>
          <w:u w:val="single"/>
        </w:rPr>
      </w:pPr>
      <w:r>
        <w:rPr>
          <w:rFonts w:ascii="Times New Roman" w:hAnsi="Times New Roman" w:cs="Times New Roman"/>
          <w:sz w:val="28"/>
          <w:szCs w:val="28"/>
          <w:u w:val="single"/>
        </w:rPr>
        <w:br w:type="page"/>
      </w:r>
    </w:p>
    <w:p w14:paraId="41514B40" w14:textId="6F1587F2" w:rsidR="003847D8" w:rsidRPr="003847D8" w:rsidRDefault="003847D8" w:rsidP="003847D8">
      <w:pPr>
        <w:spacing w:line="360" w:lineRule="auto"/>
        <w:ind w:left="720"/>
        <w:rPr>
          <w:rFonts w:ascii="Times New Roman" w:hAnsi="Times New Roman" w:cs="Times New Roman"/>
          <w:sz w:val="28"/>
          <w:szCs w:val="28"/>
          <w:u w:val="single"/>
        </w:rPr>
      </w:pPr>
      <w:r w:rsidRPr="003847D8">
        <w:rPr>
          <w:rFonts w:ascii="Times New Roman" w:hAnsi="Times New Roman" w:cs="Times New Roman"/>
          <w:sz w:val="28"/>
          <w:szCs w:val="28"/>
          <w:u w:val="single"/>
        </w:rPr>
        <w:lastRenderedPageBreak/>
        <w:t xml:space="preserve">Triple Therapy   </w:t>
      </w:r>
    </w:p>
    <w:p w14:paraId="0FC020E8" w14:textId="77777777" w:rsidR="003847D8" w:rsidRDefault="003847D8" w:rsidP="003847D8">
      <w:pPr>
        <w:spacing w:after="240" w:line="360" w:lineRule="auto"/>
        <w:ind w:left="720"/>
        <w:jc w:val="thaiDistribute"/>
        <w:rPr>
          <w:rFonts w:ascii="Times New Roman" w:hAnsi="Times New Roman" w:cs="Times New Roman"/>
          <w:sz w:val="28"/>
          <w:szCs w:val="28"/>
          <w:u w:val="single"/>
        </w:rPr>
      </w:pPr>
      <w:r w:rsidRPr="003847D8">
        <w:rPr>
          <w:rFonts w:ascii="Times New Roman" w:hAnsi="Times New Roman" w:cs="Times New Roman"/>
          <w:sz w:val="28"/>
          <w:szCs w:val="28"/>
        </w:rPr>
        <w:t xml:space="preserve">Clarithromycin (500mg) twice daily and lansoprazole 30mg twice daily should be given with metronidazole 400mg twice daily.  </w:t>
      </w:r>
    </w:p>
    <w:p w14:paraId="26FDC573" w14:textId="77777777" w:rsidR="003847D8" w:rsidRPr="003847D8" w:rsidRDefault="003847D8" w:rsidP="003847D8">
      <w:pPr>
        <w:spacing w:line="360" w:lineRule="auto"/>
        <w:ind w:left="720"/>
        <w:jc w:val="thaiDistribute"/>
        <w:rPr>
          <w:rFonts w:ascii="Times New Roman" w:hAnsi="Times New Roman" w:cs="Times New Roman"/>
          <w:sz w:val="28"/>
          <w:szCs w:val="28"/>
          <w:u w:val="single"/>
        </w:rPr>
      </w:pPr>
      <w:r w:rsidRPr="003847D8">
        <w:rPr>
          <w:rFonts w:ascii="Times New Roman" w:hAnsi="Times New Roman" w:cs="Times New Roman"/>
          <w:sz w:val="28"/>
          <w:szCs w:val="28"/>
          <w:u w:val="single"/>
        </w:rPr>
        <w:t xml:space="preserve">Triple Therapy  </w:t>
      </w:r>
    </w:p>
    <w:p w14:paraId="40EDC339" w14:textId="387CCE29" w:rsidR="003847D8" w:rsidRPr="003847D8" w:rsidRDefault="003847D8" w:rsidP="003847D8">
      <w:pPr>
        <w:spacing w:after="240" w:line="360" w:lineRule="auto"/>
        <w:ind w:left="720"/>
        <w:jc w:val="thaiDistribute"/>
        <w:rPr>
          <w:rFonts w:ascii="Times New Roman" w:hAnsi="Times New Roman" w:cs="Times New Roman"/>
          <w:sz w:val="28"/>
          <w:szCs w:val="28"/>
          <w:u w:val="single"/>
        </w:rPr>
      </w:pPr>
      <w:r w:rsidRPr="003847D8">
        <w:rPr>
          <w:rFonts w:ascii="Times New Roman" w:hAnsi="Times New Roman" w:cs="Times New Roman"/>
          <w:sz w:val="28"/>
          <w:szCs w:val="28"/>
        </w:rPr>
        <w:t>Clarithromycin (500mg) twice daily and omeprazole 40mg daily should be given with amoxycillin 1000mg twice daily or metronidazole 400mg twice daily.</w:t>
      </w:r>
    </w:p>
    <w:p w14:paraId="2F88A191" w14:textId="77777777" w:rsidR="003847D8" w:rsidRPr="003847D8" w:rsidRDefault="003847D8" w:rsidP="003847D8">
      <w:pPr>
        <w:spacing w:line="360" w:lineRule="auto"/>
        <w:ind w:firstLine="720"/>
        <w:rPr>
          <w:rFonts w:ascii="Times New Roman" w:hAnsi="Times New Roman" w:cs="Times New Roman"/>
          <w:sz w:val="28"/>
          <w:szCs w:val="28"/>
          <w:u w:val="single"/>
        </w:rPr>
      </w:pPr>
      <w:r w:rsidRPr="003847D8">
        <w:rPr>
          <w:rFonts w:ascii="Times New Roman" w:hAnsi="Times New Roman" w:cs="Times New Roman"/>
          <w:sz w:val="28"/>
          <w:szCs w:val="28"/>
          <w:u w:val="single"/>
        </w:rPr>
        <w:t>Triple Therapy</w:t>
      </w:r>
    </w:p>
    <w:p w14:paraId="7D5AC05D" w14:textId="77777777" w:rsidR="003847D8" w:rsidRDefault="003847D8" w:rsidP="003847D8">
      <w:pPr>
        <w:spacing w:after="240" w:line="360" w:lineRule="auto"/>
        <w:ind w:left="720"/>
        <w:rPr>
          <w:rFonts w:ascii="Times New Roman" w:hAnsi="Times New Roman" w:cs="Times New Roman"/>
          <w:sz w:val="28"/>
          <w:szCs w:val="28"/>
        </w:rPr>
      </w:pPr>
      <w:r w:rsidRPr="003847D8">
        <w:rPr>
          <w:rFonts w:ascii="Times New Roman" w:hAnsi="Times New Roman" w:cs="Times New Roman"/>
          <w:sz w:val="28"/>
          <w:szCs w:val="28"/>
        </w:rPr>
        <w:t xml:space="preserve">Clarithromycin (500mg) twice daily and omeprazole 20mg daily should be given with amoxycillin 1000mg twice daily.  </w:t>
      </w:r>
    </w:p>
    <w:p w14:paraId="72B0C615" w14:textId="77777777" w:rsidR="003847D8" w:rsidRDefault="003847D8" w:rsidP="003847D8">
      <w:pPr>
        <w:spacing w:after="240" w:line="360" w:lineRule="auto"/>
        <w:ind w:left="720"/>
        <w:rPr>
          <w:rFonts w:ascii="Times New Roman" w:hAnsi="Times New Roman" w:cs="Times New Roman"/>
          <w:sz w:val="28"/>
          <w:szCs w:val="28"/>
        </w:rPr>
      </w:pPr>
      <w:r w:rsidRPr="003847D8">
        <w:rPr>
          <w:rFonts w:ascii="Times New Roman" w:hAnsi="Times New Roman" w:cs="Times New Roman"/>
          <w:sz w:val="28"/>
          <w:szCs w:val="28"/>
          <w:u w:val="single"/>
        </w:rPr>
        <w:t>Elderly:</w:t>
      </w:r>
      <w:r w:rsidRPr="003847D8">
        <w:rPr>
          <w:rFonts w:ascii="Times New Roman" w:hAnsi="Times New Roman" w:cs="Times New Roman"/>
          <w:sz w:val="28"/>
          <w:szCs w:val="28"/>
        </w:rPr>
        <w:t xml:space="preserve"> As for adults.  </w:t>
      </w:r>
    </w:p>
    <w:p w14:paraId="6435F220" w14:textId="77777777" w:rsidR="003847D8" w:rsidRDefault="003847D8" w:rsidP="003847D8">
      <w:pPr>
        <w:spacing w:line="360" w:lineRule="auto"/>
        <w:ind w:left="720"/>
        <w:rPr>
          <w:rFonts w:ascii="Times New Roman" w:hAnsi="Times New Roman" w:cs="Times New Roman"/>
          <w:sz w:val="28"/>
          <w:szCs w:val="28"/>
          <w:u w:val="single"/>
        </w:rPr>
      </w:pPr>
      <w:r w:rsidRPr="003847D8">
        <w:rPr>
          <w:rFonts w:ascii="Times New Roman" w:hAnsi="Times New Roman" w:cs="Times New Roman"/>
          <w:sz w:val="28"/>
          <w:szCs w:val="28"/>
          <w:u w:val="single"/>
        </w:rPr>
        <w:t>Renal impairment:</w:t>
      </w:r>
    </w:p>
    <w:p w14:paraId="5884CDDA" w14:textId="21F8D827" w:rsidR="003847D8" w:rsidRPr="003847D8" w:rsidRDefault="003847D8" w:rsidP="003847D8">
      <w:pPr>
        <w:spacing w:after="240" w:line="360" w:lineRule="auto"/>
        <w:ind w:left="720"/>
        <w:jc w:val="thaiDistribute"/>
        <w:rPr>
          <w:rFonts w:ascii="Times New Roman" w:hAnsi="Times New Roman" w:cs="Times New Roman"/>
          <w:sz w:val="28"/>
          <w:szCs w:val="28"/>
          <w:u w:val="single"/>
        </w:rPr>
      </w:pPr>
      <w:r w:rsidRPr="003847D8">
        <w:rPr>
          <w:rFonts w:ascii="Times New Roman" w:hAnsi="Times New Roman" w:cs="Times New Roman"/>
          <w:sz w:val="28"/>
          <w:szCs w:val="28"/>
        </w:rPr>
        <w:t xml:space="preserve">In patients with renal impairment with creatinine clearance less than 30 mL/min, the dosage of clarithromycin should be reduced by one-half, i.e. 250 mg once daily, or 250 mg twice daily in more severe infections. Treatment should not be continued beyond 14 days in these patients.   </w:t>
      </w:r>
    </w:p>
    <w:p w14:paraId="09FF2716" w14:textId="77777777" w:rsidR="003847D8" w:rsidRDefault="003847D8" w:rsidP="003847D8">
      <w:pPr>
        <w:pStyle w:val="ListParagraph"/>
        <w:numPr>
          <w:ilvl w:val="1"/>
          <w:numId w:val="2"/>
        </w:numPr>
        <w:spacing w:after="240"/>
        <w:ind w:left="788" w:hanging="431"/>
        <w:contextualSpacing w:val="0"/>
        <w:rPr>
          <w:rFonts w:ascii="Times New Roman" w:hAnsi="Times New Roman" w:cs="Times New Roman"/>
          <w:b/>
          <w:bCs/>
          <w:sz w:val="28"/>
          <w:szCs w:val="28"/>
        </w:rPr>
      </w:pPr>
      <w:r w:rsidRPr="003847D8">
        <w:rPr>
          <w:rFonts w:ascii="Times New Roman" w:hAnsi="Times New Roman" w:cs="Times New Roman"/>
          <w:b/>
          <w:bCs/>
          <w:sz w:val="28"/>
          <w:szCs w:val="28"/>
        </w:rPr>
        <w:t xml:space="preserve">Contraindications  </w:t>
      </w:r>
    </w:p>
    <w:p w14:paraId="0D1B006E" w14:textId="77777777" w:rsidR="003847D8" w:rsidRPr="003847D8" w:rsidRDefault="003847D8" w:rsidP="003847D8">
      <w:pPr>
        <w:pStyle w:val="ListParagraph"/>
        <w:numPr>
          <w:ilvl w:val="0"/>
          <w:numId w:val="6"/>
        </w:numPr>
        <w:spacing w:line="360" w:lineRule="auto"/>
        <w:jc w:val="thaiDistribute"/>
        <w:rPr>
          <w:rFonts w:ascii="Times New Roman" w:hAnsi="Times New Roman" w:cs="Times New Roman"/>
          <w:b/>
          <w:bCs/>
          <w:sz w:val="28"/>
          <w:szCs w:val="28"/>
        </w:rPr>
      </w:pPr>
      <w:r w:rsidRPr="003847D8">
        <w:rPr>
          <w:rFonts w:ascii="Times New Roman" w:hAnsi="Times New Roman" w:cs="Times New Roman"/>
          <w:sz w:val="28"/>
          <w:szCs w:val="28"/>
        </w:rPr>
        <w:t>Hypersensitivity to macrolide antibiotic drugs or to any of the excipients listed in section 6.1.</w:t>
      </w:r>
    </w:p>
    <w:p w14:paraId="3930B216" w14:textId="77777777" w:rsidR="003847D8" w:rsidRPr="003847D8" w:rsidRDefault="003847D8" w:rsidP="003847D8">
      <w:pPr>
        <w:pStyle w:val="ListParagraph"/>
        <w:numPr>
          <w:ilvl w:val="0"/>
          <w:numId w:val="6"/>
        </w:numPr>
        <w:spacing w:line="360" w:lineRule="auto"/>
        <w:jc w:val="thaiDistribute"/>
        <w:rPr>
          <w:rFonts w:ascii="Times New Roman" w:hAnsi="Times New Roman" w:cs="Times New Roman"/>
          <w:b/>
          <w:bCs/>
          <w:sz w:val="28"/>
          <w:szCs w:val="28"/>
        </w:rPr>
      </w:pPr>
      <w:r w:rsidRPr="003847D8">
        <w:rPr>
          <w:rFonts w:ascii="Times New Roman" w:hAnsi="Times New Roman" w:cs="Times New Roman"/>
          <w:sz w:val="28"/>
          <w:szCs w:val="28"/>
        </w:rPr>
        <w:lastRenderedPageBreak/>
        <w:t xml:space="preserve">Concomitant administration of clarithromycin and ergot alkaloids (e.g. ergotamine or dihydroergotamine) is contraindicated, as this may result in ergot toxicity (see sections 4.4 and 4.5). </w:t>
      </w:r>
    </w:p>
    <w:p w14:paraId="778F4986" w14:textId="77777777" w:rsidR="003847D8" w:rsidRPr="003847D8" w:rsidRDefault="003847D8" w:rsidP="003847D8">
      <w:pPr>
        <w:pStyle w:val="ListParagraph"/>
        <w:numPr>
          <w:ilvl w:val="0"/>
          <w:numId w:val="6"/>
        </w:numPr>
        <w:spacing w:line="360" w:lineRule="auto"/>
        <w:jc w:val="thaiDistribute"/>
        <w:rPr>
          <w:rFonts w:ascii="Times New Roman" w:hAnsi="Times New Roman" w:cs="Times New Roman"/>
          <w:b/>
          <w:bCs/>
          <w:sz w:val="28"/>
          <w:szCs w:val="28"/>
        </w:rPr>
      </w:pPr>
      <w:r w:rsidRPr="003847D8">
        <w:rPr>
          <w:rFonts w:ascii="Times New Roman" w:hAnsi="Times New Roman" w:cs="Times New Roman"/>
          <w:sz w:val="28"/>
          <w:szCs w:val="28"/>
        </w:rPr>
        <w:t xml:space="preserve">Concomitant administration of clarithromycin and oral midazolam is contraindicated (see section 4.5). </w:t>
      </w:r>
    </w:p>
    <w:p w14:paraId="467558AD" w14:textId="77777777" w:rsidR="003847D8" w:rsidRPr="003847D8" w:rsidRDefault="003847D8" w:rsidP="003847D8">
      <w:pPr>
        <w:pStyle w:val="ListParagraph"/>
        <w:numPr>
          <w:ilvl w:val="0"/>
          <w:numId w:val="6"/>
        </w:numPr>
        <w:spacing w:line="360" w:lineRule="auto"/>
        <w:jc w:val="thaiDistribute"/>
        <w:rPr>
          <w:rFonts w:ascii="Times New Roman" w:hAnsi="Times New Roman" w:cs="Times New Roman"/>
          <w:b/>
          <w:bCs/>
          <w:sz w:val="28"/>
          <w:szCs w:val="28"/>
        </w:rPr>
      </w:pPr>
      <w:r w:rsidRPr="003847D8">
        <w:rPr>
          <w:rFonts w:ascii="Times New Roman" w:hAnsi="Times New Roman" w:cs="Times New Roman"/>
          <w:sz w:val="28"/>
          <w:szCs w:val="28"/>
        </w:rPr>
        <w:t xml:space="preserve">Concomitant administration of clarithromycin and lomitapide is contraindicated (see section 4.5). </w:t>
      </w:r>
    </w:p>
    <w:p w14:paraId="0D99A118" w14:textId="77777777" w:rsidR="003847D8" w:rsidRPr="003847D8" w:rsidRDefault="003847D8" w:rsidP="003847D8">
      <w:pPr>
        <w:pStyle w:val="ListParagraph"/>
        <w:numPr>
          <w:ilvl w:val="0"/>
          <w:numId w:val="6"/>
        </w:numPr>
        <w:spacing w:line="360" w:lineRule="auto"/>
        <w:jc w:val="thaiDistribute"/>
        <w:rPr>
          <w:rFonts w:ascii="Times New Roman" w:hAnsi="Times New Roman" w:cs="Times New Roman"/>
          <w:b/>
          <w:bCs/>
          <w:sz w:val="28"/>
          <w:szCs w:val="28"/>
        </w:rPr>
      </w:pPr>
      <w:r w:rsidRPr="003847D8">
        <w:rPr>
          <w:rFonts w:ascii="Times New Roman" w:hAnsi="Times New Roman" w:cs="Times New Roman"/>
          <w:sz w:val="28"/>
          <w:szCs w:val="28"/>
        </w:rPr>
        <w:t xml:space="preserve">Concomitant administration of clarithromycin and any of the following drugs is contraindicated: astemizole, cisapride, domperidone, pimozide and terfenadine as this may result in QT prolongation and cardiac arrhythmias, including ventricular tachycardia, ventricular fibrillation, and torsades de pointes (see section 4.4 and 4.5). </w:t>
      </w:r>
    </w:p>
    <w:p w14:paraId="7EC2B105" w14:textId="77777777" w:rsidR="003847D8" w:rsidRPr="003847D8" w:rsidRDefault="003847D8" w:rsidP="003847D8">
      <w:pPr>
        <w:pStyle w:val="ListParagraph"/>
        <w:numPr>
          <w:ilvl w:val="0"/>
          <w:numId w:val="6"/>
        </w:numPr>
        <w:spacing w:line="360" w:lineRule="auto"/>
        <w:jc w:val="thaiDistribute"/>
        <w:rPr>
          <w:rFonts w:ascii="Times New Roman" w:hAnsi="Times New Roman" w:cs="Times New Roman"/>
          <w:b/>
          <w:bCs/>
          <w:sz w:val="28"/>
          <w:szCs w:val="28"/>
        </w:rPr>
      </w:pPr>
      <w:r w:rsidRPr="003847D8">
        <w:rPr>
          <w:rFonts w:ascii="Times New Roman" w:hAnsi="Times New Roman" w:cs="Times New Roman"/>
          <w:sz w:val="28"/>
          <w:szCs w:val="28"/>
        </w:rPr>
        <w:t xml:space="preserve">Clarithromycin should not be given to patients with history of QT prolongation (congenital or documented acquired QT prolongation) or ventricular cardiac arrhythmia, including torsades de pointes (see sections 4.4 and 4.5).  Concomitant administration with ticagrelor or ranolazine is contraindicated.  </w:t>
      </w:r>
    </w:p>
    <w:p w14:paraId="01D94F3D" w14:textId="77777777" w:rsidR="003847D8" w:rsidRPr="003847D8" w:rsidRDefault="003847D8" w:rsidP="003847D8">
      <w:pPr>
        <w:pStyle w:val="ListParagraph"/>
        <w:numPr>
          <w:ilvl w:val="0"/>
          <w:numId w:val="6"/>
        </w:numPr>
        <w:spacing w:line="360" w:lineRule="auto"/>
        <w:jc w:val="thaiDistribute"/>
        <w:rPr>
          <w:rFonts w:ascii="Times New Roman" w:hAnsi="Times New Roman" w:cs="Times New Roman"/>
          <w:b/>
          <w:bCs/>
          <w:sz w:val="28"/>
          <w:szCs w:val="28"/>
        </w:rPr>
      </w:pPr>
      <w:r w:rsidRPr="003847D8">
        <w:rPr>
          <w:rFonts w:ascii="Times New Roman" w:hAnsi="Times New Roman" w:cs="Times New Roman"/>
          <w:sz w:val="28"/>
          <w:szCs w:val="28"/>
        </w:rPr>
        <w:t xml:space="preserve">Clarithromycin should not be used concomitantly with HMG-CoA reductase inhibitors (statins) that are extensively metabolized by CYP3A4, (lovastatin or simvastatin), due to the increased risk of myopathy, including rhabdomyolysis (see section 4.5).  </w:t>
      </w:r>
    </w:p>
    <w:p w14:paraId="697C33D5" w14:textId="77777777" w:rsidR="003847D8" w:rsidRPr="003847D8" w:rsidRDefault="003847D8" w:rsidP="003847D8">
      <w:pPr>
        <w:pStyle w:val="ListParagraph"/>
        <w:numPr>
          <w:ilvl w:val="0"/>
          <w:numId w:val="6"/>
        </w:numPr>
        <w:spacing w:line="360" w:lineRule="auto"/>
        <w:jc w:val="thaiDistribute"/>
        <w:rPr>
          <w:rFonts w:ascii="Times New Roman" w:hAnsi="Times New Roman" w:cs="Times New Roman"/>
          <w:b/>
          <w:bCs/>
          <w:sz w:val="28"/>
          <w:szCs w:val="28"/>
        </w:rPr>
      </w:pPr>
      <w:r w:rsidRPr="003847D8">
        <w:rPr>
          <w:rFonts w:ascii="Times New Roman" w:hAnsi="Times New Roman" w:cs="Times New Roman"/>
          <w:sz w:val="28"/>
          <w:szCs w:val="28"/>
        </w:rPr>
        <w:t xml:space="preserve">As with other strong CYP3A4 inhibitors, Clarithromycin should not be used in patients taking colchicine (see sections 4.4 and 4.5). </w:t>
      </w:r>
    </w:p>
    <w:p w14:paraId="74CBEE44" w14:textId="77777777" w:rsidR="003847D8" w:rsidRPr="003847D8" w:rsidRDefault="003847D8" w:rsidP="003847D8">
      <w:pPr>
        <w:pStyle w:val="ListParagraph"/>
        <w:numPr>
          <w:ilvl w:val="0"/>
          <w:numId w:val="6"/>
        </w:numPr>
        <w:spacing w:line="360" w:lineRule="auto"/>
        <w:jc w:val="thaiDistribute"/>
        <w:rPr>
          <w:rFonts w:ascii="Times New Roman" w:hAnsi="Times New Roman" w:cs="Times New Roman"/>
          <w:b/>
          <w:bCs/>
          <w:sz w:val="28"/>
          <w:szCs w:val="28"/>
        </w:rPr>
      </w:pPr>
      <w:r w:rsidRPr="003847D8">
        <w:rPr>
          <w:rFonts w:ascii="Times New Roman" w:hAnsi="Times New Roman" w:cs="Times New Roman"/>
          <w:sz w:val="28"/>
          <w:szCs w:val="28"/>
        </w:rPr>
        <w:lastRenderedPageBreak/>
        <w:t xml:space="preserve">Clarithromycin should not be given to patients with electrolyte disturbances (hypokalaemia or hypomagnesaemia, due to the risk of prolongation of the QT interval).  </w:t>
      </w:r>
    </w:p>
    <w:p w14:paraId="0A748A9D" w14:textId="3EC709B3" w:rsidR="003847D8" w:rsidRPr="003847D8" w:rsidRDefault="003847D8" w:rsidP="003847D8">
      <w:pPr>
        <w:pStyle w:val="ListParagraph"/>
        <w:numPr>
          <w:ilvl w:val="0"/>
          <w:numId w:val="6"/>
        </w:numPr>
        <w:spacing w:after="240" w:line="360" w:lineRule="auto"/>
        <w:ind w:left="1508" w:hanging="357"/>
        <w:contextualSpacing w:val="0"/>
        <w:jc w:val="thaiDistribute"/>
        <w:rPr>
          <w:rFonts w:ascii="Times New Roman" w:hAnsi="Times New Roman" w:cs="Times New Roman"/>
          <w:b/>
          <w:bCs/>
          <w:sz w:val="28"/>
          <w:szCs w:val="28"/>
        </w:rPr>
      </w:pPr>
      <w:r w:rsidRPr="003847D8">
        <w:rPr>
          <w:rFonts w:ascii="Times New Roman" w:hAnsi="Times New Roman" w:cs="Times New Roman"/>
          <w:sz w:val="28"/>
          <w:szCs w:val="28"/>
        </w:rPr>
        <w:t xml:space="preserve">Clarithromycin should not be used in patients who suffer from severe hepatic failure in combination with renal impairment.  </w:t>
      </w:r>
    </w:p>
    <w:p w14:paraId="15A0ECC3" w14:textId="77777777" w:rsidR="003847D8" w:rsidRDefault="003847D8" w:rsidP="003847D8">
      <w:pPr>
        <w:pStyle w:val="ListParagraph"/>
        <w:numPr>
          <w:ilvl w:val="1"/>
          <w:numId w:val="2"/>
        </w:numPr>
        <w:spacing w:after="240"/>
        <w:ind w:left="788" w:hanging="431"/>
        <w:contextualSpacing w:val="0"/>
        <w:rPr>
          <w:rFonts w:ascii="Times New Roman" w:hAnsi="Times New Roman" w:cs="Times New Roman"/>
          <w:b/>
          <w:bCs/>
          <w:sz w:val="28"/>
          <w:szCs w:val="28"/>
        </w:rPr>
      </w:pPr>
      <w:r w:rsidRPr="003847D8">
        <w:rPr>
          <w:rFonts w:ascii="Times New Roman" w:hAnsi="Times New Roman" w:cs="Times New Roman"/>
          <w:b/>
          <w:bCs/>
          <w:sz w:val="28"/>
          <w:szCs w:val="28"/>
        </w:rPr>
        <w:t xml:space="preserve">Special warnings and precautions for use  </w:t>
      </w:r>
    </w:p>
    <w:p w14:paraId="6A496292"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Use of any antimicrobial therapy, such as clarithromycin, to treat H. pylori infection may select for drug-resistant organisms.  </w:t>
      </w:r>
    </w:p>
    <w:p w14:paraId="253DE81A"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The physician should not prescribe clarithromycin to pregnant women without carefully weighing the benefits against risk, particularly during the first three months of pregnancy (see section 4.6).  </w:t>
      </w:r>
    </w:p>
    <w:p w14:paraId="515CF0DA"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Clarithromycin is principally metabolised by the liver. Therefore, caution should be exercised in administering this antibiotic to patients with impaired hepatic function.   </w:t>
      </w:r>
    </w:p>
    <w:p w14:paraId="0366597A"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Caution should also be exercised when administering clarithromycin to patients with moderate to severe renal impairment (see section 4.2).  </w:t>
      </w:r>
    </w:p>
    <w:p w14:paraId="6ED13D18"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Hepatic dysfunction, including increased liver enzymes, and hepatocellular and/or cholestatic hepatitis, with or without jaundice, has been reported with clarithromycin. This hepatic dysfunction may be severe and is usually reversible. Cases of fatal hepatic failure (see section 4.8) have been reported. Some patients may have had preexisting hepatic disease or may have been taking other hepatotoxic medicinal products. Patients </w:t>
      </w:r>
      <w:r w:rsidRPr="003847D8">
        <w:rPr>
          <w:rFonts w:ascii="Times New Roman" w:hAnsi="Times New Roman" w:cs="Times New Roman"/>
          <w:sz w:val="28"/>
          <w:szCs w:val="28"/>
        </w:rPr>
        <w:lastRenderedPageBreak/>
        <w:t xml:space="preserve">should be advised to stop treatment and contact their doctor if signs and symptoms of hepatic disease develop, such as anorexia, jaundice, dark urine, pruritus, or tender abdomen.  </w:t>
      </w:r>
    </w:p>
    <w:p w14:paraId="21483A4C"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Pseudomembranous colitis has been reported with nearly all antibacterial agents, including macrolides, and may range in severity from mild to life-threatening. </w:t>
      </w:r>
    </w:p>
    <w:p w14:paraId="12AB8BF9"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Clostridioides difficile- associated diarrhoea (CDAD) has been reported with use of nearly all antibacterial agents including clarithromycin, and may range in severity from mild diarrhoea to fatal colitis. Treatment with antibacterial agents alters the normal flora of the colon, which may lead to overgrowth of C. difficile. CDAD must be considered in all patients who present with diarrhoea following antibiotic use. Careful medical history is necessary since CDAD has been reported to occur over two months after the administration of antibacterial agents. Therefore, discontinuation of clarithromycin therapy should be considered regardless of the indication. Microbial testing should be performed and adequate treatment initiated. Drugs inhibiting peristalsis should be avoided.   </w:t>
      </w:r>
    </w:p>
    <w:p w14:paraId="067349FE"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There have been post-marketing reports of colchicine toxicity with concomitant use of clarithromycin and colchicine, especially in the elderly, some of which occurred in patients with renal insufficiency. Deaths have been reported in some such patients (see section 4.5). Concomitant administration of clarithromycin and colchicine is contraindicated (see section 4.3).  </w:t>
      </w:r>
    </w:p>
    <w:p w14:paraId="42612CD6"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lastRenderedPageBreak/>
        <w:t xml:space="preserve">Caution is advised regarding concomitant administration of clarithromycin and triazolobenzodiazepines, such as triazolam, and intravenous or oromucosal midazolam (see section 4.5).  </w:t>
      </w:r>
    </w:p>
    <w:p w14:paraId="6F06894D"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u w:val="single"/>
        </w:rPr>
      </w:pPr>
      <w:r w:rsidRPr="003847D8">
        <w:rPr>
          <w:rFonts w:ascii="Times New Roman" w:hAnsi="Times New Roman" w:cs="Times New Roman"/>
          <w:sz w:val="28"/>
          <w:szCs w:val="28"/>
          <w:u w:val="single"/>
        </w:rPr>
        <w:t xml:space="preserve">Cardiovascular Events:   </w:t>
      </w:r>
    </w:p>
    <w:p w14:paraId="3A68474D"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Prolongation of the QT interval, reflecting effects on cardiac repolarisation imparting a risk of developing cardiac arrhythmia and torsades de pointes, have been seen in patients treated with macrolides including clarithromycin (see section 4.8). Due to increased risk of QT prolongation and ventricular arrhythmias (including torsades de pointes), the use of clarithromycin is contraindicated: in patients taking any of astemizole, cisapride, domperidone, pimozide and terfenadine; in patients who have electrolyte disturbances such as hypomagnesaemia or hypokalaemia; and in patients with a history of QT prolongation or ventricular cardiac arrhythmia (see section 4.3). </w:t>
      </w:r>
    </w:p>
    <w:p w14:paraId="7A56D4A0"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Carefully consider the balance of benefits and risks before prescribing clarithromycin for any patients taking hydroxychloroquine or chloroquine, because of the potential for an increased risk of cardiovascular events and cardiovascular mortality (see section 4.5).</w:t>
      </w:r>
    </w:p>
    <w:p w14:paraId="37DFCABE" w14:textId="05ADDF29" w:rsidR="003847D8" w:rsidRPr="003847D8" w:rsidRDefault="003847D8" w:rsidP="003847D8">
      <w:pPr>
        <w:pStyle w:val="ListParagraph"/>
        <w:spacing w:line="360" w:lineRule="auto"/>
        <w:ind w:left="792"/>
        <w:jc w:val="thaiDistribute"/>
        <w:rPr>
          <w:rFonts w:ascii="Times New Roman" w:hAnsi="Times New Roman" w:cs="Times New Roman"/>
          <w:b/>
          <w:bCs/>
          <w:sz w:val="28"/>
          <w:szCs w:val="28"/>
          <w:u w:val="single"/>
        </w:rPr>
      </w:pPr>
      <w:r w:rsidRPr="003847D8">
        <w:rPr>
          <w:rFonts w:ascii="Times New Roman" w:hAnsi="Times New Roman" w:cs="Times New Roman"/>
          <w:sz w:val="28"/>
          <w:szCs w:val="28"/>
        </w:rPr>
        <w:t xml:space="preserve">Furthermore, clarithromycin should be used with caution in the following:  </w:t>
      </w:r>
    </w:p>
    <w:p w14:paraId="1F71A342" w14:textId="6CF262AC" w:rsidR="003847D8" w:rsidRPr="003847D8" w:rsidRDefault="003847D8" w:rsidP="003847D8">
      <w:pPr>
        <w:pStyle w:val="ListParagraph"/>
        <w:numPr>
          <w:ilvl w:val="0"/>
          <w:numId w:val="6"/>
        </w:numPr>
        <w:spacing w:line="360" w:lineRule="auto"/>
        <w:jc w:val="thaiDistribute"/>
        <w:rPr>
          <w:rFonts w:ascii="Times New Roman" w:hAnsi="Times New Roman" w:cs="Times New Roman"/>
          <w:sz w:val="28"/>
          <w:szCs w:val="28"/>
        </w:rPr>
      </w:pPr>
      <w:r w:rsidRPr="003847D8">
        <w:rPr>
          <w:rFonts w:ascii="Times New Roman" w:hAnsi="Times New Roman" w:cs="Times New Roman"/>
          <w:sz w:val="28"/>
          <w:szCs w:val="28"/>
        </w:rPr>
        <w:t xml:space="preserve">Patients with coronary artery disease, severe cardiac insufficiency, conduction disturbances or clinically relevant bradycardia;   </w:t>
      </w:r>
    </w:p>
    <w:p w14:paraId="36A279E5" w14:textId="77777777" w:rsidR="003847D8" w:rsidRDefault="003847D8" w:rsidP="003847D8">
      <w:pPr>
        <w:pStyle w:val="ListParagraph"/>
        <w:numPr>
          <w:ilvl w:val="0"/>
          <w:numId w:val="6"/>
        </w:numPr>
        <w:spacing w:after="240" w:line="360" w:lineRule="auto"/>
        <w:ind w:left="1508" w:hanging="357"/>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lastRenderedPageBreak/>
        <w:t xml:space="preserve">Patients concomitantly taking other medicinal products associated with QT prolongation other than those which are contraindicated </w:t>
      </w:r>
    </w:p>
    <w:p w14:paraId="3E9FB0D0" w14:textId="77777777" w:rsidR="003847D8" w:rsidRDefault="003847D8" w:rsidP="003847D8">
      <w:pPr>
        <w:spacing w:after="240" w:line="360" w:lineRule="auto"/>
        <w:ind w:left="720"/>
        <w:jc w:val="thaiDistribute"/>
        <w:rPr>
          <w:rFonts w:ascii="Times New Roman" w:hAnsi="Times New Roman" w:cs="Times New Roman"/>
          <w:sz w:val="28"/>
          <w:szCs w:val="28"/>
        </w:rPr>
      </w:pPr>
      <w:r w:rsidRPr="003847D8">
        <w:rPr>
          <w:rFonts w:ascii="Times New Roman" w:hAnsi="Times New Roman" w:cs="Times New Roman"/>
          <w:sz w:val="28"/>
          <w:szCs w:val="28"/>
        </w:rPr>
        <w:t xml:space="preserve">Epidemiological studies investigating the risk of adverse cardiovascular outcomes with macrolides have shown variable results. Some observational studies have identified a rare short-term risk of arrhythmia, myocardial infarction and cardiovascular mortality associated with macrolides including clarithromycin. Consideration of these findings should be balanced with treatment benefits when prescribing clarithromycin.  </w:t>
      </w:r>
    </w:p>
    <w:p w14:paraId="7A3B289D" w14:textId="77777777" w:rsidR="003847D8" w:rsidRDefault="003847D8" w:rsidP="003847D8">
      <w:pPr>
        <w:spacing w:after="240" w:line="360" w:lineRule="auto"/>
        <w:ind w:left="720"/>
        <w:jc w:val="thaiDistribute"/>
        <w:rPr>
          <w:rFonts w:ascii="Times New Roman" w:hAnsi="Times New Roman" w:cs="Times New Roman"/>
          <w:sz w:val="28"/>
          <w:szCs w:val="28"/>
          <w:u w:val="single"/>
        </w:rPr>
      </w:pPr>
      <w:r w:rsidRPr="003847D8">
        <w:rPr>
          <w:rFonts w:ascii="Times New Roman" w:hAnsi="Times New Roman" w:cs="Times New Roman"/>
          <w:sz w:val="28"/>
          <w:szCs w:val="28"/>
          <w:u w:val="single"/>
        </w:rPr>
        <w:t>Pneumonia</w:t>
      </w:r>
    </w:p>
    <w:p w14:paraId="7B301B45" w14:textId="77777777" w:rsidR="003847D8" w:rsidRDefault="003847D8" w:rsidP="003847D8">
      <w:pPr>
        <w:spacing w:after="240" w:line="360" w:lineRule="auto"/>
        <w:ind w:left="720"/>
        <w:jc w:val="thaiDistribute"/>
        <w:rPr>
          <w:rFonts w:ascii="Times New Roman" w:hAnsi="Times New Roman" w:cs="Times New Roman"/>
          <w:sz w:val="28"/>
          <w:szCs w:val="28"/>
        </w:rPr>
      </w:pPr>
      <w:r w:rsidRPr="003847D8">
        <w:rPr>
          <w:rFonts w:ascii="Times New Roman" w:hAnsi="Times New Roman" w:cs="Times New Roman"/>
          <w:sz w:val="28"/>
          <w:szCs w:val="28"/>
        </w:rPr>
        <w:t xml:space="preserve">In view of the emerging resistance of Streptococcus pneumoniae to macrolides, it is important that sensitivity testing be performed when prescribing clarithromycin for community-acquired pneumonia. In hospital-acquired pneumonia, clarithromycin should be used in combination with additional appropriate antibiotics. </w:t>
      </w:r>
    </w:p>
    <w:p w14:paraId="48C5F28B" w14:textId="77777777" w:rsidR="003847D8" w:rsidRDefault="003847D8" w:rsidP="003847D8">
      <w:pPr>
        <w:spacing w:after="240" w:line="360" w:lineRule="auto"/>
        <w:ind w:left="720"/>
        <w:jc w:val="thaiDistribute"/>
        <w:rPr>
          <w:rFonts w:ascii="Times New Roman" w:hAnsi="Times New Roman" w:cs="Times New Roman"/>
          <w:sz w:val="28"/>
          <w:szCs w:val="28"/>
        </w:rPr>
      </w:pPr>
      <w:r w:rsidRPr="003847D8">
        <w:rPr>
          <w:rFonts w:ascii="Times New Roman" w:hAnsi="Times New Roman" w:cs="Times New Roman"/>
          <w:sz w:val="28"/>
          <w:szCs w:val="28"/>
          <w:u w:val="single"/>
        </w:rPr>
        <w:t>Skin and soft tissue infections of mild to moderate severity</w:t>
      </w:r>
      <w:r w:rsidRPr="003847D8">
        <w:rPr>
          <w:rFonts w:ascii="Times New Roman" w:hAnsi="Times New Roman" w:cs="Times New Roman"/>
          <w:sz w:val="28"/>
          <w:szCs w:val="28"/>
        </w:rPr>
        <w:t xml:space="preserve">: </w:t>
      </w:r>
    </w:p>
    <w:p w14:paraId="5B0B0C38" w14:textId="77777777" w:rsidR="003847D8" w:rsidRDefault="003847D8" w:rsidP="003847D8">
      <w:pPr>
        <w:spacing w:after="240" w:line="360" w:lineRule="auto"/>
        <w:ind w:left="720"/>
        <w:jc w:val="thaiDistribute"/>
        <w:rPr>
          <w:rFonts w:ascii="Times New Roman" w:hAnsi="Times New Roman" w:cs="Times New Roman"/>
          <w:sz w:val="28"/>
          <w:szCs w:val="28"/>
        </w:rPr>
      </w:pPr>
      <w:r w:rsidRPr="003847D8">
        <w:rPr>
          <w:rFonts w:ascii="Times New Roman" w:hAnsi="Times New Roman" w:cs="Times New Roman"/>
          <w:sz w:val="28"/>
          <w:szCs w:val="28"/>
        </w:rPr>
        <w:t xml:space="preserve">These infections are most often caused by Staphylococcus aureus and Streptococcus pyogenes, both of which may be resistant to macrolides. Therefore, it is important that sensitivity testing be performed. In cases where beta–lactam antibiotics cannot be used (e.g. allergy), other antibiotics, such as clindamycin, may be the drug of first choice. Currently, macrolides are only considered to play a role in some skin and soft tissue infections, such as those caused by Corynebacterium minutissimum, acne </w:t>
      </w:r>
      <w:r w:rsidRPr="003847D8">
        <w:rPr>
          <w:rFonts w:ascii="Times New Roman" w:hAnsi="Times New Roman" w:cs="Times New Roman"/>
          <w:sz w:val="28"/>
          <w:szCs w:val="28"/>
        </w:rPr>
        <w:lastRenderedPageBreak/>
        <w:t xml:space="preserve">vulgaris, and erysipelas and in situations where penicillin treatment cannot be used.  </w:t>
      </w:r>
    </w:p>
    <w:p w14:paraId="03D60380" w14:textId="77777777" w:rsidR="003847D8" w:rsidRDefault="003847D8" w:rsidP="003847D8">
      <w:pPr>
        <w:spacing w:after="240" w:line="360" w:lineRule="auto"/>
        <w:ind w:left="720"/>
        <w:jc w:val="thaiDistribute"/>
        <w:rPr>
          <w:rFonts w:ascii="Times New Roman" w:hAnsi="Times New Roman" w:cs="Times New Roman"/>
          <w:sz w:val="28"/>
          <w:szCs w:val="28"/>
        </w:rPr>
      </w:pPr>
      <w:r w:rsidRPr="003847D8">
        <w:rPr>
          <w:rFonts w:ascii="Times New Roman" w:hAnsi="Times New Roman" w:cs="Times New Roman"/>
          <w:sz w:val="28"/>
          <w:szCs w:val="28"/>
        </w:rPr>
        <w:t xml:space="preserve">In the event of severe acute hypersensitivity reactions, such as anaphylaxis, severe cutaneous adverse reactions (SCAR) (e.g. Acute generalised exanthematous pustulosis (AGEP), Stevens-Johnson Syndrome, toxic epidermal necrolysis and drug rash with eosinophilia and systemic symptoms (DRESS)), clarithromycin therapy should be discontinued immediately and appropriate treatment should be urgently initiated. </w:t>
      </w:r>
    </w:p>
    <w:p w14:paraId="7BA350B8" w14:textId="77777777" w:rsidR="003847D8" w:rsidRDefault="003847D8" w:rsidP="003847D8">
      <w:pPr>
        <w:spacing w:after="240" w:line="360" w:lineRule="auto"/>
        <w:ind w:left="720"/>
        <w:jc w:val="thaiDistribute"/>
        <w:rPr>
          <w:rFonts w:ascii="Times New Roman" w:hAnsi="Times New Roman" w:cs="Times New Roman"/>
          <w:sz w:val="28"/>
          <w:szCs w:val="28"/>
        </w:rPr>
      </w:pPr>
      <w:r w:rsidRPr="003847D8">
        <w:rPr>
          <w:rFonts w:ascii="Times New Roman" w:hAnsi="Times New Roman" w:cs="Times New Roman"/>
          <w:sz w:val="28"/>
          <w:szCs w:val="28"/>
        </w:rPr>
        <w:t xml:space="preserve">Clarithromycin should be used with caution when administered concurrently with medications that induce the cytochrome CYP3A4 enzyme (see section 4.5).  </w:t>
      </w:r>
    </w:p>
    <w:p w14:paraId="23D6EDD1" w14:textId="77777777" w:rsidR="003847D8" w:rsidRDefault="003847D8" w:rsidP="003847D8">
      <w:pPr>
        <w:spacing w:after="240" w:line="360" w:lineRule="auto"/>
        <w:ind w:left="720"/>
        <w:jc w:val="thaiDistribute"/>
        <w:rPr>
          <w:rFonts w:ascii="Times New Roman" w:hAnsi="Times New Roman" w:cs="Times New Roman"/>
          <w:sz w:val="28"/>
          <w:szCs w:val="28"/>
        </w:rPr>
      </w:pPr>
      <w:r w:rsidRPr="003847D8">
        <w:rPr>
          <w:rFonts w:ascii="Times New Roman" w:hAnsi="Times New Roman" w:cs="Times New Roman"/>
          <w:sz w:val="28"/>
          <w:szCs w:val="28"/>
          <w:u w:val="single"/>
        </w:rPr>
        <w:t>HMG-CoA Reductase Inhibitors (statins):</w:t>
      </w:r>
      <w:r w:rsidRPr="003847D8">
        <w:rPr>
          <w:rFonts w:ascii="Times New Roman" w:hAnsi="Times New Roman" w:cs="Times New Roman"/>
          <w:sz w:val="28"/>
          <w:szCs w:val="28"/>
        </w:rPr>
        <w:t xml:space="preserve"> Concomitant use of clarithromycin with lovastatin or simvastatin is contraindicated (see section 4.3). Caution should be exercised when prescribing clarithromycin with other statins. Rhabdomyolysis has been reported in patients taking clarithromycin and statins. Patients should be monitored for signs and symptoms of myopathy.  </w:t>
      </w:r>
    </w:p>
    <w:p w14:paraId="0DFC1500" w14:textId="77777777" w:rsidR="003847D8" w:rsidRDefault="003847D8" w:rsidP="003847D8">
      <w:pPr>
        <w:spacing w:after="240" w:line="360" w:lineRule="auto"/>
        <w:ind w:left="720"/>
        <w:jc w:val="thaiDistribute"/>
        <w:rPr>
          <w:rFonts w:ascii="Times New Roman" w:hAnsi="Times New Roman" w:cs="Times New Roman"/>
          <w:sz w:val="28"/>
          <w:szCs w:val="28"/>
        </w:rPr>
      </w:pPr>
      <w:r w:rsidRPr="003847D8">
        <w:rPr>
          <w:rFonts w:ascii="Times New Roman" w:hAnsi="Times New Roman" w:cs="Times New Roman"/>
          <w:sz w:val="28"/>
          <w:szCs w:val="28"/>
        </w:rPr>
        <w:t xml:space="preserve">In situations where the concomitant use of clarithromycin with statins cannot be avoided, it is recommended to prescribe the lowest registered dose of the statin. Use of a statin that is not dependent on CYP3A metabolism (e.g. fluvastatin) can be considered (see section 4.5).   </w:t>
      </w:r>
    </w:p>
    <w:p w14:paraId="6F16B2C6" w14:textId="77777777" w:rsidR="003847D8" w:rsidRDefault="003847D8" w:rsidP="003847D8">
      <w:pPr>
        <w:spacing w:after="240" w:line="360" w:lineRule="auto"/>
        <w:ind w:left="720"/>
        <w:jc w:val="thaiDistribute"/>
        <w:rPr>
          <w:rFonts w:ascii="Times New Roman" w:hAnsi="Times New Roman" w:cs="Times New Roman"/>
          <w:sz w:val="28"/>
          <w:szCs w:val="28"/>
        </w:rPr>
      </w:pPr>
      <w:r w:rsidRPr="003847D8">
        <w:rPr>
          <w:rFonts w:ascii="Times New Roman" w:hAnsi="Times New Roman" w:cs="Times New Roman"/>
          <w:sz w:val="28"/>
          <w:szCs w:val="28"/>
          <w:u w:val="single"/>
        </w:rPr>
        <w:lastRenderedPageBreak/>
        <w:t>Oral hypoglycaemic agents/Insulin</w:t>
      </w:r>
      <w:r w:rsidRPr="003847D8">
        <w:rPr>
          <w:rFonts w:ascii="Times New Roman" w:hAnsi="Times New Roman" w:cs="Times New Roman"/>
          <w:sz w:val="28"/>
          <w:szCs w:val="28"/>
        </w:rPr>
        <w:t xml:space="preserve">: The concomitant use of clarithromycin and oral hypoglycaemic agents (such as sulphonylurias) and/or insulin can result in significant hypoglycaemia. Careful monitoring of glucose is recommended (see section 4.5). </w:t>
      </w:r>
    </w:p>
    <w:p w14:paraId="67A36656" w14:textId="77777777" w:rsidR="003847D8" w:rsidRDefault="003847D8" w:rsidP="003847D8">
      <w:pPr>
        <w:spacing w:after="240" w:line="360" w:lineRule="auto"/>
        <w:ind w:left="720"/>
        <w:jc w:val="thaiDistribute"/>
        <w:rPr>
          <w:rFonts w:ascii="Times New Roman" w:hAnsi="Times New Roman" w:cs="Times New Roman"/>
          <w:sz w:val="28"/>
          <w:szCs w:val="28"/>
        </w:rPr>
      </w:pPr>
      <w:r w:rsidRPr="003847D8">
        <w:rPr>
          <w:rFonts w:ascii="Times New Roman" w:hAnsi="Times New Roman" w:cs="Times New Roman"/>
          <w:sz w:val="28"/>
          <w:szCs w:val="28"/>
          <w:u w:val="single"/>
        </w:rPr>
        <w:t>Oral anticoagulants</w:t>
      </w:r>
      <w:r w:rsidRPr="003847D8">
        <w:rPr>
          <w:rFonts w:ascii="Times New Roman" w:hAnsi="Times New Roman" w:cs="Times New Roman"/>
          <w:sz w:val="28"/>
          <w:szCs w:val="28"/>
        </w:rPr>
        <w:t xml:space="preserve">: There is a risk of serious haemorrhage and significant elevations in International Normalized Ratio (INR) and prothrombin time when clarithromycin is co-administered with warfarin (see section 4.5). INR and prothrombin times should be frequently monitored while patients are receiving clarithromycin and oral anticoagulants concurrently.  </w:t>
      </w:r>
    </w:p>
    <w:p w14:paraId="339636DF" w14:textId="77777777" w:rsidR="003847D8" w:rsidRDefault="003847D8" w:rsidP="003847D8">
      <w:pPr>
        <w:spacing w:after="240" w:line="360" w:lineRule="auto"/>
        <w:ind w:left="720"/>
        <w:jc w:val="thaiDistribute"/>
        <w:rPr>
          <w:rFonts w:ascii="Times New Roman" w:hAnsi="Times New Roman" w:cs="Times New Roman"/>
          <w:sz w:val="28"/>
          <w:szCs w:val="28"/>
        </w:rPr>
      </w:pPr>
      <w:r w:rsidRPr="003847D8">
        <w:rPr>
          <w:rFonts w:ascii="Times New Roman" w:hAnsi="Times New Roman" w:cs="Times New Roman"/>
          <w:sz w:val="28"/>
          <w:szCs w:val="28"/>
        </w:rPr>
        <w:t xml:space="preserve">Caution should be exercised when clarithromycin is co-administered with direct acting oral anticoagulants such as dabigatran, rivaroxaban and apixaban, particularly to patients at high risk of bleeding (see section 4.5).  </w:t>
      </w:r>
    </w:p>
    <w:p w14:paraId="78F076E5" w14:textId="77777777" w:rsidR="003847D8" w:rsidRDefault="003847D8" w:rsidP="003847D8">
      <w:pPr>
        <w:spacing w:after="240" w:line="360" w:lineRule="auto"/>
        <w:ind w:left="720"/>
        <w:jc w:val="thaiDistribute"/>
        <w:rPr>
          <w:rFonts w:ascii="Times New Roman" w:hAnsi="Times New Roman" w:cs="Times New Roman"/>
          <w:sz w:val="28"/>
          <w:szCs w:val="28"/>
        </w:rPr>
      </w:pPr>
      <w:r w:rsidRPr="003847D8">
        <w:rPr>
          <w:rFonts w:ascii="Times New Roman" w:hAnsi="Times New Roman" w:cs="Times New Roman"/>
          <w:sz w:val="28"/>
          <w:szCs w:val="28"/>
        </w:rPr>
        <w:t xml:space="preserve">Long-term use may, as with other antibiotics, result in colonisation with increased numbers of non-susceptible bacteria and fungi. If superinfections occur, appropriate therapy should be instituted.  </w:t>
      </w:r>
    </w:p>
    <w:p w14:paraId="6EE29D7F" w14:textId="77777777" w:rsidR="003847D8" w:rsidRDefault="003847D8" w:rsidP="003847D8">
      <w:pPr>
        <w:spacing w:after="240" w:line="360" w:lineRule="auto"/>
        <w:ind w:left="720"/>
        <w:jc w:val="thaiDistribute"/>
        <w:rPr>
          <w:rFonts w:ascii="Times New Roman" w:hAnsi="Times New Roman" w:cs="Times New Roman"/>
          <w:sz w:val="28"/>
          <w:szCs w:val="28"/>
        </w:rPr>
      </w:pPr>
      <w:r w:rsidRPr="003847D8">
        <w:rPr>
          <w:rFonts w:ascii="Times New Roman" w:hAnsi="Times New Roman" w:cs="Times New Roman"/>
          <w:sz w:val="28"/>
          <w:szCs w:val="28"/>
        </w:rPr>
        <w:t xml:space="preserve">Attention should also be paid to the possibility of cross resistance between clarithromycin and other macrolide drugs, as well as lincomycin and clindamycin. </w:t>
      </w:r>
    </w:p>
    <w:p w14:paraId="20F39466" w14:textId="77777777" w:rsidR="003847D8" w:rsidRDefault="003847D8" w:rsidP="003847D8">
      <w:pPr>
        <w:spacing w:after="240" w:line="360" w:lineRule="auto"/>
        <w:ind w:left="720"/>
        <w:jc w:val="thaiDistribute"/>
        <w:rPr>
          <w:rFonts w:ascii="Times New Roman" w:hAnsi="Times New Roman" w:cs="Times New Roman"/>
          <w:sz w:val="28"/>
          <w:szCs w:val="28"/>
          <w:u w:val="single"/>
        </w:rPr>
      </w:pPr>
      <w:r w:rsidRPr="003847D8">
        <w:rPr>
          <w:rFonts w:ascii="Times New Roman" w:hAnsi="Times New Roman" w:cs="Times New Roman"/>
          <w:sz w:val="28"/>
          <w:szCs w:val="28"/>
          <w:u w:val="single"/>
        </w:rPr>
        <w:t xml:space="preserve">Excipients  </w:t>
      </w:r>
    </w:p>
    <w:p w14:paraId="511C3AAA" w14:textId="4704DF33" w:rsidR="003847D8" w:rsidRPr="003847D8" w:rsidRDefault="003847D8" w:rsidP="003847D8">
      <w:pPr>
        <w:spacing w:after="240" w:line="360" w:lineRule="auto"/>
        <w:ind w:left="720"/>
        <w:jc w:val="thaiDistribute"/>
        <w:rPr>
          <w:rFonts w:ascii="Times New Roman" w:hAnsi="Times New Roman" w:cs="Times New Roman"/>
          <w:color w:val="FF0000"/>
          <w:sz w:val="28"/>
          <w:szCs w:val="28"/>
          <w:u w:val="single"/>
        </w:rPr>
      </w:pPr>
      <w:r w:rsidRPr="003847D8">
        <w:rPr>
          <w:rFonts w:ascii="Times New Roman" w:hAnsi="Times New Roman" w:cs="Times New Roman"/>
          <w:color w:val="FF0000"/>
          <w:sz w:val="28"/>
          <w:szCs w:val="28"/>
        </w:rPr>
        <w:t xml:space="preserve">&lt;Regarding the approval&gt; </w:t>
      </w:r>
    </w:p>
    <w:p w14:paraId="430374A8" w14:textId="77777777" w:rsidR="003847D8" w:rsidRPr="003847D8" w:rsidRDefault="003847D8" w:rsidP="003847D8">
      <w:pPr>
        <w:rPr>
          <w:rFonts w:ascii="Times New Roman" w:hAnsi="Times New Roman" w:cs="Times New Roman"/>
          <w:sz w:val="28"/>
          <w:szCs w:val="28"/>
        </w:rPr>
      </w:pPr>
      <w:r w:rsidRPr="003847D8">
        <w:rPr>
          <w:rFonts w:ascii="Times New Roman" w:hAnsi="Times New Roman" w:cs="Times New Roman"/>
          <w:sz w:val="28"/>
          <w:szCs w:val="28"/>
        </w:rPr>
        <w:t xml:space="preserve"> </w:t>
      </w:r>
    </w:p>
    <w:p w14:paraId="7BA42AFF" w14:textId="77777777" w:rsidR="003847D8" w:rsidRDefault="003847D8" w:rsidP="003847D8">
      <w:pPr>
        <w:pStyle w:val="ListParagraph"/>
        <w:numPr>
          <w:ilvl w:val="1"/>
          <w:numId w:val="2"/>
        </w:numPr>
        <w:spacing w:after="240" w:line="360" w:lineRule="auto"/>
        <w:ind w:left="788" w:hanging="431"/>
        <w:contextualSpacing w:val="0"/>
        <w:rPr>
          <w:rFonts w:ascii="Times New Roman" w:hAnsi="Times New Roman" w:cs="Times New Roman"/>
          <w:sz w:val="28"/>
          <w:szCs w:val="28"/>
        </w:rPr>
      </w:pPr>
      <w:r w:rsidRPr="003847D8">
        <w:rPr>
          <w:rFonts w:ascii="Times New Roman" w:hAnsi="Times New Roman" w:cs="Times New Roman"/>
          <w:b/>
          <w:bCs/>
          <w:sz w:val="28"/>
          <w:szCs w:val="28"/>
        </w:rPr>
        <w:lastRenderedPageBreak/>
        <w:t>Interaction with other medicinal products and other forms of interaction</w:t>
      </w:r>
      <w:r w:rsidRPr="003847D8">
        <w:rPr>
          <w:rFonts w:ascii="Times New Roman" w:hAnsi="Times New Roman" w:cs="Times New Roman"/>
          <w:sz w:val="28"/>
          <w:szCs w:val="28"/>
        </w:rPr>
        <w:t xml:space="preserve">  </w:t>
      </w:r>
    </w:p>
    <w:p w14:paraId="768D9809"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The use of the following drugs is strictly contraindicated due to the potential for severe drug interaction effects:  </w:t>
      </w:r>
    </w:p>
    <w:p w14:paraId="4EAC61CF" w14:textId="77777777" w:rsidR="003847D8" w:rsidRP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u w:val="single"/>
        </w:rPr>
      </w:pPr>
      <w:r w:rsidRPr="003847D8">
        <w:rPr>
          <w:rFonts w:ascii="Times New Roman" w:hAnsi="Times New Roman" w:cs="Times New Roman"/>
          <w:sz w:val="28"/>
          <w:szCs w:val="28"/>
          <w:u w:val="single"/>
        </w:rPr>
        <w:t xml:space="preserve">Astemizole, cisapride, domperidone, pimozide, and terfenadine:  </w:t>
      </w:r>
    </w:p>
    <w:p w14:paraId="78C7D562"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Elevated cisapride levels have been reported in patients receiving clarithromycin and cisapride concomitantly. This may result in QT prolongation and cardiac arrhythmias including ventricular tachycardia, ventricular fibrillation and torsades de pointes. Similar effects have been observed in patients taking clarithromycin and pimozide concomitantly (see section 4.3).  </w:t>
      </w:r>
    </w:p>
    <w:p w14:paraId="1095F017"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Macrolides have been reported to alter the metabolism of terfenadine resulting in increased levels of terfenadine which has occasionally been associated with cardiac arrhythmias, such as QT prolongation, ventricular tachycardia, ventricular fibrillation and torsades de pointes (see section 4.3). In one study in 14 healthy volunteers, the concomitant administration of clarithromycin and terfenadine resulted in 2- to 3-fold increase in the serum level of the acid metabolite of terfenadine and in prolongation of the QT interval which did not lead to any clinically detectable effect. Similar effects have been observed with concomitant administration of astemizole and other macrolides.  </w:t>
      </w:r>
    </w:p>
    <w:p w14:paraId="640E67D0" w14:textId="77777777" w:rsidR="003847D8" w:rsidRDefault="003847D8">
      <w:pPr>
        <w:rPr>
          <w:rFonts w:ascii="Times New Roman" w:hAnsi="Times New Roman" w:cs="Times New Roman"/>
          <w:sz w:val="28"/>
          <w:szCs w:val="28"/>
        </w:rPr>
      </w:pPr>
      <w:r>
        <w:rPr>
          <w:rFonts w:ascii="Times New Roman" w:hAnsi="Times New Roman" w:cs="Times New Roman"/>
          <w:sz w:val="28"/>
          <w:szCs w:val="28"/>
        </w:rPr>
        <w:br w:type="page"/>
      </w:r>
    </w:p>
    <w:p w14:paraId="39D7E8F9" w14:textId="77777777" w:rsidR="003847D8" w:rsidRP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u w:val="single"/>
        </w:rPr>
      </w:pPr>
      <w:r w:rsidRPr="003847D8">
        <w:rPr>
          <w:rFonts w:ascii="Times New Roman" w:hAnsi="Times New Roman" w:cs="Times New Roman"/>
          <w:sz w:val="28"/>
          <w:szCs w:val="28"/>
          <w:u w:val="single"/>
        </w:rPr>
        <w:lastRenderedPageBreak/>
        <w:t xml:space="preserve">Ergot alkaloids:  </w:t>
      </w:r>
    </w:p>
    <w:p w14:paraId="10FCE061"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Post-marketing reports indicate that co-administration of clarithromycin with ergotamine or dihydroergotamine has been associated with acute ergot toxicity characterized by vasospasm, and ischaemia of the extremities and other tissues including the central nervous system. Concomitant administration of clarithromycin and ergot alkaloids is contraindicated (see section 4.3).  </w:t>
      </w:r>
    </w:p>
    <w:p w14:paraId="69B3305E" w14:textId="3D6EA6CF" w:rsidR="003847D8" w:rsidRP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u w:val="single"/>
        </w:rPr>
      </w:pPr>
      <w:r w:rsidRPr="003847D8">
        <w:rPr>
          <w:rFonts w:ascii="Times New Roman" w:hAnsi="Times New Roman" w:cs="Times New Roman"/>
          <w:sz w:val="28"/>
          <w:szCs w:val="28"/>
          <w:u w:val="single"/>
        </w:rPr>
        <w:t>Oral Midazolam</w:t>
      </w:r>
      <w:r>
        <w:rPr>
          <w:rFonts w:ascii="Times New Roman" w:hAnsi="Times New Roman" w:cs="Times New Roman"/>
          <w:sz w:val="28"/>
          <w:szCs w:val="28"/>
          <w:u w:val="single"/>
        </w:rPr>
        <w:t>:</w:t>
      </w:r>
    </w:p>
    <w:p w14:paraId="6BD7E0C7"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When midazolam was co-administered with clarithromycin tablets (500 mg twice daily), midazolam AUC was increased 7-fold after oral administration of midazolam. Concomitant administration of oral midazolam and clarithromycin is contraindicated (see section 4.3).  </w:t>
      </w:r>
    </w:p>
    <w:p w14:paraId="7C0B6019" w14:textId="77777777" w:rsidR="003847D8" w:rsidRDefault="003847D8" w:rsidP="003847D8">
      <w:pPr>
        <w:pStyle w:val="ListParagraph"/>
        <w:spacing w:line="360" w:lineRule="auto"/>
        <w:ind w:left="792"/>
        <w:jc w:val="thaiDistribute"/>
        <w:rPr>
          <w:rFonts w:ascii="Times New Roman" w:hAnsi="Times New Roman" w:cs="Times New Roman"/>
          <w:sz w:val="28"/>
          <w:szCs w:val="28"/>
          <w:u w:val="single"/>
        </w:rPr>
      </w:pPr>
      <w:r w:rsidRPr="003847D8">
        <w:rPr>
          <w:rFonts w:ascii="Times New Roman" w:hAnsi="Times New Roman" w:cs="Times New Roman"/>
          <w:sz w:val="28"/>
          <w:szCs w:val="28"/>
          <w:u w:val="single"/>
        </w:rPr>
        <w:t>HMG-CoA Reductase Inhibitors (statins)</w:t>
      </w:r>
      <w:r>
        <w:rPr>
          <w:rFonts w:ascii="Times New Roman" w:hAnsi="Times New Roman" w:cs="Times New Roman"/>
          <w:sz w:val="28"/>
          <w:szCs w:val="28"/>
          <w:u w:val="single"/>
        </w:rPr>
        <w:t>:</w:t>
      </w:r>
    </w:p>
    <w:p w14:paraId="0D7D93CC" w14:textId="77777777" w:rsidR="003847D8" w:rsidRDefault="003847D8" w:rsidP="003847D8">
      <w:pPr>
        <w:pStyle w:val="ListParagraph"/>
        <w:spacing w:line="360" w:lineRule="auto"/>
        <w:ind w:left="792"/>
        <w:jc w:val="thaiDistribute"/>
        <w:rPr>
          <w:rFonts w:ascii="Times New Roman" w:hAnsi="Times New Roman" w:cs="Times New Roman"/>
          <w:sz w:val="28"/>
          <w:szCs w:val="28"/>
        </w:rPr>
      </w:pPr>
      <w:r w:rsidRPr="003847D8">
        <w:rPr>
          <w:rFonts w:ascii="Times New Roman" w:hAnsi="Times New Roman" w:cs="Times New Roman"/>
          <w:sz w:val="28"/>
          <w:szCs w:val="28"/>
        </w:rPr>
        <w:t xml:space="preserve">Concomitant use of clarithromycin with lovastatin or simvastatin is contraindicated (see 4.3) as these statins are extensively metabolized by CYP3A4 and concomitant treatment with clarithromycin increases their plasma concentration, which increases the risk of myopathy, including rhabdomyolysis. Reports of rhabdomyolysis have been received for patients taking clarithromycin concomitantly with these statins. If treatment with clarithromycin cannot be avoided, therapy with lovastatin or simvastatin must be suspended during the course of treatment.  </w:t>
      </w:r>
    </w:p>
    <w:p w14:paraId="60F0BFE3" w14:textId="77777777" w:rsidR="003847D8" w:rsidRDefault="003847D8" w:rsidP="003847D8">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lastRenderedPageBreak/>
        <w:t xml:space="preserve">Caution should be exercised when prescribing clarithromycin with statins. In situations where the concomitant use of clarithromycin with statins cannot be avoided, it is recommended to prescribe the lowest registered dose of the statin. Use of a statin that is not dependent on CYP3A metabolism (e.g. fluvastatin) can be considered. Patients should be monitored for signs and symptoms of myopathy.  </w:t>
      </w:r>
    </w:p>
    <w:p w14:paraId="2568ED15" w14:textId="77777777" w:rsidR="00BC6893" w:rsidRDefault="003847D8" w:rsidP="00BC6893">
      <w:pPr>
        <w:pStyle w:val="ListParagraph"/>
        <w:spacing w:line="360" w:lineRule="auto"/>
        <w:ind w:left="792"/>
        <w:jc w:val="thaiDistribute"/>
        <w:rPr>
          <w:rFonts w:ascii="Times New Roman" w:hAnsi="Times New Roman" w:cs="Times New Roman"/>
          <w:sz w:val="28"/>
          <w:szCs w:val="28"/>
          <w:u w:val="single"/>
        </w:rPr>
      </w:pPr>
      <w:r w:rsidRPr="003847D8">
        <w:rPr>
          <w:rFonts w:ascii="Times New Roman" w:hAnsi="Times New Roman" w:cs="Times New Roman"/>
          <w:sz w:val="28"/>
          <w:szCs w:val="28"/>
          <w:u w:val="single"/>
        </w:rPr>
        <w:t xml:space="preserve">Effects of Other Medicinal Products on Clarithromycin  </w:t>
      </w:r>
    </w:p>
    <w:p w14:paraId="403DD27B" w14:textId="77777777" w:rsidR="008F34E3" w:rsidRDefault="003847D8" w:rsidP="00BC6893">
      <w:pPr>
        <w:pStyle w:val="ListParagraph"/>
        <w:spacing w:after="240" w:line="360" w:lineRule="auto"/>
        <w:ind w:left="794"/>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rPr>
        <w:t xml:space="preserve">Drugs that are </w:t>
      </w:r>
      <w:r w:rsidRPr="00BC6893">
        <w:rPr>
          <w:rFonts w:ascii="Times New Roman" w:hAnsi="Times New Roman" w:cs="Times New Roman"/>
          <w:i/>
          <w:iCs/>
          <w:sz w:val="28"/>
          <w:szCs w:val="28"/>
        </w:rPr>
        <w:t>inducers</w:t>
      </w:r>
      <w:r w:rsidRPr="00BC6893">
        <w:rPr>
          <w:rFonts w:ascii="Times New Roman" w:hAnsi="Times New Roman" w:cs="Times New Roman"/>
          <w:sz w:val="28"/>
          <w:szCs w:val="28"/>
        </w:rPr>
        <w:t xml:space="preserve"> of CYP3A (e.g. rifampicin, phenytoin, carbamazepine, phenobarbital, St John’s wort) may induce the metabolism of clarithromycin. This may result in sub-therapeutic levels of clarithromycin leading to reduced efficacy. Furthermore, it might be necessary to monitor the plasma levels of the CYP3A inducer, which could be increased owing to the inhibition of CYP3A by clarithromycin (see also the relevant product information for the CYP3A4 inducer administered). Concomitant administration of rifabutin and clarithromycin resulted in an increase in rifabutin, and decrease in clarithromycin serum levels together with an increased risk of uveitis. The following drugs are known or suspected to affect circulating concentrations of clarithromycin; clarithromycin dosage adjustment or consideration of alternative treatments may be required.  </w:t>
      </w:r>
    </w:p>
    <w:p w14:paraId="599474F3" w14:textId="77777777" w:rsidR="008F34E3" w:rsidRDefault="003847D8" w:rsidP="00BC6893">
      <w:pPr>
        <w:pStyle w:val="ListParagraph"/>
        <w:spacing w:after="240" w:line="360" w:lineRule="auto"/>
        <w:ind w:left="794"/>
        <w:contextualSpacing w:val="0"/>
        <w:jc w:val="thaiDistribute"/>
        <w:rPr>
          <w:rFonts w:ascii="Times New Roman" w:hAnsi="Times New Roman" w:cs="Times New Roman"/>
          <w:sz w:val="28"/>
          <w:szCs w:val="28"/>
        </w:rPr>
      </w:pPr>
      <w:r w:rsidRPr="008F34E3">
        <w:rPr>
          <w:rFonts w:ascii="Times New Roman" w:hAnsi="Times New Roman" w:cs="Times New Roman"/>
          <w:sz w:val="28"/>
          <w:szCs w:val="28"/>
          <w:u w:val="single"/>
        </w:rPr>
        <w:t>Efavirenz, nevirapine, rifampicin, rifabutin and rifapentine</w:t>
      </w:r>
      <w:r w:rsidRPr="00BC6893">
        <w:rPr>
          <w:rFonts w:ascii="Times New Roman" w:hAnsi="Times New Roman" w:cs="Times New Roman"/>
          <w:sz w:val="28"/>
          <w:szCs w:val="28"/>
        </w:rPr>
        <w:t xml:space="preserve">  </w:t>
      </w:r>
    </w:p>
    <w:p w14:paraId="6F8AC953" w14:textId="1EC07D52" w:rsidR="00BC6893" w:rsidRPr="00BC6893" w:rsidRDefault="003847D8" w:rsidP="00BC6893">
      <w:pPr>
        <w:pStyle w:val="ListParagraph"/>
        <w:spacing w:after="240" w:line="360" w:lineRule="auto"/>
        <w:ind w:left="794"/>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rPr>
        <w:t xml:space="preserve">Strong inducers of the cytochrome P450 metabolism system such as efavirenz, nevirapine, rifampicin, rifabutin, and rifapentine may accelerate </w:t>
      </w:r>
      <w:r w:rsidRPr="00BC6893">
        <w:rPr>
          <w:rFonts w:ascii="Times New Roman" w:hAnsi="Times New Roman" w:cs="Times New Roman"/>
          <w:sz w:val="28"/>
          <w:szCs w:val="28"/>
        </w:rPr>
        <w:lastRenderedPageBreak/>
        <w:t xml:space="preserve">the metabolism of clarithromycin and thus lower the plasma levels of clarithromycin, while increasing those of 14-OH-clarithromycin, a metabolite that is also microbiologically active.  Since the microbiological activities of clarithromycin and 14-OH-clarithromycin are different for different bacteria, the intended therapeutic effect could be impaired during concomitant administration of clarithromycin and enzyme inducers. Etravirine  Clarithromycin exposure was decreased by etravirine; however, concentrations of the active metabolite, 14-OH-clarithromycin, were increased. Because 14OHclarithromycin has reduced activity against Mycobacterium avium complex (MAC), overall activity against this pathogen may be altered; therefore alternatives to clarithromycin should be considered for the treatment of MAC.  </w:t>
      </w:r>
    </w:p>
    <w:p w14:paraId="497E1ED6" w14:textId="77777777" w:rsidR="008F34E3" w:rsidRDefault="003847D8" w:rsidP="00BC6893">
      <w:pPr>
        <w:pStyle w:val="ListParagraph"/>
        <w:spacing w:after="240" w:line="360" w:lineRule="auto"/>
        <w:ind w:left="794"/>
        <w:contextualSpacing w:val="0"/>
        <w:jc w:val="thaiDistribute"/>
        <w:rPr>
          <w:rFonts w:ascii="Times New Roman" w:hAnsi="Times New Roman" w:cs="Times New Roman"/>
          <w:sz w:val="28"/>
          <w:szCs w:val="28"/>
        </w:rPr>
      </w:pPr>
      <w:r w:rsidRPr="008F34E3">
        <w:rPr>
          <w:rFonts w:ascii="Times New Roman" w:hAnsi="Times New Roman" w:cs="Times New Roman"/>
          <w:sz w:val="28"/>
          <w:szCs w:val="28"/>
          <w:u w:val="single"/>
        </w:rPr>
        <w:t>Fluconazole</w:t>
      </w:r>
      <w:r w:rsidRPr="003847D8">
        <w:rPr>
          <w:rFonts w:ascii="Times New Roman" w:hAnsi="Times New Roman" w:cs="Times New Roman"/>
          <w:sz w:val="28"/>
          <w:szCs w:val="28"/>
        </w:rPr>
        <w:t xml:space="preserve">  </w:t>
      </w:r>
    </w:p>
    <w:p w14:paraId="5D78E28A" w14:textId="2F577707" w:rsidR="00BC6893" w:rsidRDefault="003847D8" w:rsidP="00BC6893">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Concomitant administration of fluconazole 200 mg daily and clarithromycin 500 mg twice daily to 21 healthy volunteers led to increases in the mean steady-state minimum clarithromycin concentration (Cmin) and area under the curve (AUC) of 33% and 18% respectively. Steady state concentrations of the active metabolite 14OH-clarithromycin were not significantly affected by concomitant administration of fluconazole. No clarithromycin dose adjustment is necessary.  </w:t>
      </w:r>
    </w:p>
    <w:p w14:paraId="3F514B45" w14:textId="77777777" w:rsidR="008F34E3" w:rsidRDefault="008F34E3">
      <w:pPr>
        <w:rPr>
          <w:rFonts w:ascii="Times New Roman" w:hAnsi="Times New Roman" w:cs="Times New Roman"/>
          <w:sz w:val="28"/>
          <w:szCs w:val="28"/>
          <w:u w:val="single"/>
        </w:rPr>
      </w:pPr>
      <w:r>
        <w:rPr>
          <w:rFonts w:ascii="Times New Roman" w:hAnsi="Times New Roman" w:cs="Times New Roman"/>
          <w:sz w:val="28"/>
          <w:szCs w:val="28"/>
          <w:u w:val="single"/>
        </w:rPr>
        <w:br w:type="page"/>
      </w:r>
    </w:p>
    <w:p w14:paraId="55460C89" w14:textId="28A439FC" w:rsidR="008F34E3" w:rsidRDefault="003847D8" w:rsidP="008F34E3">
      <w:pPr>
        <w:pStyle w:val="ListParagraph"/>
        <w:spacing w:after="240" w:line="360" w:lineRule="auto"/>
        <w:ind w:left="794"/>
        <w:contextualSpacing w:val="0"/>
        <w:jc w:val="thaiDistribute"/>
        <w:rPr>
          <w:rFonts w:ascii="Times New Roman" w:hAnsi="Times New Roman" w:cs="Times New Roman"/>
          <w:sz w:val="28"/>
          <w:szCs w:val="28"/>
        </w:rPr>
      </w:pPr>
      <w:r w:rsidRPr="008F34E3">
        <w:rPr>
          <w:rFonts w:ascii="Times New Roman" w:hAnsi="Times New Roman" w:cs="Times New Roman"/>
          <w:sz w:val="28"/>
          <w:szCs w:val="28"/>
          <w:u w:val="single"/>
        </w:rPr>
        <w:lastRenderedPageBreak/>
        <w:t>Ritonavir</w:t>
      </w:r>
      <w:r w:rsidRPr="003847D8">
        <w:rPr>
          <w:rFonts w:ascii="Times New Roman" w:hAnsi="Times New Roman" w:cs="Times New Roman"/>
          <w:sz w:val="28"/>
          <w:szCs w:val="28"/>
        </w:rPr>
        <w:t xml:space="preserve">  </w:t>
      </w:r>
    </w:p>
    <w:p w14:paraId="417BEB63" w14:textId="0671C2AD" w:rsidR="003847D8" w:rsidRPr="003847D8" w:rsidRDefault="003847D8" w:rsidP="00BC6893">
      <w:pPr>
        <w:pStyle w:val="ListParagraph"/>
        <w:spacing w:line="360" w:lineRule="auto"/>
        <w:ind w:left="792"/>
        <w:jc w:val="thaiDistribute"/>
        <w:rPr>
          <w:rFonts w:ascii="Times New Roman" w:hAnsi="Times New Roman" w:cs="Times New Roman"/>
          <w:sz w:val="28"/>
          <w:szCs w:val="28"/>
        </w:rPr>
      </w:pPr>
      <w:r w:rsidRPr="003847D8">
        <w:rPr>
          <w:rFonts w:ascii="Times New Roman" w:hAnsi="Times New Roman" w:cs="Times New Roman"/>
          <w:sz w:val="28"/>
          <w:szCs w:val="28"/>
        </w:rPr>
        <w:t xml:space="preserve">A pharmacokinetic study demonstrated that the concomitant administration of ritonavir 200 mg every eight hours and clarithromycin 500 mg every 12 hours resulted in a marked inhibition of the metabolism of clarithromycin. The clarithromycin Cmax increased by 31%, Cmin increased 182% and AUC increased by 77% with concomitant administration of ritonavir. An essentially complete inhibition of the formation of 14-OH-clarithromycin was noted. Because of the large therapeutic window for clarithromycin, no dosage reduction should be necessary in patients with normal renal function. However, for patients with renal impairment, the following dosage adjustments should be considered: For patients with CLCR 30 to 60 mL/min the dose of clarithromycin should be reduced by 50%. For patients with CLCR &lt;30 mL/min the dose of clarithromycin should be decreased by 75%. Doses of clarithromycin greater than 1 g /day should not be co-administered with ritonavir.  Similar dose adjustments should be considered in patients with reduced renal function when ritonavir is used as a pharmacokinetic enhancer with other HIV protease inhibitors including atazanavir and saquinavir (see section below, Bi-directional drug interactions).  </w:t>
      </w:r>
    </w:p>
    <w:p w14:paraId="4A020A02" w14:textId="77777777" w:rsidR="003847D8" w:rsidRPr="00BC6893" w:rsidRDefault="003847D8" w:rsidP="00BC6893">
      <w:pPr>
        <w:ind w:firstLine="720"/>
        <w:rPr>
          <w:rFonts w:ascii="Times New Roman" w:hAnsi="Times New Roman" w:cs="Times New Roman"/>
          <w:i/>
          <w:iCs/>
          <w:sz w:val="28"/>
          <w:szCs w:val="28"/>
        </w:rPr>
      </w:pPr>
      <w:r w:rsidRPr="00BC6893">
        <w:rPr>
          <w:rFonts w:ascii="Times New Roman" w:hAnsi="Times New Roman" w:cs="Times New Roman"/>
          <w:i/>
          <w:iCs/>
          <w:sz w:val="28"/>
          <w:szCs w:val="28"/>
        </w:rPr>
        <w:t xml:space="preserve">Effect of Clarithromycin on Other Medicinal Products  </w:t>
      </w:r>
    </w:p>
    <w:p w14:paraId="113D07FF" w14:textId="77777777" w:rsidR="008F34E3" w:rsidRDefault="003847D8" w:rsidP="00BC6893">
      <w:pPr>
        <w:pStyle w:val="ListParagraph"/>
        <w:numPr>
          <w:ilvl w:val="0"/>
          <w:numId w:val="9"/>
        </w:numPr>
        <w:spacing w:line="360" w:lineRule="auto"/>
        <w:jc w:val="thaiDistribute"/>
        <w:rPr>
          <w:rFonts w:ascii="Times New Roman" w:hAnsi="Times New Roman" w:cs="Times New Roman"/>
          <w:sz w:val="28"/>
          <w:szCs w:val="28"/>
        </w:rPr>
      </w:pPr>
      <w:r w:rsidRPr="008F34E3">
        <w:rPr>
          <w:rFonts w:ascii="Times New Roman" w:hAnsi="Times New Roman" w:cs="Times New Roman"/>
          <w:sz w:val="28"/>
          <w:szCs w:val="28"/>
          <w:u w:val="single"/>
        </w:rPr>
        <w:t>CYP3A-based interactions</w:t>
      </w:r>
      <w:r w:rsidRPr="00BC6893">
        <w:rPr>
          <w:rFonts w:ascii="Times New Roman" w:hAnsi="Times New Roman" w:cs="Times New Roman"/>
          <w:sz w:val="28"/>
          <w:szCs w:val="28"/>
        </w:rPr>
        <w:t xml:space="preserve">  </w:t>
      </w:r>
    </w:p>
    <w:p w14:paraId="3364CADC" w14:textId="176D179D" w:rsidR="00BC6893" w:rsidRPr="008F34E3" w:rsidRDefault="003847D8" w:rsidP="008F34E3">
      <w:pPr>
        <w:spacing w:line="360" w:lineRule="auto"/>
        <w:ind w:left="1080"/>
        <w:jc w:val="thaiDistribute"/>
        <w:rPr>
          <w:rFonts w:ascii="Times New Roman" w:hAnsi="Times New Roman" w:cs="Times New Roman"/>
          <w:sz w:val="28"/>
          <w:szCs w:val="28"/>
        </w:rPr>
      </w:pPr>
      <w:r w:rsidRPr="008F34E3">
        <w:rPr>
          <w:rFonts w:ascii="Times New Roman" w:hAnsi="Times New Roman" w:cs="Times New Roman"/>
          <w:sz w:val="28"/>
          <w:szCs w:val="28"/>
        </w:rPr>
        <w:t xml:space="preserve">Co-administration of clarithromycin, which is known to inhibit CYP3A, and a drug primarily metabolised by CYP3A may be associated with </w:t>
      </w:r>
      <w:r w:rsidRPr="008F34E3">
        <w:rPr>
          <w:rFonts w:ascii="Times New Roman" w:hAnsi="Times New Roman" w:cs="Times New Roman"/>
          <w:sz w:val="28"/>
          <w:szCs w:val="28"/>
        </w:rPr>
        <w:lastRenderedPageBreak/>
        <w:t xml:space="preserve">elevations in drug concentrations that could increase or prolong both therapeutic and adverse effects of the concomitant drug. The use of clarithromycin is contraindicated in patients receiving the CYP3A substrates astemizole, cisapride, domperidone, pimozide and terfenadine due to the risk of QT prolongation and cardiac arrhythmias, including ventricular tachycardia, ventricular fibrillation, and torsades de pointes (see sections 4.3 and 4.4).  The use of clarithromycin is also contraindicated with ergot alkaloids, oral midazolam, HMG CoA reductase inhibitors metabolised mainly by CYP3A4 (e.g. lovastatin and simvastatin), colchicine, ticagrelor and ranolazine (see section 4.3).  Concomitant administration of clarithromycin with lomitapide is contraindicated due to the potential for markedly increased transaminases (see section 4.3). Caution is required if clarithromycin is co-administered with other drugs known to be CYP3A enzyme substrates, especially if the CYP3A substrate has a narrow safety margin (e.g. carbamazepine) and/or the substrate is extensively metabolised by this enzyme. Dosage adjustments may be considered, and when possible, serum concentrations of drugs primarily metabolised by CYP3A should be monitored closely in patients concurrently receiving clarithromycin. Drugs or drug classes that are known or suspected to be metabolised by the same CYP3A isozyme include (but this list is not comprehensive) alprazolam, carbamazepine, cilostazole, ciclosporin, disopyramide, ibrutinib, methadone, methylprednisolone, midazolam (intravenous), omeprazole, oral anticoagulants (e.g. </w:t>
      </w:r>
      <w:r w:rsidRPr="008F34E3">
        <w:rPr>
          <w:rFonts w:ascii="Times New Roman" w:hAnsi="Times New Roman" w:cs="Times New Roman"/>
          <w:sz w:val="28"/>
          <w:szCs w:val="28"/>
        </w:rPr>
        <w:lastRenderedPageBreak/>
        <w:t xml:space="preserve">warfarin, rivaroxaban, apixaban), atypical antipsychotics (e.g. quetiapine), quinidine, rifabutin, sildenafil, sirolimus, tacrolimus, triazolam and vinblastine. Drugs interacting by similar mechanisms through other isozymes within the cytochrome P450 system include phenytoin, theophylline and valproate.  </w:t>
      </w:r>
    </w:p>
    <w:p w14:paraId="7095C81A" w14:textId="77777777" w:rsidR="008F34E3" w:rsidRDefault="003847D8" w:rsidP="008F34E3">
      <w:pPr>
        <w:pStyle w:val="ListParagraph"/>
        <w:numPr>
          <w:ilvl w:val="0"/>
          <w:numId w:val="9"/>
        </w:numPr>
        <w:spacing w:before="100" w:beforeAutospacing="1" w:after="240" w:line="360" w:lineRule="auto"/>
        <w:ind w:left="1077" w:hanging="357"/>
        <w:contextualSpacing w:val="0"/>
        <w:jc w:val="thaiDistribute"/>
        <w:rPr>
          <w:rFonts w:ascii="Times New Roman" w:hAnsi="Times New Roman" w:cs="Times New Roman"/>
          <w:sz w:val="28"/>
          <w:szCs w:val="28"/>
        </w:rPr>
      </w:pPr>
      <w:r w:rsidRPr="008F34E3">
        <w:rPr>
          <w:rFonts w:ascii="Times New Roman" w:hAnsi="Times New Roman" w:cs="Times New Roman"/>
          <w:sz w:val="28"/>
          <w:szCs w:val="28"/>
          <w:u w:val="single"/>
        </w:rPr>
        <w:t>Antiarrhythmics</w:t>
      </w:r>
      <w:r w:rsidRPr="00BC6893">
        <w:rPr>
          <w:rFonts w:ascii="Times New Roman" w:hAnsi="Times New Roman" w:cs="Times New Roman"/>
          <w:sz w:val="28"/>
          <w:szCs w:val="28"/>
        </w:rPr>
        <w:t xml:space="preserve">  </w:t>
      </w:r>
    </w:p>
    <w:p w14:paraId="312062E0" w14:textId="4F2F9C8E" w:rsidR="00BC6893" w:rsidRDefault="003847D8" w:rsidP="008F34E3">
      <w:pPr>
        <w:pStyle w:val="ListParagraph"/>
        <w:spacing w:line="360" w:lineRule="auto"/>
        <w:ind w:left="1080"/>
        <w:jc w:val="thaiDistribute"/>
        <w:rPr>
          <w:rFonts w:ascii="Times New Roman" w:hAnsi="Times New Roman" w:cs="Times New Roman"/>
          <w:sz w:val="28"/>
          <w:szCs w:val="28"/>
        </w:rPr>
      </w:pPr>
      <w:r w:rsidRPr="00BC6893">
        <w:rPr>
          <w:rFonts w:ascii="Times New Roman" w:hAnsi="Times New Roman" w:cs="Times New Roman"/>
          <w:sz w:val="28"/>
          <w:szCs w:val="28"/>
        </w:rPr>
        <w:t xml:space="preserve">concurrent use of clarithromycin and quinidine or disopyramide. Electrocardiograms should be monitored for QT prolongation during co-administration of clarithromycin with these drugs. Serum levels of quinidine and disopyramide should be monitored during clarithromycin therapy.  </w:t>
      </w:r>
    </w:p>
    <w:p w14:paraId="178EC1FA" w14:textId="77777777" w:rsidR="00BC6893" w:rsidRDefault="003847D8" w:rsidP="008F34E3">
      <w:pPr>
        <w:pStyle w:val="ListParagraph"/>
        <w:spacing w:after="240" w:line="360" w:lineRule="auto"/>
        <w:ind w:left="1077"/>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rPr>
        <w:t xml:space="preserve">There have been post marketing reports of hypoglycemia with the concomitant administration of clarithromycin and disopyramide. Therefore blood glucose levels should be monitored during concomitant administration of clarithromycin and disopyramide.  </w:t>
      </w:r>
    </w:p>
    <w:p w14:paraId="4898FB77" w14:textId="77777777" w:rsidR="008F34E3" w:rsidRDefault="003847D8" w:rsidP="008F34E3">
      <w:pPr>
        <w:pStyle w:val="ListParagraph"/>
        <w:numPr>
          <w:ilvl w:val="0"/>
          <w:numId w:val="9"/>
        </w:numPr>
        <w:spacing w:after="240" w:line="360" w:lineRule="auto"/>
        <w:ind w:left="1077" w:hanging="357"/>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rPr>
        <w:t xml:space="preserve"> </w:t>
      </w:r>
      <w:r w:rsidRPr="008F34E3">
        <w:rPr>
          <w:rFonts w:ascii="Times New Roman" w:hAnsi="Times New Roman" w:cs="Times New Roman"/>
          <w:sz w:val="28"/>
          <w:szCs w:val="28"/>
          <w:u w:val="single"/>
        </w:rPr>
        <w:t>Oral hypoglycemic agents/Insulin</w:t>
      </w:r>
      <w:r w:rsidRPr="00BC6893">
        <w:rPr>
          <w:rFonts w:ascii="Times New Roman" w:hAnsi="Times New Roman" w:cs="Times New Roman"/>
          <w:sz w:val="28"/>
          <w:szCs w:val="28"/>
        </w:rPr>
        <w:t xml:space="preserve"> </w:t>
      </w:r>
    </w:p>
    <w:p w14:paraId="193C2767" w14:textId="4AC6D2FC" w:rsidR="00BC6893" w:rsidRDefault="003847D8" w:rsidP="008F34E3">
      <w:pPr>
        <w:pStyle w:val="ListParagraph"/>
        <w:spacing w:after="240" w:line="360" w:lineRule="auto"/>
        <w:ind w:left="1077"/>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rPr>
        <w:t xml:space="preserve">With certain hypoglycemic drugs such as nateglinide, and repaglinide, inhibition of CYP3A enzyme by clarithromycin may be involved and could cause hypoglycaemia when used concomitantly. Careful monitoring of glucose is recommended. </w:t>
      </w:r>
    </w:p>
    <w:p w14:paraId="20E543E0" w14:textId="77777777" w:rsidR="008F34E3" w:rsidRDefault="008F34E3">
      <w:pPr>
        <w:rPr>
          <w:rFonts w:ascii="Times New Roman" w:hAnsi="Times New Roman" w:cs="Times New Roman"/>
          <w:sz w:val="28"/>
          <w:szCs w:val="28"/>
          <w:u w:val="single"/>
        </w:rPr>
      </w:pPr>
      <w:r>
        <w:rPr>
          <w:rFonts w:ascii="Times New Roman" w:hAnsi="Times New Roman" w:cs="Times New Roman"/>
          <w:sz w:val="28"/>
          <w:szCs w:val="28"/>
          <w:u w:val="single"/>
        </w:rPr>
        <w:br w:type="page"/>
      </w:r>
    </w:p>
    <w:p w14:paraId="301AA137" w14:textId="08A79AAB" w:rsidR="008F34E3" w:rsidRDefault="003847D8" w:rsidP="008F34E3">
      <w:pPr>
        <w:pStyle w:val="ListParagraph"/>
        <w:numPr>
          <w:ilvl w:val="0"/>
          <w:numId w:val="9"/>
        </w:numPr>
        <w:spacing w:after="240" w:line="360" w:lineRule="auto"/>
        <w:ind w:left="1077" w:hanging="357"/>
        <w:contextualSpacing w:val="0"/>
        <w:jc w:val="thaiDistribute"/>
        <w:rPr>
          <w:rFonts w:ascii="Times New Roman" w:hAnsi="Times New Roman" w:cs="Times New Roman"/>
          <w:sz w:val="28"/>
          <w:szCs w:val="28"/>
        </w:rPr>
      </w:pPr>
      <w:r w:rsidRPr="008F34E3">
        <w:rPr>
          <w:rFonts w:ascii="Times New Roman" w:hAnsi="Times New Roman" w:cs="Times New Roman"/>
          <w:sz w:val="28"/>
          <w:szCs w:val="28"/>
          <w:u w:val="single"/>
        </w:rPr>
        <w:lastRenderedPageBreak/>
        <w:t>Omeprazole</w:t>
      </w:r>
      <w:r w:rsidRPr="00BC6893">
        <w:rPr>
          <w:rFonts w:ascii="Times New Roman" w:hAnsi="Times New Roman" w:cs="Times New Roman"/>
          <w:sz w:val="28"/>
          <w:szCs w:val="28"/>
        </w:rPr>
        <w:t xml:space="preserve">  </w:t>
      </w:r>
    </w:p>
    <w:p w14:paraId="7450B229" w14:textId="7326BC81" w:rsidR="00BC6893" w:rsidRDefault="003847D8" w:rsidP="008F34E3">
      <w:pPr>
        <w:pStyle w:val="ListParagraph"/>
        <w:spacing w:after="240" w:line="360" w:lineRule="auto"/>
        <w:ind w:left="1077"/>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rPr>
        <w:t xml:space="preserve">Clarithromycin (500 mg every 8 hours) was given in combination with omeprazole (40 mg daily) to healthy adult subjects. The steady-state plasma concentrations of omeprazole were increased (Cmax, AUC0-24, and t1/2 increased by 30%, 89%, and 34%, respectively), by the concomitant administration of clarithromycin. The mean 24-hour gastric pH value was 5.2 when omeprazole was administered alone and 5.7 when omeprazole was co-administered with clarithromycin. </w:t>
      </w:r>
    </w:p>
    <w:p w14:paraId="35EC33D7" w14:textId="77777777" w:rsidR="008F34E3" w:rsidRDefault="003847D8" w:rsidP="008F34E3">
      <w:pPr>
        <w:pStyle w:val="ListParagraph"/>
        <w:numPr>
          <w:ilvl w:val="0"/>
          <w:numId w:val="9"/>
        </w:numPr>
        <w:spacing w:after="240" w:line="360" w:lineRule="auto"/>
        <w:ind w:left="1077" w:hanging="357"/>
        <w:contextualSpacing w:val="0"/>
        <w:jc w:val="thaiDistribute"/>
        <w:rPr>
          <w:rFonts w:ascii="Times New Roman" w:hAnsi="Times New Roman" w:cs="Times New Roman"/>
          <w:sz w:val="28"/>
          <w:szCs w:val="28"/>
        </w:rPr>
      </w:pPr>
      <w:r w:rsidRPr="008F34E3">
        <w:rPr>
          <w:rFonts w:ascii="Times New Roman" w:hAnsi="Times New Roman" w:cs="Times New Roman"/>
          <w:sz w:val="28"/>
          <w:szCs w:val="28"/>
          <w:u w:val="single"/>
        </w:rPr>
        <w:t>Direct acting oral anticoagulants (DOACs)</w:t>
      </w:r>
      <w:r w:rsidRPr="00BC6893">
        <w:rPr>
          <w:rFonts w:ascii="Times New Roman" w:hAnsi="Times New Roman" w:cs="Times New Roman"/>
          <w:sz w:val="28"/>
          <w:szCs w:val="28"/>
        </w:rPr>
        <w:t xml:space="preserve"> </w:t>
      </w:r>
    </w:p>
    <w:p w14:paraId="36F776BD" w14:textId="21182265" w:rsidR="003847D8" w:rsidRPr="008F34E3" w:rsidRDefault="003847D8" w:rsidP="008F34E3">
      <w:pPr>
        <w:pStyle w:val="ListParagraph"/>
        <w:spacing w:after="240" w:line="360" w:lineRule="auto"/>
        <w:ind w:left="1077"/>
        <w:contextualSpacing w:val="0"/>
        <w:jc w:val="thaiDistribute"/>
        <w:rPr>
          <w:rFonts w:ascii="Times New Roman" w:hAnsi="Times New Roman" w:cs="Times New Roman"/>
          <w:sz w:val="28"/>
          <w:szCs w:val="28"/>
        </w:rPr>
      </w:pPr>
      <w:r w:rsidRPr="008F34E3">
        <w:rPr>
          <w:rFonts w:ascii="Times New Roman" w:hAnsi="Times New Roman" w:cs="Times New Roman"/>
          <w:sz w:val="28"/>
          <w:szCs w:val="28"/>
        </w:rPr>
        <w:t xml:space="preserve">The DOAC dabigatran is a substrate for the efflux transporter P-gp. Rivaroxaban and apixaban are metabolised via CYP3A4 and are also substrates for P-gp. Caution should be exercised when clarithromycin is co-administered with these agents particularly to patients at high risk of bleeding (see section 4.4).  </w:t>
      </w:r>
    </w:p>
    <w:p w14:paraId="6DE4457C" w14:textId="77777777" w:rsidR="008F34E3" w:rsidRDefault="003847D8" w:rsidP="008F34E3">
      <w:pPr>
        <w:pStyle w:val="ListParagraph"/>
        <w:numPr>
          <w:ilvl w:val="0"/>
          <w:numId w:val="9"/>
        </w:numPr>
        <w:spacing w:after="240" w:line="360" w:lineRule="auto"/>
        <w:ind w:left="1077" w:hanging="357"/>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u w:val="single"/>
        </w:rPr>
        <w:t>Sildenafil, tadalafil and vardenafil</w:t>
      </w:r>
      <w:r w:rsidRPr="00BC6893">
        <w:rPr>
          <w:rFonts w:ascii="Times New Roman" w:hAnsi="Times New Roman" w:cs="Times New Roman"/>
          <w:sz w:val="28"/>
          <w:szCs w:val="28"/>
        </w:rPr>
        <w:t xml:space="preserve"> </w:t>
      </w:r>
    </w:p>
    <w:p w14:paraId="781385D1" w14:textId="2C024380" w:rsidR="00BC6893" w:rsidRPr="008F34E3" w:rsidRDefault="003847D8" w:rsidP="008F34E3">
      <w:pPr>
        <w:pStyle w:val="ListParagraph"/>
        <w:spacing w:line="360" w:lineRule="auto"/>
        <w:ind w:left="1080"/>
        <w:jc w:val="thaiDistribute"/>
        <w:rPr>
          <w:rFonts w:ascii="Times New Roman" w:hAnsi="Times New Roman" w:cs="Times New Roman"/>
          <w:sz w:val="28"/>
          <w:szCs w:val="28"/>
        </w:rPr>
      </w:pPr>
      <w:r w:rsidRPr="008F34E3">
        <w:rPr>
          <w:rFonts w:ascii="Times New Roman" w:hAnsi="Times New Roman" w:cs="Times New Roman"/>
          <w:sz w:val="28"/>
          <w:szCs w:val="28"/>
        </w:rPr>
        <w:t xml:space="preserve">Each of these phosphodiesterase inhibitors is metabolised, at least in part, by CYP3A, and CYP3A may be inhibited by concomitantly administered clarithromycin. Coadministration of clarithromycin with sildenafil, tadalafil or vardenafil would likely result in increased phosphodiesterase inhibitor exposure. Reduction of sildenafil, tadalafil and vardenafil dosages should be considered when these drugs are coadministered with clarithromycin. </w:t>
      </w:r>
    </w:p>
    <w:p w14:paraId="7B7B13EC" w14:textId="77777777" w:rsidR="00BC6893" w:rsidRDefault="003847D8" w:rsidP="008F34E3">
      <w:pPr>
        <w:pStyle w:val="ListParagraph"/>
        <w:numPr>
          <w:ilvl w:val="0"/>
          <w:numId w:val="9"/>
        </w:numPr>
        <w:spacing w:after="240" w:line="360" w:lineRule="auto"/>
        <w:ind w:left="1077" w:hanging="357"/>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u w:val="single"/>
        </w:rPr>
        <w:lastRenderedPageBreak/>
        <w:t>Theophylline, carbamazepine</w:t>
      </w:r>
    </w:p>
    <w:p w14:paraId="47795FE7" w14:textId="20F8950F" w:rsidR="00BC6893" w:rsidRDefault="003847D8" w:rsidP="00BC6893">
      <w:pPr>
        <w:pStyle w:val="ListParagraph"/>
        <w:spacing w:after="240" w:line="360" w:lineRule="auto"/>
        <w:ind w:left="1077"/>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rPr>
        <w:t xml:space="preserve">Results of clinical studies indicate that there was a modest but statistically significant (p≤ 0.05) increase of circulating theophylline or carbamazepine levels when either of these drugs were administered concomitantly with clarithromycin. Dose reduction may need to be considered.  </w:t>
      </w:r>
    </w:p>
    <w:p w14:paraId="6CE35210" w14:textId="77777777" w:rsidR="00BC6893" w:rsidRPr="00BC6893" w:rsidRDefault="003847D8" w:rsidP="008F34E3">
      <w:pPr>
        <w:pStyle w:val="ListParagraph"/>
        <w:numPr>
          <w:ilvl w:val="0"/>
          <w:numId w:val="9"/>
        </w:numPr>
        <w:spacing w:after="240" w:line="360" w:lineRule="auto"/>
        <w:ind w:left="1077" w:hanging="357"/>
        <w:contextualSpacing w:val="0"/>
        <w:jc w:val="thaiDistribute"/>
        <w:rPr>
          <w:rFonts w:ascii="Times New Roman" w:hAnsi="Times New Roman" w:cs="Times New Roman"/>
          <w:sz w:val="28"/>
          <w:szCs w:val="28"/>
          <w:u w:val="single"/>
        </w:rPr>
      </w:pPr>
      <w:r w:rsidRPr="00BC6893">
        <w:rPr>
          <w:rFonts w:ascii="Times New Roman" w:hAnsi="Times New Roman" w:cs="Times New Roman"/>
          <w:sz w:val="28"/>
          <w:szCs w:val="28"/>
          <w:u w:val="single"/>
        </w:rPr>
        <w:t xml:space="preserve">Tolterodine  </w:t>
      </w:r>
    </w:p>
    <w:p w14:paraId="0CB058BF" w14:textId="77777777" w:rsidR="00BC6893" w:rsidRDefault="003847D8" w:rsidP="00BC6893">
      <w:pPr>
        <w:pStyle w:val="ListParagraph"/>
        <w:spacing w:after="240" w:line="360" w:lineRule="auto"/>
        <w:ind w:left="1077"/>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rPr>
        <w:t xml:space="preserve">The primary route of metabolism for tolterodine is via the 2D6 isoform of cytochrome P450 (CYP2D6). However, in a subset of the population devoid of CYP2D6, the identified pathway of metabolism is via CYP3A. In this population subset, inhibition of CYP3A results in significantly higher serum concentrations of tolterodine. A reduction in tolterodine dosage may be necessary in the presence of CYP3A inhibitors, such as clarithromycin in the CYP2D6 poor metaboliser population.  </w:t>
      </w:r>
    </w:p>
    <w:p w14:paraId="430B8D3A" w14:textId="77777777" w:rsidR="008F34E3" w:rsidRDefault="003847D8" w:rsidP="00BC6893">
      <w:pPr>
        <w:pStyle w:val="ListParagraph"/>
        <w:numPr>
          <w:ilvl w:val="0"/>
          <w:numId w:val="9"/>
        </w:numPr>
        <w:spacing w:after="240" w:line="360" w:lineRule="auto"/>
        <w:ind w:left="1077" w:hanging="357"/>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u w:val="single"/>
        </w:rPr>
        <w:t xml:space="preserve">Triazolobenzodiazepines </w:t>
      </w:r>
      <w:r w:rsidRPr="003847D8">
        <w:rPr>
          <w:rFonts w:ascii="Times New Roman" w:hAnsi="Times New Roman" w:cs="Times New Roman"/>
          <w:sz w:val="28"/>
          <w:szCs w:val="28"/>
        </w:rPr>
        <w:t>(e.g., alprazolam, midazolam, triazolam)</w:t>
      </w:r>
    </w:p>
    <w:p w14:paraId="5204BFBE" w14:textId="77777777" w:rsidR="008F34E3" w:rsidRDefault="003847D8" w:rsidP="008F34E3">
      <w:pPr>
        <w:pStyle w:val="ListParagraph"/>
        <w:spacing w:after="240" w:line="360" w:lineRule="auto"/>
        <w:ind w:left="1077"/>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rPr>
        <w:t xml:space="preserve">When midazolam was co-administered with clarithromycin tablets (500 mg twice daily), midazolam AUC was increased 2.7-fold after intravenous administration of midazolam. If intravenous midazolam is co-administered with clarithromycin, the patient must be closely monitored to allow dose adjustment. Drug delivery of midazolam via oromucosal route, which could bypass pre-systemic elimination of the </w:t>
      </w:r>
      <w:r w:rsidRPr="00BC6893">
        <w:rPr>
          <w:rFonts w:ascii="Times New Roman" w:hAnsi="Times New Roman" w:cs="Times New Roman"/>
          <w:sz w:val="28"/>
          <w:szCs w:val="28"/>
        </w:rPr>
        <w:lastRenderedPageBreak/>
        <w:t xml:space="preserve">drug, will likely result in a similar interaction to that observed after intravenous midazolam rather than oral administration. The same precautions should also apply to other benzodiazepines that are metabolised by CYP3A, including triazolam and alprazolam. For benzodiazepines which are not dependent on CYP3A for their elimination (temazepam, nitrazepam, lorazepam), a clinically important interaction with clarithromycin is unlikely. There have been post-marketing reports of drug interactions and central nervous system (CNS) effects (e.g., somnolence and confusion) with the concomitant use of clarithromycin and triazolam. Monitoring the patient for increased CNS pharmacological effects is suggested.  </w:t>
      </w:r>
    </w:p>
    <w:p w14:paraId="443F7419" w14:textId="1F927E52" w:rsidR="00BC6893" w:rsidRPr="008F34E3" w:rsidRDefault="003847D8" w:rsidP="008F34E3">
      <w:pPr>
        <w:pStyle w:val="ListParagraph"/>
        <w:numPr>
          <w:ilvl w:val="0"/>
          <w:numId w:val="9"/>
        </w:numPr>
        <w:spacing w:after="240" w:line="360" w:lineRule="auto"/>
        <w:contextualSpacing w:val="0"/>
        <w:jc w:val="thaiDistribute"/>
        <w:rPr>
          <w:rFonts w:ascii="Times New Roman" w:hAnsi="Times New Roman" w:cs="Times New Roman"/>
          <w:sz w:val="28"/>
          <w:szCs w:val="28"/>
        </w:rPr>
      </w:pPr>
      <w:r w:rsidRPr="008F34E3">
        <w:rPr>
          <w:rFonts w:ascii="Times New Roman" w:hAnsi="Times New Roman" w:cs="Times New Roman"/>
          <w:sz w:val="28"/>
          <w:szCs w:val="28"/>
          <w:u w:val="single"/>
        </w:rPr>
        <w:t xml:space="preserve">Other drug interactions </w:t>
      </w:r>
    </w:p>
    <w:p w14:paraId="258541A3" w14:textId="77777777" w:rsidR="00BC6893" w:rsidRPr="00BC6893" w:rsidRDefault="003847D8" w:rsidP="00BC6893">
      <w:pPr>
        <w:pStyle w:val="ListParagraph"/>
        <w:numPr>
          <w:ilvl w:val="1"/>
          <w:numId w:val="9"/>
        </w:numPr>
        <w:spacing w:line="360" w:lineRule="auto"/>
        <w:rPr>
          <w:rFonts w:ascii="Times New Roman" w:hAnsi="Times New Roman" w:cs="Times New Roman"/>
          <w:sz w:val="28"/>
          <w:szCs w:val="28"/>
          <w:u w:val="single"/>
        </w:rPr>
      </w:pPr>
      <w:r w:rsidRPr="00BC6893">
        <w:rPr>
          <w:rFonts w:ascii="Times New Roman" w:hAnsi="Times New Roman" w:cs="Times New Roman"/>
          <w:sz w:val="28"/>
          <w:szCs w:val="28"/>
          <w:u w:val="single"/>
        </w:rPr>
        <w:t>Colchicine</w:t>
      </w:r>
    </w:p>
    <w:p w14:paraId="793F46C3" w14:textId="77777777" w:rsidR="00BC6893" w:rsidRDefault="003847D8" w:rsidP="00BC6893">
      <w:pPr>
        <w:pStyle w:val="ListParagraph"/>
        <w:spacing w:after="240" w:line="360" w:lineRule="auto"/>
        <w:ind w:left="1797"/>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rPr>
        <w:t xml:space="preserve">Colchicine is a substrate for both CYP3A and the efflux transporter, P-glycoprotein (Pgp). Clarithromycin and other macrolides are known to inhibit CYP3A and Pgp. When clarithromycin and colchicine are administered together, inhibition of Pgp and/or CYP3A by clarithromycin may lead to increased exposure to colchicine (see section 4.3 and 4.4).  </w:t>
      </w:r>
    </w:p>
    <w:p w14:paraId="1DA76758" w14:textId="77777777" w:rsidR="00BC6893" w:rsidRPr="00BC6893" w:rsidRDefault="003847D8" w:rsidP="003847D8">
      <w:pPr>
        <w:pStyle w:val="ListParagraph"/>
        <w:numPr>
          <w:ilvl w:val="0"/>
          <w:numId w:val="11"/>
        </w:numPr>
        <w:spacing w:line="360" w:lineRule="auto"/>
        <w:jc w:val="thaiDistribute"/>
        <w:rPr>
          <w:rFonts w:ascii="Times New Roman" w:hAnsi="Times New Roman" w:cs="Times New Roman"/>
          <w:sz w:val="28"/>
          <w:szCs w:val="28"/>
          <w:u w:val="single"/>
        </w:rPr>
      </w:pPr>
      <w:r w:rsidRPr="00BC6893">
        <w:rPr>
          <w:rFonts w:ascii="Times New Roman" w:hAnsi="Times New Roman" w:cs="Times New Roman"/>
          <w:sz w:val="28"/>
          <w:szCs w:val="28"/>
          <w:u w:val="single"/>
        </w:rPr>
        <w:t xml:space="preserve">Digoxin  </w:t>
      </w:r>
    </w:p>
    <w:p w14:paraId="0E9642FC" w14:textId="2E2A08FC" w:rsidR="003847D8" w:rsidRPr="00BC6893" w:rsidRDefault="003847D8" w:rsidP="00BC6893">
      <w:pPr>
        <w:pStyle w:val="ListParagraph"/>
        <w:spacing w:after="240" w:line="360" w:lineRule="auto"/>
        <w:ind w:left="1797"/>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rPr>
        <w:t xml:space="preserve">Digoxin is thought to be a substrate for the efflux transporter, P-glycoprotein (Pgp). Clarithromycin is known to inhibit Pgp. When clarithromycin and digoxin are administered together, </w:t>
      </w:r>
      <w:r w:rsidRPr="00BC6893">
        <w:rPr>
          <w:rFonts w:ascii="Times New Roman" w:hAnsi="Times New Roman" w:cs="Times New Roman"/>
          <w:sz w:val="28"/>
          <w:szCs w:val="28"/>
        </w:rPr>
        <w:lastRenderedPageBreak/>
        <w:t xml:space="preserve">inhibition of Pgp by clarithromycin may lead to increased exposure to digoxin. Elevated digoxin serum concentrations in patients receiving clarithromycin and digoxin concomitantly have also been reported in post marketing surveillance. Some patients have shown clinical signs consistent with digoxin toxicity, including potentially fatal arrhythmias. Serum digoxin concentrations should be carefully monitored while patients are receiving digoxin and clarithromycin simultaneously.  </w:t>
      </w:r>
    </w:p>
    <w:p w14:paraId="47CFBC54" w14:textId="77777777" w:rsidR="00BC6893" w:rsidRPr="00BC6893" w:rsidRDefault="003847D8" w:rsidP="00BC6893">
      <w:pPr>
        <w:pStyle w:val="ListParagraph"/>
        <w:numPr>
          <w:ilvl w:val="0"/>
          <w:numId w:val="11"/>
        </w:numPr>
        <w:spacing w:line="360" w:lineRule="auto"/>
        <w:jc w:val="thaiDistribute"/>
        <w:rPr>
          <w:rFonts w:ascii="Times New Roman" w:hAnsi="Times New Roman" w:cs="Times New Roman"/>
          <w:sz w:val="28"/>
          <w:szCs w:val="28"/>
          <w:u w:val="single"/>
        </w:rPr>
      </w:pPr>
      <w:r w:rsidRPr="00BC6893">
        <w:rPr>
          <w:rFonts w:ascii="Times New Roman" w:hAnsi="Times New Roman" w:cs="Times New Roman"/>
          <w:sz w:val="28"/>
          <w:szCs w:val="28"/>
          <w:u w:val="single"/>
        </w:rPr>
        <w:t xml:space="preserve">Zidovudine  </w:t>
      </w:r>
    </w:p>
    <w:p w14:paraId="6C92A936" w14:textId="77777777" w:rsidR="00BC6893" w:rsidRDefault="003847D8" w:rsidP="00BC6893">
      <w:pPr>
        <w:pStyle w:val="ListParagraph"/>
        <w:spacing w:after="240" w:line="360" w:lineRule="auto"/>
        <w:ind w:left="1797"/>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rPr>
        <w:t xml:space="preserve">Simultaneous oral administration of clarithromycin tablets and zidovudine to HIVinfected adult patients may result in decreased steady-state zidovudine concentrations. Because clarithromycin appears to interfere with the absorption of simultaneously administered oral zidovudine, this interaction can be largely avoided by staggering the doses of clarithromycin and zidovudine to allow for a 4-hour interval between each medication. This interaction does not appear to occur in paediatric HIV-infected patients taking clarithromycin suspension with zidovudine or dideoxyinosine. This interaction is unlikely when clarithromycin is administered via intravenous infusion.  </w:t>
      </w:r>
    </w:p>
    <w:p w14:paraId="2BF9C1E2" w14:textId="77777777" w:rsidR="00BC6893" w:rsidRDefault="003847D8" w:rsidP="003847D8">
      <w:pPr>
        <w:pStyle w:val="ListParagraph"/>
        <w:numPr>
          <w:ilvl w:val="0"/>
          <w:numId w:val="11"/>
        </w:numPr>
        <w:rPr>
          <w:rFonts w:ascii="Times New Roman" w:hAnsi="Times New Roman" w:cs="Times New Roman"/>
          <w:sz w:val="28"/>
          <w:szCs w:val="28"/>
          <w:u w:val="single"/>
        </w:rPr>
      </w:pPr>
      <w:r w:rsidRPr="00BC6893">
        <w:rPr>
          <w:rFonts w:ascii="Times New Roman" w:hAnsi="Times New Roman" w:cs="Times New Roman"/>
          <w:sz w:val="28"/>
          <w:szCs w:val="28"/>
          <w:u w:val="single"/>
        </w:rPr>
        <w:t xml:space="preserve">Phenytoin and Valproate  </w:t>
      </w:r>
    </w:p>
    <w:p w14:paraId="34C1B003" w14:textId="77777777" w:rsidR="00BC6893" w:rsidRPr="00BC6893" w:rsidRDefault="003847D8" w:rsidP="00BC6893">
      <w:pPr>
        <w:pStyle w:val="ListParagraph"/>
        <w:spacing w:after="240" w:line="360" w:lineRule="auto"/>
        <w:ind w:left="1797"/>
        <w:contextualSpacing w:val="0"/>
        <w:jc w:val="thaiDistribute"/>
        <w:rPr>
          <w:rFonts w:ascii="Times New Roman" w:hAnsi="Times New Roman" w:cs="Times New Roman"/>
          <w:sz w:val="28"/>
          <w:szCs w:val="28"/>
          <w:u w:val="single"/>
        </w:rPr>
      </w:pPr>
      <w:r w:rsidRPr="00BC6893">
        <w:rPr>
          <w:rFonts w:ascii="Times New Roman" w:hAnsi="Times New Roman" w:cs="Times New Roman"/>
          <w:sz w:val="28"/>
          <w:szCs w:val="28"/>
        </w:rPr>
        <w:t xml:space="preserve">There have been spontaneous or published reports of interactions of CYP3A inhibitors, including clarithromycin with drugs not thought to be metabolised by CYP3A (e.g. phenytoin and </w:t>
      </w:r>
      <w:r w:rsidRPr="00BC6893">
        <w:rPr>
          <w:rFonts w:ascii="Times New Roman" w:hAnsi="Times New Roman" w:cs="Times New Roman"/>
          <w:sz w:val="28"/>
          <w:szCs w:val="28"/>
        </w:rPr>
        <w:lastRenderedPageBreak/>
        <w:t xml:space="preserve">valproate). Serum level determinations are recommended for these drugs when administered concomitantly with clarithromycin. Increased serum levels have been reported.  </w:t>
      </w:r>
    </w:p>
    <w:p w14:paraId="366B46FF" w14:textId="77777777" w:rsidR="00BC6893" w:rsidRPr="00BC6893" w:rsidRDefault="003847D8" w:rsidP="003847D8">
      <w:pPr>
        <w:pStyle w:val="ListParagraph"/>
        <w:numPr>
          <w:ilvl w:val="0"/>
          <w:numId w:val="11"/>
        </w:numPr>
        <w:rPr>
          <w:rFonts w:ascii="Times New Roman" w:hAnsi="Times New Roman" w:cs="Times New Roman"/>
          <w:sz w:val="28"/>
          <w:szCs w:val="28"/>
          <w:u w:val="single"/>
        </w:rPr>
      </w:pPr>
      <w:r w:rsidRPr="00BC6893">
        <w:rPr>
          <w:rFonts w:ascii="Times New Roman" w:hAnsi="Times New Roman" w:cs="Times New Roman"/>
          <w:sz w:val="28"/>
          <w:szCs w:val="28"/>
        </w:rPr>
        <w:t xml:space="preserve">Hydroxychloroquine and Chloroquine  </w:t>
      </w:r>
    </w:p>
    <w:p w14:paraId="2D6EBF77" w14:textId="452BA525" w:rsidR="003847D8" w:rsidRPr="00BC6893" w:rsidRDefault="003847D8" w:rsidP="00BC6893">
      <w:pPr>
        <w:pStyle w:val="ListParagraph"/>
        <w:spacing w:line="360" w:lineRule="auto"/>
        <w:ind w:left="1800"/>
        <w:jc w:val="thaiDistribute"/>
        <w:rPr>
          <w:rFonts w:ascii="Times New Roman" w:hAnsi="Times New Roman" w:cs="Times New Roman"/>
          <w:sz w:val="28"/>
          <w:szCs w:val="28"/>
          <w:u w:val="single"/>
        </w:rPr>
      </w:pPr>
      <w:r w:rsidRPr="00BC6893">
        <w:rPr>
          <w:rFonts w:ascii="Times New Roman" w:hAnsi="Times New Roman" w:cs="Times New Roman"/>
          <w:sz w:val="28"/>
          <w:szCs w:val="28"/>
        </w:rPr>
        <w:t xml:space="preserve">Observational data have shown that co-administration of azithromycin with hydroxychloroquine in patients with rheumatoid arthritis is associated with an increased risk of cardiovascular events and cardiovascular mortality. Because of the potential for a similar risk with other macrolides when used in combination with hydroxychloroquine or chloroquine, careful consideration should be given to the balance of benefits and risks before prescribing clarithromycin for any patients taking hydroxychloroquine or chloroquine.  </w:t>
      </w:r>
    </w:p>
    <w:p w14:paraId="3F6199CA" w14:textId="77777777" w:rsidR="00BC6893" w:rsidRPr="00BC6893" w:rsidRDefault="003847D8" w:rsidP="00BC6893">
      <w:pPr>
        <w:pStyle w:val="ListParagraph"/>
        <w:numPr>
          <w:ilvl w:val="0"/>
          <w:numId w:val="12"/>
        </w:numPr>
        <w:rPr>
          <w:rFonts w:ascii="Times New Roman" w:hAnsi="Times New Roman" w:cs="Times New Roman"/>
          <w:sz w:val="28"/>
          <w:szCs w:val="28"/>
          <w:u w:val="single"/>
        </w:rPr>
      </w:pPr>
      <w:r w:rsidRPr="00BC6893">
        <w:rPr>
          <w:rFonts w:ascii="Times New Roman" w:hAnsi="Times New Roman" w:cs="Times New Roman"/>
          <w:sz w:val="28"/>
          <w:szCs w:val="28"/>
          <w:u w:val="single"/>
        </w:rPr>
        <w:t xml:space="preserve">Bi-directional drug interactions  </w:t>
      </w:r>
    </w:p>
    <w:p w14:paraId="135568B9" w14:textId="77777777" w:rsidR="00BC6893" w:rsidRPr="00BC6893" w:rsidRDefault="003847D8" w:rsidP="00BC6893">
      <w:pPr>
        <w:pStyle w:val="ListParagraph"/>
        <w:numPr>
          <w:ilvl w:val="1"/>
          <w:numId w:val="12"/>
        </w:numPr>
        <w:spacing w:line="360" w:lineRule="auto"/>
        <w:jc w:val="thaiDistribute"/>
        <w:rPr>
          <w:rFonts w:ascii="Times New Roman" w:hAnsi="Times New Roman" w:cs="Times New Roman"/>
          <w:sz w:val="28"/>
          <w:szCs w:val="28"/>
          <w:u w:val="single"/>
        </w:rPr>
      </w:pPr>
      <w:r w:rsidRPr="00BC6893">
        <w:rPr>
          <w:rFonts w:ascii="Times New Roman" w:hAnsi="Times New Roman" w:cs="Times New Roman"/>
          <w:sz w:val="28"/>
          <w:szCs w:val="28"/>
          <w:u w:val="single"/>
        </w:rPr>
        <w:t xml:space="preserve">Atazanavir  </w:t>
      </w:r>
    </w:p>
    <w:p w14:paraId="4B30A1E0" w14:textId="77777777" w:rsidR="00BC6893" w:rsidRDefault="003847D8" w:rsidP="00BC6893">
      <w:pPr>
        <w:pStyle w:val="ListParagraph"/>
        <w:spacing w:after="240" w:line="360" w:lineRule="auto"/>
        <w:ind w:left="1440"/>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rPr>
        <w:t>Both clarithromycin and atazanavir are substrates and inhibitors of CYP3A, and there is evidence of a bi-directional drug interaction. Co-administration of clarithromycin (500 mg twice daily) with atazanavir (400 mg once daily) resulted in a 2-fold increase in exposure to clarithromycin and a 70% decrease in exposure to 14</w:t>
      </w:r>
      <w:r w:rsidR="00BC6893">
        <w:rPr>
          <w:rFonts w:ascii="Times New Roman" w:hAnsi="Times New Roman" w:cs="Times New Roman"/>
          <w:sz w:val="28"/>
          <w:szCs w:val="28"/>
        </w:rPr>
        <w:t>-</w:t>
      </w:r>
      <w:r w:rsidRPr="00BC6893">
        <w:rPr>
          <w:rFonts w:ascii="Times New Roman" w:hAnsi="Times New Roman" w:cs="Times New Roman"/>
          <w:sz w:val="28"/>
          <w:szCs w:val="28"/>
        </w:rPr>
        <w:t xml:space="preserve">OHclarithromycin, with a 28% increase in the AUC of atazanavir. Because of the large therapeutic window for clarithromycin, no dosage reduction should be necessary in patients with normal renal function. For patients with moderate renal function (creatinine </w:t>
      </w:r>
      <w:r w:rsidRPr="00BC6893">
        <w:rPr>
          <w:rFonts w:ascii="Times New Roman" w:hAnsi="Times New Roman" w:cs="Times New Roman"/>
          <w:sz w:val="28"/>
          <w:szCs w:val="28"/>
        </w:rPr>
        <w:lastRenderedPageBreak/>
        <w:t xml:space="preserve">clearance 30 to 60 mL/min), the dose of clarithromycin should be decreased by 50%. For patients with creatinine clearance &lt;30 mL/min, the dose of clarithromycin should be decreased by 75% using an appropriate clarithromycin formulation. Doses of clarithromycin greater than 1000 mg per day should not be coadministered with protease inhibitors. </w:t>
      </w:r>
    </w:p>
    <w:p w14:paraId="02270E0D" w14:textId="77777777" w:rsidR="00BC6893" w:rsidRDefault="003847D8" w:rsidP="003847D8">
      <w:pPr>
        <w:pStyle w:val="ListParagraph"/>
        <w:numPr>
          <w:ilvl w:val="1"/>
          <w:numId w:val="12"/>
        </w:numPr>
        <w:spacing w:line="360" w:lineRule="auto"/>
        <w:jc w:val="thaiDistribute"/>
        <w:rPr>
          <w:rFonts w:ascii="Times New Roman" w:hAnsi="Times New Roman" w:cs="Times New Roman"/>
          <w:sz w:val="28"/>
          <w:szCs w:val="28"/>
          <w:u w:val="single"/>
        </w:rPr>
      </w:pPr>
      <w:r w:rsidRPr="00BC6893">
        <w:rPr>
          <w:rFonts w:ascii="Times New Roman" w:hAnsi="Times New Roman" w:cs="Times New Roman"/>
          <w:sz w:val="28"/>
          <w:szCs w:val="28"/>
          <w:u w:val="single"/>
        </w:rPr>
        <w:t xml:space="preserve">Calcium Channel Blockers  </w:t>
      </w:r>
    </w:p>
    <w:p w14:paraId="28CB30B5" w14:textId="77777777" w:rsidR="00BC6893" w:rsidRDefault="003847D8" w:rsidP="00BC6893">
      <w:pPr>
        <w:pStyle w:val="ListParagraph"/>
        <w:spacing w:after="240" w:line="360" w:lineRule="auto"/>
        <w:ind w:left="1440"/>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rPr>
        <w:t xml:space="preserve">Caution is advised regarding the concomitant administration of clarithromycin and calcium channel blockers metabolized by CYP3A4 (e.g. verapamil, amlodipine, diltiazem) due to the risk of hypotension. Plasma concentrations of clarithromycin as well as calcium channel blockers may increase due to the interaction. Hypotension, bradyarrhythmias and lactic acidosis have been observed in patients taking clarithromycin and verapamil concomitantly. </w:t>
      </w:r>
    </w:p>
    <w:p w14:paraId="2528966F" w14:textId="77777777" w:rsidR="00BC6893" w:rsidRDefault="003847D8" w:rsidP="003847D8">
      <w:pPr>
        <w:pStyle w:val="ListParagraph"/>
        <w:numPr>
          <w:ilvl w:val="1"/>
          <w:numId w:val="12"/>
        </w:numPr>
        <w:spacing w:line="360" w:lineRule="auto"/>
        <w:jc w:val="thaiDistribute"/>
        <w:rPr>
          <w:rFonts w:ascii="Times New Roman" w:hAnsi="Times New Roman" w:cs="Times New Roman"/>
          <w:sz w:val="28"/>
          <w:szCs w:val="28"/>
          <w:u w:val="single"/>
        </w:rPr>
      </w:pPr>
      <w:r w:rsidRPr="00BC6893">
        <w:rPr>
          <w:rFonts w:ascii="Times New Roman" w:hAnsi="Times New Roman" w:cs="Times New Roman"/>
          <w:sz w:val="28"/>
          <w:szCs w:val="28"/>
          <w:u w:val="single"/>
        </w:rPr>
        <w:t xml:space="preserve">Itraconazole  </w:t>
      </w:r>
    </w:p>
    <w:p w14:paraId="2A7F772E" w14:textId="77777777" w:rsidR="00BC6893" w:rsidRDefault="003847D8" w:rsidP="00BC6893">
      <w:pPr>
        <w:pStyle w:val="ListParagraph"/>
        <w:spacing w:after="240" w:line="360" w:lineRule="auto"/>
        <w:ind w:left="1440"/>
        <w:contextualSpacing w:val="0"/>
        <w:jc w:val="thaiDistribute"/>
        <w:rPr>
          <w:rFonts w:ascii="Times New Roman" w:hAnsi="Times New Roman" w:cs="Times New Roman"/>
          <w:sz w:val="28"/>
          <w:szCs w:val="28"/>
        </w:rPr>
      </w:pPr>
      <w:r w:rsidRPr="00BC6893">
        <w:rPr>
          <w:rFonts w:ascii="Times New Roman" w:hAnsi="Times New Roman" w:cs="Times New Roman"/>
          <w:sz w:val="28"/>
          <w:szCs w:val="28"/>
        </w:rPr>
        <w:t xml:space="preserve">Both clarithromycin and itraconazole are substrates and inhibitors of CYP3A, leading to a bidirectional drug interaction. Clarithromycin may increase the plasma levels of itraconazole, while itraconazole may increase the plasma levels of clarithromycin. Patients taking itraconazole and clarithromycin concomitantly should be monitored closely for signs or symptoms of increased or prolonged pharmacologic effect.  </w:t>
      </w:r>
    </w:p>
    <w:p w14:paraId="787C0274" w14:textId="77777777" w:rsidR="00BC6893" w:rsidRPr="00BC6893" w:rsidRDefault="003847D8" w:rsidP="003847D8">
      <w:pPr>
        <w:pStyle w:val="ListParagraph"/>
        <w:numPr>
          <w:ilvl w:val="1"/>
          <w:numId w:val="12"/>
        </w:numPr>
        <w:spacing w:line="360" w:lineRule="auto"/>
        <w:jc w:val="thaiDistribute"/>
        <w:rPr>
          <w:rFonts w:ascii="Times New Roman" w:hAnsi="Times New Roman" w:cs="Times New Roman"/>
          <w:sz w:val="28"/>
          <w:szCs w:val="28"/>
          <w:u w:val="single"/>
        </w:rPr>
      </w:pPr>
      <w:r w:rsidRPr="00BC6893">
        <w:rPr>
          <w:rFonts w:ascii="Times New Roman" w:hAnsi="Times New Roman" w:cs="Times New Roman"/>
          <w:sz w:val="28"/>
          <w:szCs w:val="28"/>
        </w:rPr>
        <w:lastRenderedPageBreak/>
        <w:t xml:space="preserve">Saquinavir  </w:t>
      </w:r>
    </w:p>
    <w:p w14:paraId="7E1DFA8D" w14:textId="48F25D3A" w:rsidR="003847D8" w:rsidRPr="00BC6893" w:rsidRDefault="003847D8" w:rsidP="00BC6893">
      <w:pPr>
        <w:pStyle w:val="ListParagraph"/>
        <w:spacing w:after="240" w:line="360" w:lineRule="auto"/>
        <w:ind w:left="1440"/>
        <w:contextualSpacing w:val="0"/>
        <w:jc w:val="thaiDistribute"/>
        <w:rPr>
          <w:rFonts w:ascii="Times New Roman" w:hAnsi="Times New Roman" w:cs="Times New Roman"/>
          <w:sz w:val="28"/>
          <w:szCs w:val="28"/>
          <w:u w:val="single"/>
        </w:rPr>
      </w:pPr>
      <w:r w:rsidRPr="00BC6893">
        <w:rPr>
          <w:rFonts w:ascii="Times New Roman" w:hAnsi="Times New Roman" w:cs="Times New Roman"/>
          <w:sz w:val="28"/>
          <w:szCs w:val="28"/>
        </w:rPr>
        <w:t xml:space="preserve">Both clarithromycin and saquinavir are substrates and inhibitors of CYP3A, and there is evidence of a bi-directional drug interaction. Concomitant administration of clarithromycin (500 mg twice daily) and saquinavir (soft gelatin capsules, 1200 mg three times daily) to 12 healthy volunteers resulted in steady-state AUC and Cmax values of saquinavir which were 177% and 187% higher than those seen with saquinavir alone. Clarithromycin AUC and Cmax values were approximately 40% higher than those seen with clarithromycin alone. No dose adjustment is required when the two drugs are co-administered for a limited time at the doses/formulations studied. Observations from drug interaction studies using the soft gelatin capsule formulation may not be representative of the effects seen using the saquinavir hard gelatin capsule. Observations from drug interaction studies performed with saquinavir alone may not be representative of the effects seen with saquinavir/ritonavir therapy. When saquinavir is co-administered with ritonavir, consideration should be given to the potential effects of ritonavir on clarithromycin (see section 4.5: Ritonavir). </w:t>
      </w:r>
      <w:r w:rsidRPr="003847D8">
        <w:rPr>
          <w:rFonts w:ascii="Times New Roman" w:hAnsi="Times New Roman" w:cs="Times New Roman"/>
          <w:sz w:val="28"/>
          <w:szCs w:val="28"/>
        </w:rPr>
        <w:t xml:space="preserve">Patients taking oral contraceptives should be warned that if diarrhoea, vomiting or breakthrough bleeding occur there is a possibility of contraceptive failure.  </w:t>
      </w:r>
    </w:p>
    <w:p w14:paraId="7CC66EEC" w14:textId="77777777" w:rsidR="008F34E3" w:rsidRDefault="008F34E3">
      <w:pPr>
        <w:rPr>
          <w:rFonts w:ascii="Times New Roman" w:hAnsi="Times New Roman" w:cs="Times New Roman"/>
          <w:b/>
          <w:bCs/>
          <w:sz w:val="30"/>
        </w:rPr>
      </w:pPr>
      <w:r>
        <w:rPr>
          <w:rFonts w:ascii="Times New Roman" w:hAnsi="Times New Roman" w:cs="Times New Roman"/>
          <w:b/>
          <w:bCs/>
          <w:sz w:val="30"/>
        </w:rPr>
        <w:br w:type="page"/>
      </w:r>
    </w:p>
    <w:p w14:paraId="025F5FE6" w14:textId="1D3E5EC5" w:rsidR="00BC6893" w:rsidRDefault="003847D8" w:rsidP="00BC6893">
      <w:pPr>
        <w:pStyle w:val="ListParagraph"/>
        <w:numPr>
          <w:ilvl w:val="1"/>
          <w:numId w:val="2"/>
        </w:numPr>
        <w:spacing w:after="240"/>
        <w:ind w:left="788" w:hanging="431"/>
        <w:contextualSpacing w:val="0"/>
        <w:rPr>
          <w:rFonts w:ascii="Times New Roman" w:hAnsi="Times New Roman" w:cs="Times New Roman"/>
          <w:b/>
          <w:bCs/>
          <w:sz w:val="28"/>
          <w:szCs w:val="28"/>
        </w:rPr>
      </w:pPr>
      <w:r w:rsidRPr="00BC6893">
        <w:rPr>
          <w:rFonts w:ascii="Times New Roman" w:hAnsi="Times New Roman" w:cs="Times New Roman"/>
          <w:b/>
          <w:bCs/>
          <w:sz w:val="28"/>
          <w:szCs w:val="28"/>
        </w:rPr>
        <w:lastRenderedPageBreak/>
        <w:t xml:space="preserve">Fertility, pregnancy and lactation  </w:t>
      </w:r>
    </w:p>
    <w:p w14:paraId="6C8DDD83" w14:textId="77777777" w:rsidR="00BC6893" w:rsidRDefault="003847D8" w:rsidP="00BC6893">
      <w:pPr>
        <w:pStyle w:val="ListParagraph"/>
        <w:spacing w:after="240"/>
        <w:ind w:left="794"/>
        <w:contextualSpacing w:val="0"/>
        <w:rPr>
          <w:rFonts w:ascii="Times New Roman" w:hAnsi="Times New Roman" w:cs="Times New Roman"/>
          <w:sz w:val="28"/>
          <w:szCs w:val="28"/>
          <w:u w:val="single"/>
        </w:rPr>
      </w:pPr>
      <w:r w:rsidRPr="00BC6893">
        <w:rPr>
          <w:rFonts w:ascii="Times New Roman" w:hAnsi="Times New Roman" w:cs="Times New Roman"/>
          <w:sz w:val="28"/>
          <w:szCs w:val="28"/>
          <w:u w:val="single"/>
        </w:rPr>
        <w:t xml:space="preserve">Pregnancy  </w:t>
      </w:r>
    </w:p>
    <w:p w14:paraId="3C1DB8FD" w14:textId="23541A9E" w:rsidR="003847D8" w:rsidRPr="00BC6893" w:rsidRDefault="003847D8" w:rsidP="00BC6893">
      <w:pPr>
        <w:pStyle w:val="ListParagraph"/>
        <w:spacing w:line="360" w:lineRule="auto"/>
        <w:ind w:left="792"/>
        <w:jc w:val="thaiDistribute"/>
        <w:rPr>
          <w:rFonts w:ascii="Times New Roman" w:hAnsi="Times New Roman" w:cs="Times New Roman"/>
          <w:b/>
          <w:bCs/>
          <w:sz w:val="28"/>
          <w:szCs w:val="28"/>
          <w:u w:val="single"/>
        </w:rPr>
      </w:pPr>
      <w:r w:rsidRPr="003847D8">
        <w:rPr>
          <w:rFonts w:ascii="Times New Roman" w:hAnsi="Times New Roman" w:cs="Times New Roman"/>
          <w:sz w:val="28"/>
          <w:szCs w:val="28"/>
        </w:rPr>
        <w:t xml:space="preserve">The safety of clarithromycin for use during pregnancy has not been established. Based on variable results obtained from animal studies and experience in humans, the possibility of adverse effects on embryofoetal development cannot be excluded. Some observational studies evaluating exposure to clarithromycin during the first and second trimester have reported an increased risk of miscarriage compared to no antibiotic use or other antibiotic use during the same period. The available epidemiological studies on the risk of major congenital malformations with use of macrolides including clarithromycin during pregnancy provide conflicting results. Therefore, use during pregnancy is not advised without carefully weighing the benefits against risks (see section 5.3).  </w:t>
      </w:r>
    </w:p>
    <w:p w14:paraId="1E5BF887" w14:textId="77777777" w:rsidR="00BC6893" w:rsidRDefault="003847D8" w:rsidP="00BC6893">
      <w:pPr>
        <w:spacing w:after="240"/>
        <w:ind w:firstLine="720"/>
        <w:rPr>
          <w:rFonts w:ascii="Times New Roman" w:hAnsi="Times New Roman" w:cs="Times New Roman"/>
          <w:sz w:val="28"/>
          <w:szCs w:val="28"/>
          <w:u w:val="single"/>
        </w:rPr>
      </w:pPr>
      <w:r w:rsidRPr="00BC6893">
        <w:rPr>
          <w:rFonts w:ascii="Times New Roman" w:hAnsi="Times New Roman" w:cs="Times New Roman"/>
          <w:sz w:val="28"/>
          <w:szCs w:val="28"/>
          <w:u w:val="single"/>
        </w:rPr>
        <w:t xml:space="preserve">Breast-feeding  </w:t>
      </w:r>
    </w:p>
    <w:p w14:paraId="5D11F159" w14:textId="77777777" w:rsidR="00BC6893" w:rsidRDefault="003847D8" w:rsidP="00BC6893">
      <w:pPr>
        <w:spacing w:line="360" w:lineRule="auto"/>
        <w:ind w:left="720"/>
        <w:jc w:val="thaiDistribute"/>
        <w:rPr>
          <w:rFonts w:ascii="Times New Roman" w:hAnsi="Times New Roman" w:cs="Times New Roman"/>
          <w:sz w:val="28"/>
          <w:szCs w:val="28"/>
          <w:u w:val="single"/>
        </w:rPr>
      </w:pPr>
      <w:r w:rsidRPr="003847D8">
        <w:rPr>
          <w:rFonts w:ascii="Times New Roman" w:hAnsi="Times New Roman" w:cs="Times New Roman"/>
          <w:sz w:val="28"/>
          <w:szCs w:val="28"/>
        </w:rPr>
        <w:t xml:space="preserve">The safety of clarithromycin for using during breast-feeding of infants has not been established. Clarithromycin is excreted into human breast milk in small amounts. It has been estimated that an exclusively breastfed infant would receive about 1.7% of the maternal weight-adjusted dose of clarithromycin.  </w:t>
      </w:r>
    </w:p>
    <w:p w14:paraId="2DEF333F" w14:textId="77777777" w:rsidR="00BC6893" w:rsidRDefault="003847D8" w:rsidP="00BC6893">
      <w:pPr>
        <w:spacing w:line="360" w:lineRule="auto"/>
        <w:ind w:left="720"/>
        <w:jc w:val="thaiDistribute"/>
        <w:rPr>
          <w:rFonts w:ascii="Times New Roman" w:hAnsi="Times New Roman" w:cs="Times New Roman"/>
          <w:sz w:val="28"/>
          <w:szCs w:val="28"/>
          <w:u w:val="single"/>
        </w:rPr>
      </w:pPr>
      <w:r w:rsidRPr="00BC6893">
        <w:rPr>
          <w:rFonts w:ascii="Times New Roman" w:hAnsi="Times New Roman" w:cs="Times New Roman"/>
          <w:sz w:val="28"/>
          <w:szCs w:val="28"/>
          <w:u w:val="single"/>
        </w:rPr>
        <w:t xml:space="preserve">Fertility  </w:t>
      </w:r>
    </w:p>
    <w:p w14:paraId="75A0F7BB" w14:textId="7B8B66AF" w:rsidR="003847D8" w:rsidRPr="00BC6893" w:rsidRDefault="003847D8" w:rsidP="00BC6893">
      <w:pPr>
        <w:spacing w:line="360" w:lineRule="auto"/>
        <w:ind w:left="720"/>
        <w:jc w:val="thaiDistribute"/>
        <w:rPr>
          <w:rFonts w:ascii="Times New Roman" w:hAnsi="Times New Roman" w:cs="Times New Roman"/>
          <w:sz w:val="28"/>
          <w:szCs w:val="28"/>
          <w:u w:val="single"/>
        </w:rPr>
      </w:pPr>
      <w:r w:rsidRPr="003847D8">
        <w:rPr>
          <w:rFonts w:ascii="Times New Roman" w:hAnsi="Times New Roman" w:cs="Times New Roman"/>
          <w:sz w:val="28"/>
          <w:szCs w:val="28"/>
        </w:rPr>
        <w:t xml:space="preserve">In the rat, fertility studies have not shown any evidence of harmful effects (see section 5.3).  </w:t>
      </w:r>
    </w:p>
    <w:p w14:paraId="137EF39A" w14:textId="77777777" w:rsidR="00BC6893" w:rsidRDefault="003847D8" w:rsidP="00BC6893">
      <w:pPr>
        <w:pStyle w:val="ListParagraph"/>
        <w:numPr>
          <w:ilvl w:val="1"/>
          <w:numId w:val="2"/>
        </w:numPr>
        <w:spacing w:after="240"/>
        <w:ind w:left="788" w:hanging="431"/>
        <w:contextualSpacing w:val="0"/>
        <w:rPr>
          <w:rFonts w:ascii="Times New Roman" w:hAnsi="Times New Roman" w:cs="Times New Roman"/>
          <w:b/>
          <w:bCs/>
          <w:sz w:val="28"/>
          <w:szCs w:val="28"/>
        </w:rPr>
      </w:pPr>
      <w:r w:rsidRPr="00BC6893">
        <w:rPr>
          <w:rFonts w:ascii="Times New Roman" w:hAnsi="Times New Roman" w:cs="Times New Roman"/>
          <w:b/>
          <w:bCs/>
          <w:sz w:val="28"/>
          <w:szCs w:val="28"/>
        </w:rPr>
        <w:lastRenderedPageBreak/>
        <w:t xml:space="preserve">Effects on ability to drive and use machines  </w:t>
      </w:r>
    </w:p>
    <w:p w14:paraId="64C6EEDC" w14:textId="5988CEA6" w:rsidR="003847D8" w:rsidRPr="00BC6893" w:rsidRDefault="003847D8" w:rsidP="00BC6893">
      <w:pPr>
        <w:pStyle w:val="ListParagraph"/>
        <w:spacing w:after="240" w:line="360" w:lineRule="auto"/>
        <w:ind w:left="794"/>
        <w:contextualSpacing w:val="0"/>
        <w:jc w:val="thaiDistribute"/>
        <w:rPr>
          <w:rFonts w:ascii="Times New Roman" w:hAnsi="Times New Roman" w:cs="Times New Roman"/>
          <w:b/>
          <w:bCs/>
          <w:sz w:val="28"/>
          <w:szCs w:val="28"/>
        </w:rPr>
      </w:pPr>
      <w:r w:rsidRPr="00BC6893">
        <w:rPr>
          <w:rFonts w:ascii="Times New Roman" w:hAnsi="Times New Roman" w:cs="Times New Roman"/>
          <w:sz w:val="28"/>
          <w:szCs w:val="28"/>
        </w:rPr>
        <w:t>There are no data on the effect of clarithromycin on the ability to drive or use machines.</w:t>
      </w:r>
      <w:r w:rsidR="00BC6893">
        <w:rPr>
          <w:rFonts w:ascii="Times New Roman" w:hAnsi="Times New Roman" w:cs="Times New Roman"/>
          <w:sz w:val="28"/>
          <w:szCs w:val="28"/>
        </w:rPr>
        <w:t xml:space="preserve"> </w:t>
      </w:r>
      <w:r w:rsidRPr="00BC6893">
        <w:rPr>
          <w:rFonts w:ascii="Times New Roman" w:hAnsi="Times New Roman" w:cs="Times New Roman"/>
          <w:sz w:val="28"/>
          <w:szCs w:val="28"/>
        </w:rPr>
        <w:t xml:space="preserve">The potential for dizziness, vertigo, confusion and disorientation, which may occur with the medication, should be taken into account before patients drive or use machines.  </w:t>
      </w:r>
    </w:p>
    <w:p w14:paraId="486AACE0" w14:textId="77777777" w:rsidR="00BC6893" w:rsidRDefault="003847D8" w:rsidP="00BC6893">
      <w:pPr>
        <w:pStyle w:val="ListParagraph"/>
        <w:numPr>
          <w:ilvl w:val="1"/>
          <w:numId w:val="2"/>
        </w:numPr>
        <w:spacing w:after="240"/>
        <w:ind w:left="788" w:hanging="431"/>
        <w:contextualSpacing w:val="0"/>
        <w:rPr>
          <w:rFonts w:ascii="Times New Roman" w:hAnsi="Times New Roman" w:cs="Times New Roman"/>
          <w:b/>
          <w:bCs/>
          <w:sz w:val="28"/>
          <w:szCs w:val="28"/>
        </w:rPr>
      </w:pPr>
      <w:r w:rsidRPr="00BC6893">
        <w:rPr>
          <w:rFonts w:ascii="Times New Roman" w:hAnsi="Times New Roman" w:cs="Times New Roman"/>
          <w:b/>
          <w:bCs/>
          <w:sz w:val="28"/>
          <w:szCs w:val="28"/>
        </w:rPr>
        <w:t xml:space="preserve">Undesirable effects  </w:t>
      </w:r>
    </w:p>
    <w:p w14:paraId="49950A05" w14:textId="77777777" w:rsidR="00BC6893" w:rsidRDefault="003847D8" w:rsidP="00BC6893">
      <w:pPr>
        <w:pStyle w:val="ListParagraph"/>
        <w:numPr>
          <w:ilvl w:val="2"/>
          <w:numId w:val="2"/>
        </w:numPr>
        <w:spacing w:after="240"/>
        <w:ind w:left="1225" w:hanging="505"/>
        <w:contextualSpacing w:val="0"/>
        <w:rPr>
          <w:rFonts w:ascii="Times New Roman" w:hAnsi="Times New Roman" w:cs="Times New Roman"/>
          <w:b/>
          <w:bCs/>
          <w:sz w:val="28"/>
          <w:szCs w:val="28"/>
        </w:rPr>
      </w:pPr>
      <w:r w:rsidRPr="00BC6893">
        <w:rPr>
          <w:rFonts w:ascii="Times New Roman" w:hAnsi="Times New Roman" w:cs="Times New Roman"/>
          <w:b/>
          <w:bCs/>
          <w:sz w:val="28"/>
          <w:szCs w:val="28"/>
        </w:rPr>
        <w:t xml:space="preserve">Summary of the safety profile  </w:t>
      </w:r>
    </w:p>
    <w:p w14:paraId="29AF564D" w14:textId="01263E0B" w:rsidR="003847D8" w:rsidRPr="00BC6893" w:rsidRDefault="003847D8" w:rsidP="00BC6893">
      <w:pPr>
        <w:pStyle w:val="ListParagraph"/>
        <w:spacing w:line="360" w:lineRule="auto"/>
        <w:ind w:left="1224"/>
        <w:jc w:val="thaiDistribute"/>
        <w:rPr>
          <w:rFonts w:ascii="Times New Roman" w:hAnsi="Times New Roman" w:cs="Times New Roman"/>
          <w:b/>
          <w:bCs/>
          <w:sz w:val="28"/>
          <w:szCs w:val="28"/>
        </w:rPr>
      </w:pPr>
      <w:r w:rsidRPr="00BC6893">
        <w:rPr>
          <w:rFonts w:ascii="Times New Roman" w:hAnsi="Times New Roman" w:cs="Times New Roman"/>
          <w:sz w:val="28"/>
          <w:szCs w:val="28"/>
        </w:rPr>
        <w:t xml:space="preserve">The most frequent and common adverse reactions related to clarithromycin therapy for both adult and paediatric populations are abdominal pain, diarrhoea, nausea, vomiting and taste perversion. These adverse reactions are usually mild in intensity and are consistent with the known safety profile of macrolide antibiotics (see section b of section 4.8). </w:t>
      </w:r>
      <w:r w:rsidRPr="003847D8">
        <w:rPr>
          <w:rFonts w:ascii="Times New Roman" w:hAnsi="Times New Roman" w:cs="Times New Roman"/>
          <w:sz w:val="28"/>
          <w:szCs w:val="28"/>
        </w:rPr>
        <w:t xml:space="preserve">There was no significant difference in the incidence of these gastrointestinal adverse reactions during clinical trials between the patient population with or without preexisting mycobacterial infections.  </w:t>
      </w:r>
    </w:p>
    <w:p w14:paraId="71CB7F5E" w14:textId="77777777" w:rsidR="00BC6893" w:rsidRDefault="003847D8" w:rsidP="00BC6893">
      <w:pPr>
        <w:pStyle w:val="ListParagraph"/>
        <w:numPr>
          <w:ilvl w:val="2"/>
          <w:numId w:val="2"/>
        </w:numPr>
        <w:spacing w:after="240"/>
        <w:ind w:left="1225" w:hanging="505"/>
        <w:contextualSpacing w:val="0"/>
        <w:rPr>
          <w:rFonts w:ascii="Times New Roman" w:hAnsi="Times New Roman" w:cs="Times New Roman"/>
          <w:b/>
          <w:bCs/>
          <w:sz w:val="28"/>
          <w:szCs w:val="28"/>
        </w:rPr>
      </w:pPr>
      <w:r w:rsidRPr="00BC6893">
        <w:rPr>
          <w:rFonts w:ascii="Times New Roman" w:hAnsi="Times New Roman" w:cs="Times New Roman"/>
          <w:b/>
          <w:bCs/>
          <w:sz w:val="28"/>
          <w:szCs w:val="28"/>
        </w:rPr>
        <w:t xml:space="preserve">Tabulated summary of adverse reactions  </w:t>
      </w:r>
    </w:p>
    <w:p w14:paraId="6D64F8B2" w14:textId="77777777" w:rsidR="00BC6893" w:rsidRDefault="003847D8" w:rsidP="00BC6893">
      <w:pPr>
        <w:pStyle w:val="ListParagraph"/>
        <w:spacing w:line="360" w:lineRule="auto"/>
        <w:ind w:left="1224"/>
        <w:jc w:val="thaiDistribute"/>
        <w:rPr>
          <w:rFonts w:ascii="Times New Roman" w:hAnsi="Times New Roman" w:cs="Times New Roman"/>
          <w:sz w:val="28"/>
          <w:szCs w:val="28"/>
        </w:rPr>
      </w:pPr>
      <w:r w:rsidRPr="00BC6893">
        <w:rPr>
          <w:rFonts w:ascii="Times New Roman" w:hAnsi="Times New Roman" w:cs="Times New Roman"/>
          <w:sz w:val="28"/>
          <w:szCs w:val="28"/>
        </w:rPr>
        <w:t xml:space="preserve">The following table displays adverse reactions reported in clinical trials and from post-marketing experience with clarithromycin immediate-release tablets, granules for oral suspension, powder for solution for injection, extended-release tablets and modified-release tablets.  </w:t>
      </w:r>
    </w:p>
    <w:p w14:paraId="1C682342" w14:textId="0B5292C0" w:rsidR="008F34E3" w:rsidRPr="008F34E3" w:rsidRDefault="003847D8" w:rsidP="008F34E3">
      <w:pPr>
        <w:pStyle w:val="ListParagraph"/>
        <w:spacing w:line="360" w:lineRule="auto"/>
        <w:ind w:left="1224"/>
        <w:jc w:val="thaiDistribute"/>
        <w:rPr>
          <w:rFonts w:ascii="Times New Roman" w:hAnsi="Times New Roman" w:cs="Times New Roman"/>
          <w:b/>
          <w:bCs/>
          <w:sz w:val="28"/>
          <w:szCs w:val="28"/>
        </w:rPr>
      </w:pPr>
      <w:r w:rsidRPr="003847D8">
        <w:rPr>
          <w:rFonts w:ascii="Times New Roman" w:hAnsi="Times New Roman" w:cs="Times New Roman"/>
          <w:sz w:val="28"/>
          <w:szCs w:val="28"/>
        </w:rPr>
        <w:lastRenderedPageBreak/>
        <w:t xml:space="preserve">The reactions considered at least possibly related to clarithromycin are displayed by system organ class and frequency using the following convention: very common (≥1/10), common (≥ 1/100 to &lt; 1/10), uncommon (≥1/1,000 to &lt; 1/100) and not known (adverse reactions from post-marketing experience; cannot be estimated from the available data).  Within each frequency grouping, adverse reactions are presented in order of decreasing seriousness when the seriousness could be assessed.  </w:t>
      </w:r>
    </w:p>
    <w:tbl>
      <w:tblPr>
        <w:tblStyle w:val="TableGrid"/>
        <w:tblW w:w="935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106" w:type="dxa"/>
          <w:bottom w:w="0" w:type="dxa"/>
          <w:right w:w="16" w:type="dxa"/>
        </w:tblCellMar>
        <w:tblLook w:val="04A0" w:firstRow="1" w:lastRow="0" w:firstColumn="1" w:lastColumn="0" w:noHBand="0" w:noVBand="1"/>
      </w:tblPr>
      <w:tblGrid>
        <w:gridCol w:w="1457"/>
        <w:gridCol w:w="1062"/>
        <w:gridCol w:w="1579"/>
        <w:gridCol w:w="2754"/>
        <w:gridCol w:w="2503"/>
      </w:tblGrid>
      <w:tr w:rsidR="008F34E3" w:rsidRPr="008F34E3" w14:paraId="39132ECD" w14:textId="77777777" w:rsidTr="008F34E3">
        <w:trPr>
          <w:cantSplit/>
          <w:trHeight w:val="1296"/>
          <w:tblHeader/>
          <w:jc w:val="center"/>
        </w:trPr>
        <w:tc>
          <w:tcPr>
            <w:tcW w:w="1457" w:type="dxa"/>
          </w:tcPr>
          <w:p w14:paraId="621D580B" w14:textId="77777777" w:rsidR="008F34E3" w:rsidRPr="008F34E3" w:rsidRDefault="008F34E3" w:rsidP="0072182B">
            <w:pPr>
              <w:spacing w:line="259" w:lineRule="auto"/>
              <w:ind w:left="34"/>
              <w:rPr>
                <w:rFonts w:ascii="Times New Roman" w:hAnsi="Times New Roman" w:cs="Times New Roman"/>
                <w:b/>
                <w:bCs/>
                <w:szCs w:val="24"/>
              </w:rPr>
            </w:pPr>
            <w:r w:rsidRPr="008F34E3">
              <w:rPr>
                <w:rFonts w:ascii="Times New Roman" w:eastAsia="Times New Roman" w:hAnsi="Times New Roman" w:cs="Times New Roman"/>
                <w:b/>
                <w:bCs/>
                <w:szCs w:val="24"/>
              </w:rPr>
              <w:t xml:space="preserve">System </w:t>
            </w:r>
            <w:r w:rsidRPr="008F34E3">
              <w:rPr>
                <w:rFonts w:ascii="Times New Roman" w:hAnsi="Times New Roman" w:cs="Times New Roman"/>
                <w:b/>
                <w:bCs/>
                <w:szCs w:val="24"/>
              </w:rPr>
              <w:t xml:space="preserve"> </w:t>
            </w:r>
          </w:p>
          <w:p w14:paraId="1AC77943" w14:textId="77777777" w:rsidR="008F34E3" w:rsidRPr="008F34E3" w:rsidRDefault="008F34E3" w:rsidP="0072182B">
            <w:pPr>
              <w:spacing w:line="259" w:lineRule="auto"/>
              <w:ind w:left="34"/>
              <w:rPr>
                <w:rFonts w:ascii="Times New Roman" w:hAnsi="Times New Roman" w:cs="Times New Roman"/>
                <w:b/>
                <w:bCs/>
                <w:szCs w:val="24"/>
              </w:rPr>
            </w:pPr>
            <w:r w:rsidRPr="008F34E3">
              <w:rPr>
                <w:rFonts w:ascii="Times New Roman" w:eastAsia="Times New Roman" w:hAnsi="Times New Roman" w:cs="Times New Roman"/>
                <w:b/>
                <w:bCs/>
                <w:szCs w:val="24"/>
              </w:rPr>
              <w:t xml:space="preserve">Organ Class </w:t>
            </w:r>
            <w:r w:rsidRPr="008F34E3">
              <w:rPr>
                <w:rFonts w:ascii="Times New Roman" w:hAnsi="Times New Roman" w:cs="Times New Roman"/>
                <w:b/>
                <w:bCs/>
                <w:szCs w:val="24"/>
              </w:rPr>
              <w:t xml:space="preserve"> </w:t>
            </w:r>
          </w:p>
        </w:tc>
        <w:tc>
          <w:tcPr>
            <w:tcW w:w="1062" w:type="dxa"/>
          </w:tcPr>
          <w:p w14:paraId="7183BBF4" w14:textId="77777777" w:rsidR="008F34E3" w:rsidRPr="008F34E3" w:rsidRDefault="008F34E3" w:rsidP="0072182B">
            <w:pPr>
              <w:spacing w:after="27" w:line="237" w:lineRule="auto"/>
              <w:ind w:left="34"/>
              <w:rPr>
                <w:rFonts w:ascii="Times New Roman" w:hAnsi="Times New Roman" w:cs="Times New Roman"/>
                <w:b/>
                <w:bCs/>
                <w:szCs w:val="24"/>
              </w:rPr>
            </w:pPr>
            <w:r w:rsidRPr="008F34E3">
              <w:rPr>
                <w:rFonts w:ascii="Times New Roman" w:eastAsia="Times New Roman" w:hAnsi="Times New Roman" w:cs="Times New Roman"/>
                <w:b/>
                <w:bCs/>
                <w:szCs w:val="24"/>
              </w:rPr>
              <w:t xml:space="preserve">Very common </w:t>
            </w:r>
            <w:r w:rsidRPr="008F34E3">
              <w:rPr>
                <w:rFonts w:ascii="Times New Roman" w:hAnsi="Times New Roman" w:cs="Times New Roman"/>
                <w:b/>
                <w:bCs/>
                <w:szCs w:val="24"/>
              </w:rPr>
              <w:t xml:space="preserve"> </w:t>
            </w:r>
          </w:p>
          <w:p w14:paraId="65CE7DD1" w14:textId="77777777" w:rsidR="008F34E3" w:rsidRPr="008F34E3" w:rsidRDefault="008F34E3" w:rsidP="0072182B">
            <w:pPr>
              <w:spacing w:line="259" w:lineRule="auto"/>
              <w:ind w:left="34"/>
              <w:rPr>
                <w:rFonts w:ascii="Times New Roman" w:hAnsi="Times New Roman" w:cs="Times New Roman"/>
                <w:b/>
                <w:bCs/>
                <w:szCs w:val="24"/>
              </w:rPr>
            </w:pPr>
            <w:r w:rsidRPr="008F34E3">
              <w:rPr>
                <w:rFonts w:ascii="Times New Roman" w:eastAsia="Calibri" w:hAnsi="Times New Roman" w:cs="Times New Roman"/>
                <w:b/>
                <w:bCs/>
                <w:szCs w:val="24"/>
              </w:rPr>
              <w:t>≥</w:t>
            </w:r>
            <w:r w:rsidRPr="008F34E3">
              <w:rPr>
                <w:rFonts w:ascii="Times New Roman" w:eastAsia="Times New Roman" w:hAnsi="Times New Roman" w:cs="Times New Roman"/>
                <w:b/>
                <w:bCs/>
                <w:szCs w:val="24"/>
              </w:rPr>
              <w:t xml:space="preserve">1/10 </w:t>
            </w:r>
            <w:r w:rsidRPr="008F34E3">
              <w:rPr>
                <w:rFonts w:ascii="Times New Roman" w:hAnsi="Times New Roman" w:cs="Times New Roman"/>
                <w:b/>
                <w:bCs/>
                <w:szCs w:val="24"/>
              </w:rPr>
              <w:t xml:space="preserve"> </w:t>
            </w:r>
          </w:p>
        </w:tc>
        <w:tc>
          <w:tcPr>
            <w:tcW w:w="1579" w:type="dxa"/>
          </w:tcPr>
          <w:p w14:paraId="3DBDB6A2" w14:textId="77777777" w:rsidR="008F34E3" w:rsidRPr="008F34E3" w:rsidRDefault="008F34E3" w:rsidP="0072182B">
            <w:pPr>
              <w:spacing w:line="259" w:lineRule="auto"/>
              <w:ind w:left="34"/>
              <w:rPr>
                <w:rFonts w:ascii="Times New Roman" w:hAnsi="Times New Roman" w:cs="Times New Roman"/>
                <w:b/>
                <w:bCs/>
                <w:szCs w:val="24"/>
              </w:rPr>
            </w:pPr>
            <w:r w:rsidRPr="008F34E3">
              <w:rPr>
                <w:rFonts w:ascii="Times New Roman" w:eastAsia="Times New Roman" w:hAnsi="Times New Roman" w:cs="Times New Roman"/>
                <w:b/>
                <w:bCs/>
                <w:szCs w:val="24"/>
              </w:rPr>
              <w:t xml:space="preserve">Common </w:t>
            </w:r>
            <w:r w:rsidRPr="008F34E3">
              <w:rPr>
                <w:rFonts w:ascii="Times New Roman" w:eastAsia="Calibri" w:hAnsi="Times New Roman" w:cs="Times New Roman"/>
                <w:b/>
                <w:bCs/>
                <w:szCs w:val="24"/>
              </w:rPr>
              <w:t>≥</w:t>
            </w:r>
            <w:r w:rsidRPr="008F34E3">
              <w:rPr>
                <w:rFonts w:ascii="Times New Roman" w:eastAsia="Times New Roman" w:hAnsi="Times New Roman" w:cs="Times New Roman"/>
                <w:b/>
                <w:bCs/>
                <w:szCs w:val="24"/>
              </w:rPr>
              <w:t xml:space="preserve"> </w:t>
            </w:r>
          </w:p>
          <w:p w14:paraId="32143A6C" w14:textId="77777777" w:rsidR="008F34E3" w:rsidRPr="008F34E3" w:rsidRDefault="008F34E3" w:rsidP="0072182B">
            <w:pPr>
              <w:spacing w:line="259" w:lineRule="auto"/>
              <w:ind w:left="34"/>
              <w:rPr>
                <w:rFonts w:ascii="Times New Roman" w:hAnsi="Times New Roman" w:cs="Times New Roman"/>
                <w:b/>
                <w:bCs/>
                <w:szCs w:val="24"/>
              </w:rPr>
            </w:pPr>
            <w:r w:rsidRPr="008F34E3">
              <w:rPr>
                <w:rFonts w:ascii="Times New Roman" w:eastAsia="Times New Roman" w:hAnsi="Times New Roman" w:cs="Times New Roman"/>
                <w:b/>
                <w:bCs/>
                <w:szCs w:val="24"/>
              </w:rPr>
              <w:t xml:space="preserve">1/100 to &lt; </w:t>
            </w:r>
            <w:r w:rsidRPr="008F34E3">
              <w:rPr>
                <w:rFonts w:ascii="Times New Roman" w:hAnsi="Times New Roman" w:cs="Times New Roman"/>
                <w:b/>
                <w:bCs/>
                <w:szCs w:val="24"/>
              </w:rPr>
              <w:t xml:space="preserve"> </w:t>
            </w:r>
          </w:p>
          <w:p w14:paraId="4D120558" w14:textId="77777777" w:rsidR="008F34E3" w:rsidRPr="008F34E3" w:rsidRDefault="008F34E3" w:rsidP="0072182B">
            <w:pPr>
              <w:spacing w:line="259" w:lineRule="auto"/>
              <w:ind w:left="34"/>
              <w:rPr>
                <w:rFonts w:ascii="Times New Roman" w:hAnsi="Times New Roman" w:cs="Times New Roman"/>
                <w:b/>
                <w:bCs/>
                <w:szCs w:val="24"/>
              </w:rPr>
            </w:pPr>
            <w:r w:rsidRPr="008F34E3">
              <w:rPr>
                <w:rFonts w:ascii="Times New Roman" w:eastAsia="Times New Roman" w:hAnsi="Times New Roman" w:cs="Times New Roman"/>
                <w:b/>
                <w:bCs/>
                <w:szCs w:val="24"/>
              </w:rPr>
              <w:t xml:space="preserve">1/10 </w:t>
            </w:r>
            <w:r w:rsidRPr="008F34E3">
              <w:rPr>
                <w:rFonts w:ascii="Times New Roman" w:hAnsi="Times New Roman" w:cs="Times New Roman"/>
                <w:b/>
                <w:bCs/>
                <w:szCs w:val="24"/>
              </w:rPr>
              <w:t xml:space="preserve"> </w:t>
            </w:r>
          </w:p>
        </w:tc>
        <w:tc>
          <w:tcPr>
            <w:tcW w:w="2754" w:type="dxa"/>
          </w:tcPr>
          <w:p w14:paraId="4763DF14" w14:textId="77777777" w:rsidR="008F34E3" w:rsidRPr="008F34E3" w:rsidRDefault="008F34E3" w:rsidP="0072182B">
            <w:pPr>
              <w:spacing w:after="17" w:line="259" w:lineRule="auto"/>
              <w:ind w:left="34"/>
              <w:rPr>
                <w:rFonts w:ascii="Times New Roman" w:hAnsi="Times New Roman" w:cs="Times New Roman"/>
                <w:b/>
                <w:bCs/>
                <w:szCs w:val="24"/>
              </w:rPr>
            </w:pPr>
            <w:r w:rsidRPr="008F34E3">
              <w:rPr>
                <w:rFonts w:ascii="Times New Roman" w:eastAsia="Times New Roman" w:hAnsi="Times New Roman" w:cs="Times New Roman"/>
                <w:b/>
                <w:bCs/>
                <w:szCs w:val="24"/>
              </w:rPr>
              <w:t xml:space="preserve">Uncommon </w:t>
            </w:r>
            <w:r w:rsidRPr="008F34E3">
              <w:rPr>
                <w:rFonts w:ascii="Times New Roman" w:hAnsi="Times New Roman" w:cs="Times New Roman"/>
                <w:b/>
                <w:bCs/>
                <w:szCs w:val="24"/>
              </w:rPr>
              <w:t xml:space="preserve"> </w:t>
            </w:r>
          </w:p>
          <w:p w14:paraId="5D71E17F" w14:textId="77777777" w:rsidR="008F34E3" w:rsidRPr="008F34E3" w:rsidRDefault="008F34E3" w:rsidP="0072182B">
            <w:pPr>
              <w:spacing w:line="259" w:lineRule="auto"/>
              <w:ind w:left="34"/>
              <w:rPr>
                <w:rFonts w:ascii="Times New Roman" w:hAnsi="Times New Roman" w:cs="Times New Roman"/>
                <w:b/>
                <w:bCs/>
                <w:szCs w:val="24"/>
              </w:rPr>
            </w:pPr>
            <w:r w:rsidRPr="008F34E3">
              <w:rPr>
                <w:rFonts w:ascii="Times New Roman" w:eastAsia="Calibri" w:hAnsi="Times New Roman" w:cs="Times New Roman"/>
                <w:b/>
                <w:bCs/>
                <w:szCs w:val="24"/>
              </w:rPr>
              <w:t>≥</w:t>
            </w:r>
            <w:r w:rsidRPr="008F34E3">
              <w:rPr>
                <w:rFonts w:ascii="Times New Roman" w:eastAsia="Times New Roman" w:hAnsi="Times New Roman" w:cs="Times New Roman"/>
                <w:b/>
                <w:bCs/>
                <w:szCs w:val="24"/>
              </w:rPr>
              <w:t xml:space="preserve">1/1,000 to &lt; 1/100 </w:t>
            </w:r>
            <w:r w:rsidRPr="008F34E3">
              <w:rPr>
                <w:rFonts w:ascii="Times New Roman" w:hAnsi="Times New Roman" w:cs="Times New Roman"/>
                <w:b/>
                <w:bCs/>
                <w:szCs w:val="24"/>
              </w:rPr>
              <w:t xml:space="preserve"> </w:t>
            </w:r>
          </w:p>
        </w:tc>
        <w:tc>
          <w:tcPr>
            <w:tcW w:w="2503" w:type="dxa"/>
          </w:tcPr>
          <w:p w14:paraId="74E4C02B" w14:textId="77777777" w:rsidR="008F34E3" w:rsidRPr="008F34E3" w:rsidRDefault="008F34E3" w:rsidP="0072182B">
            <w:pPr>
              <w:spacing w:line="259" w:lineRule="auto"/>
              <w:rPr>
                <w:rFonts w:ascii="Times New Roman" w:hAnsi="Times New Roman" w:cs="Times New Roman"/>
                <w:b/>
                <w:bCs/>
                <w:szCs w:val="24"/>
              </w:rPr>
            </w:pPr>
            <w:r w:rsidRPr="008F34E3">
              <w:rPr>
                <w:rFonts w:ascii="Times New Roman" w:eastAsia="Times New Roman" w:hAnsi="Times New Roman" w:cs="Times New Roman"/>
                <w:b/>
                <w:bCs/>
                <w:szCs w:val="24"/>
              </w:rPr>
              <w:t xml:space="preserve">Not Known* </w:t>
            </w:r>
            <w:r w:rsidRPr="008F34E3">
              <w:rPr>
                <w:rFonts w:ascii="Times New Roman" w:hAnsi="Times New Roman" w:cs="Times New Roman"/>
                <w:b/>
                <w:bCs/>
                <w:szCs w:val="24"/>
              </w:rPr>
              <w:t xml:space="preserve"> </w:t>
            </w:r>
          </w:p>
          <w:p w14:paraId="06AD1534" w14:textId="77777777" w:rsidR="008F34E3" w:rsidRPr="008F34E3" w:rsidRDefault="008F34E3" w:rsidP="0072182B">
            <w:pPr>
              <w:spacing w:line="259" w:lineRule="auto"/>
              <w:rPr>
                <w:rFonts w:ascii="Times New Roman" w:hAnsi="Times New Roman" w:cs="Times New Roman"/>
                <w:b/>
                <w:bCs/>
                <w:szCs w:val="24"/>
              </w:rPr>
            </w:pPr>
            <w:r w:rsidRPr="008F34E3">
              <w:rPr>
                <w:rFonts w:ascii="Times New Roman" w:eastAsia="Times New Roman" w:hAnsi="Times New Roman" w:cs="Times New Roman"/>
                <w:b/>
                <w:bCs/>
                <w:szCs w:val="24"/>
              </w:rPr>
              <w:t xml:space="preserve">(cannot be estimated from the available data) </w:t>
            </w:r>
            <w:r w:rsidRPr="008F34E3">
              <w:rPr>
                <w:rFonts w:ascii="Times New Roman" w:hAnsi="Times New Roman" w:cs="Times New Roman"/>
                <w:b/>
                <w:bCs/>
                <w:szCs w:val="24"/>
              </w:rPr>
              <w:t xml:space="preserve"> </w:t>
            </w:r>
          </w:p>
        </w:tc>
      </w:tr>
      <w:tr w:rsidR="008F34E3" w:rsidRPr="008F34E3" w14:paraId="12CCE847" w14:textId="77777777" w:rsidTr="008F34E3">
        <w:trPr>
          <w:trHeight w:val="1579"/>
          <w:jc w:val="center"/>
        </w:trPr>
        <w:tc>
          <w:tcPr>
            <w:tcW w:w="1457" w:type="dxa"/>
          </w:tcPr>
          <w:p w14:paraId="2FF7502E" w14:textId="77777777" w:rsidR="008F34E3" w:rsidRPr="008F34E3" w:rsidRDefault="008F34E3" w:rsidP="0072182B">
            <w:pPr>
              <w:spacing w:line="259" w:lineRule="auto"/>
              <w:ind w:left="34" w:right="38"/>
              <w:rPr>
                <w:rFonts w:ascii="Times New Roman" w:hAnsi="Times New Roman" w:cs="Times New Roman"/>
                <w:szCs w:val="24"/>
              </w:rPr>
            </w:pPr>
            <w:r w:rsidRPr="008F34E3">
              <w:rPr>
                <w:rFonts w:ascii="Times New Roman" w:eastAsia="Times New Roman" w:hAnsi="Times New Roman" w:cs="Times New Roman"/>
                <w:szCs w:val="24"/>
              </w:rPr>
              <w:t xml:space="preserve">Infections and infestations </w:t>
            </w:r>
            <w:r w:rsidRPr="008F34E3">
              <w:rPr>
                <w:rFonts w:ascii="Times New Roman" w:hAnsi="Times New Roman" w:cs="Times New Roman"/>
                <w:szCs w:val="24"/>
              </w:rPr>
              <w:t xml:space="preserve"> </w:t>
            </w:r>
          </w:p>
        </w:tc>
        <w:tc>
          <w:tcPr>
            <w:tcW w:w="1062" w:type="dxa"/>
          </w:tcPr>
          <w:p w14:paraId="3DCBC928" w14:textId="77777777"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579" w:type="dxa"/>
          </w:tcPr>
          <w:p w14:paraId="4DF0D235" w14:textId="77777777"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754" w:type="dxa"/>
          </w:tcPr>
          <w:p w14:paraId="2ABD0A74" w14:textId="77777777"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Cellulitis</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candidiasis</w:t>
            </w:r>
            <w:r w:rsidRPr="008F34E3">
              <w:rPr>
                <w:rFonts w:ascii="Times New Roman" w:eastAsia="Times New Roman" w:hAnsi="Times New Roman" w:cs="Times New Roman"/>
                <w:b/>
                <w:szCs w:val="24"/>
              </w:rPr>
              <w:t>,</w:t>
            </w:r>
            <w:r w:rsidRPr="008F34E3">
              <w:rPr>
                <w:rFonts w:ascii="Times New Roman" w:eastAsia="Times New Roman" w:hAnsi="Times New Roman" w:cs="Times New Roman"/>
                <w:szCs w:val="24"/>
              </w:rPr>
              <w:t xml:space="preserve"> gastroenteritis</w:t>
            </w:r>
            <w:r w:rsidRPr="008F34E3">
              <w:rPr>
                <w:rFonts w:ascii="Times New Roman" w:eastAsia="Times New Roman" w:hAnsi="Times New Roman" w:cs="Times New Roman"/>
                <w:szCs w:val="24"/>
                <w:vertAlign w:val="superscript"/>
              </w:rPr>
              <w:t>2</w:t>
            </w:r>
            <w:r w:rsidRPr="008F34E3">
              <w:rPr>
                <w:rFonts w:ascii="Times New Roman" w:eastAsia="Times New Roman" w:hAnsi="Times New Roman" w:cs="Times New Roman"/>
                <w:szCs w:val="24"/>
              </w:rPr>
              <w:t>, infection</w:t>
            </w:r>
            <w:r w:rsidRPr="008F34E3">
              <w:rPr>
                <w:rFonts w:ascii="Times New Roman" w:eastAsia="Times New Roman" w:hAnsi="Times New Roman" w:cs="Times New Roman"/>
                <w:szCs w:val="24"/>
                <w:vertAlign w:val="superscript"/>
              </w:rPr>
              <w:t>3</w:t>
            </w:r>
            <w:r w:rsidRPr="008F34E3">
              <w:rPr>
                <w:rFonts w:ascii="Times New Roman" w:eastAsia="Times New Roman" w:hAnsi="Times New Roman" w:cs="Times New Roman"/>
                <w:szCs w:val="24"/>
              </w:rPr>
              <w:t xml:space="preserve">, vaginal infection   </w:t>
            </w:r>
            <w:r w:rsidRPr="008F34E3">
              <w:rPr>
                <w:rFonts w:ascii="Times New Roman" w:hAnsi="Times New Roman" w:cs="Times New Roman"/>
                <w:szCs w:val="24"/>
              </w:rPr>
              <w:t xml:space="preserve"> </w:t>
            </w:r>
          </w:p>
        </w:tc>
        <w:tc>
          <w:tcPr>
            <w:tcW w:w="2503" w:type="dxa"/>
          </w:tcPr>
          <w:p w14:paraId="3146DDC2" w14:textId="77777777" w:rsidR="008F34E3" w:rsidRPr="008F34E3" w:rsidRDefault="008F34E3" w:rsidP="0072182B">
            <w:pPr>
              <w:spacing w:line="259" w:lineRule="auto"/>
              <w:rPr>
                <w:rFonts w:ascii="Times New Roman" w:hAnsi="Times New Roman" w:cs="Times New Roman"/>
                <w:szCs w:val="24"/>
              </w:rPr>
            </w:pPr>
            <w:r w:rsidRPr="008F34E3">
              <w:rPr>
                <w:rFonts w:ascii="Times New Roman" w:eastAsia="Times New Roman" w:hAnsi="Times New Roman" w:cs="Times New Roman"/>
                <w:szCs w:val="24"/>
              </w:rPr>
              <w:t xml:space="preserve">Pseudomembranous </w:t>
            </w:r>
            <w:r w:rsidRPr="008F34E3">
              <w:rPr>
                <w:rFonts w:ascii="Times New Roman" w:hAnsi="Times New Roman" w:cs="Times New Roman"/>
                <w:szCs w:val="24"/>
              </w:rPr>
              <w:t xml:space="preserve"> </w:t>
            </w:r>
          </w:p>
          <w:p w14:paraId="06B6183F" w14:textId="77777777" w:rsidR="008F34E3" w:rsidRPr="008F34E3" w:rsidRDefault="008F34E3" w:rsidP="0072182B">
            <w:pPr>
              <w:spacing w:line="259" w:lineRule="auto"/>
              <w:rPr>
                <w:rFonts w:ascii="Times New Roman" w:hAnsi="Times New Roman" w:cs="Times New Roman"/>
                <w:szCs w:val="24"/>
              </w:rPr>
            </w:pPr>
            <w:r w:rsidRPr="008F34E3">
              <w:rPr>
                <w:rFonts w:ascii="Times New Roman" w:eastAsia="Times New Roman" w:hAnsi="Times New Roman" w:cs="Times New Roman"/>
                <w:szCs w:val="24"/>
              </w:rPr>
              <w:t xml:space="preserve">colitis, erysipelas,  </w:t>
            </w:r>
            <w:r w:rsidRPr="008F34E3">
              <w:rPr>
                <w:rFonts w:ascii="Times New Roman" w:hAnsi="Times New Roman" w:cs="Times New Roman"/>
                <w:szCs w:val="24"/>
              </w:rPr>
              <w:t xml:space="preserve"> </w:t>
            </w:r>
          </w:p>
        </w:tc>
      </w:tr>
      <w:tr w:rsidR="008F34E3" w:rsidRPr="008F34E3" w14:paraId="7F1475F5" w14:textId="77777777" w:rsidTr="008F34E3">
        <w:trPr>
          <w:trHeight w:val="1267"/>
          <w:jc w:val="center"/>
        </w:trPr>
        <w:tc>
          <w:tcPr>
            <w:tcW w:w="1457" w:type="dxa"/>
          </w:tcPr>
          <w:p w14:paraId="59F7B8E5" w14:textId="77777777"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 xml:space="preserve">Blood and lymphatic system </w:t>
            </w:r>
            <w:r w:rsidRPr="008F34E3">
              <w:rPr>
                <w:rFonts w:ascii="Times New Roman" w:hAnsi="Times New Roman" w:cs="Times New Roman"/>
                <w:szCs w:val="24"/>
              </w:rPr>
              <w:t xml:space="preserve"> </w:t>
            </w:r>
          </w:p>
        </w:tc>
        <w:tc>
          <w:tcPr>
            <w:tcW w:w="1062" w:type="dxa"/>
          </w:tcPr>
          <w:p w14:paraId="0F7CFF83" w14:textId="77777777"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579" w:type="dxa"/>
          </w:tcPr>
          <w:p w14:paraId="496301A8" w14:textId="77777777"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754" w:type="dxa"/>
          </w:tcPr>
          <w:p w14:paraId="7643654A" w14:textId="77777777"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Leukopenia, neutropenia</w:t>
            </w:r>
            <w:r w:rsidRPr="008F34E3">
              <w:rPr>
                <w:rFonts w:ascii="Times New Roman" w:eastAsia="Times New Roman" w:hAnsi="Times New Roman" w:cs="Times New Roman"/>
                <w:szCs w:val="24"/>
                <w:vertAlign w:val="superscript"/>
              </w:rPr>
              <w:t>4</w:t>
            </w:r>
            <w:r w:rsidRPr="008F34E3">
              <w:rPr>
                <w:rFonts w:ascii="Times New Roman" w:eastAsia="Times New Roman" w:hAnsi="Times New Roman" w:cs="Times New Roman"/>
                <w:szCs w:val="24"/>
              </w:rPr>
              <w:t>, thrombocythaemia</w:t>
            </w:r>
            <w:r w:rsidRPr="008F34E3">
              <w:rPr>
                <w:rFonts w:ascii="Times New Roman" w:eastAsia="Times New Roman" w:hAnsi="Times New Roman" w:cs="Times New Roman"/>
                <w:szCs w:val="24"/>
                <w:vertAlign w:val="superscript"/>
              </w:rPr>
              <w:t>3</w:t>
            </w:r>
            <w:r w:rsidRPr="008F34E3">
              <w:rPr>
                <w:rFonts w:ascii="Times New Roman" w:eastAsia="Times New Roman" w:hAnsi="Times New Roman" w:cs="Times New Roman"/>
                <w:szCs w:val="24"/>
              </w:rPr>
              <w:t>, eosinophilia</w:t>
            </w:r>
            <w:r w:rsidRPr="008F34E3">
              <w:rPr>
                <w:rFonts w:ascii="Times New Roman" w:eastAsia="Times New Roman" w:hAnsi="Times New Roman" w:cs="Times New Roman"/>
                <w:szCs w:val="24"/>
                <w:vertAlign w:val="superscript"/>
              </w:rPr>
              <w:t>4</w:t>
            </w: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503" w:type="dxa"/>
          </w:tcPr>
          <w:p w14:paraId="1291D13B" w14:textId="77777777" w:rsidR="008F34E3" w:rsidRPr="008F34E3" w:rsidRDefault="008F34E3" w:rsidP="0072182B">
            <w:pPr>
              <w:spacing w:line="259" w:lineRule="auto"/>
              <w:rPr>
                <w:rFonts w:ascii="Times New Roman" w:hAnsi="Times New Roman" w:cs="Times New Roman"/>
                <w:szCs w:val="24"/>
              </w:rPr>
            </w:pPr>
            <w:r w:rsidRPr="008F34E3">
              <w:rPr>
                <w:rFonts w:ascii="Times New Roman" w:eastAsia="Times New Roman" w:hAnsi="Times New Roman" w:cs="Times New Roman"/>
                <w:szCs w:val="24"/>
              </w:rPr>
              <w:t xml:space="preserve">Agranulocytosis, thrombocytopenia </w:t>
            </w:r>
            <w:r w:rsidRPr="008F34E3">
              <w:rPr>
                <w:rFonts w:ascii="Times New Roman" w:hAnsi="Times New Roman" w:cs="Times New Roman"/>
                <w:szCs w:val="24"/>
              </w:rPr>
              <w:t xml:space="preserve"> </w:t>
            </w:r>
          </w:p>
        </w:tc>
      </w:tr>
      <w:tr w:rsidR="008F34E3" w:rsidRPr="008F34E3" w14:paraId="3D875A85" w14:textId="77777777" w:rsidTr="008F34E3">
        <w:trPr>
          <w:trHeight w:val="970"/>
          <w:jc w:val="center"/>
        </w:trPr>
        <w:tc>
          <w:tcPr>
            <w:tcW w:w="1457" w:type="dxa"/>
          </w:tcPr>
          <w:p w14:paraId="4EFE3AAE" w14:textId="77777777"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 xml:space="preserve">Immune system disorders </w:t>
            </w:r>
            <w:r w:rsidRPr="008F34E3">
              <w:rPr>
                <w:rFonts w:ascii="Times New Roman" w:hAnsi="Times New Roman" w:cs="Times New Roman"/>
                <w:szCs w:val="24"/>
              </w:rPr>
              <w:t xml:space="preserve"> </w:t>
            </w:r>
          </w:p>
        </w:tc>
        <w:tc>
          <w:tcPr>
            <w:tcW w:w="1062" w:type="dxa"/>
          </w:tcPr>
          <w:p w14:paraId="0A1DF6A9" w14:textId="77777777"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579" w:type="dxa"/>
          </w:tcPr>
          <w:p w14:paraId="3A8C75E1" w14:textId="77777777"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754" w:type="dxa"/>
          </w:tcPr>
          <w:p w14:paraId="39931354" w14:textId="77777777"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Anaphylactoid reaction</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xml:space="preserve">, hypersensitivity </w:t>
            </w:r>
            <w:r w:rsidRPr="008F34E3">
              <w:rPr>
                <w:rFonts w:ascii="Times New Roman" w:hAnsi="Times New Roman" w:cs="Times New Roman"/>
                <w:szCs w:val="24"/>
              </w:rPr>
              <w:t xml:space="preserve"> </w:t>
            </w:r>
          </w:p>
        </w:tc>
        <w:tc>
          <w:tcPr>
            <w:tcW w:w="2503" w:type="dxa"/>
          </w:tcPr>
          <w:p w14:paraId="5A594825" w14:textId="77777777" w:rsidR="008F34E3" w:rsidRPr="008F34E3" w:rsidRDefault="008F34E3" w:rsidP="0072182B">
            <w:pPr>
              <w:spacing w:line="259" w:lineRule="auto"/>
              <w:rPr>
                <w:rFonts w:ascii="Times New Roman" w:hAnsi="Times New Roman" w:cs="Times New Roman"/>
                <w:szCs w:val="24"/>
              </w:rPr>
            </w:pPr>
            <w:r w:rsidRPr="008F34E3">
              <w:rPr>
                <w:rFonts w:ascii="Times New Roman" w:eastAsia="Times New Roman" w:hAnsi="Times New Roman" w:cs="Times New Roman"/>
                <w:szCs w:val="24"/>
              </w:rPr>
              <w:t xml:space="preserve">Anaphylactic reaction. </w:t>
            </w:r>
            <w:r w:rsidRPr="008F34E3">
              <w:rPr>
                <w:rFonts w:ascii="Times New Roman" w:hAnsi="Times New Roman" w:cs="Times New Roman"/>
                <w:szCs w:val="24"/>
              </w:rPr>
              <w:t xml:space="preserve"> </w:t>
            </w:r>
          </w:p>
          <w:p w14:paraId="2E3189FC" w14:textId="77777777" w:rsidR="008F34E3" w:rsidRPr="008F34E3" w:rsidRDefault="008F34E3" w:rsidP="0072182B">
            <w:pPr>
              <w:spacing w:line="259" w:lineRule="auto"/>
              <w:rPr>
                <w:rFonts w:ascii="Times New Roman" w:hAnsi="Times New Roman" w:cs="Times New Roman"/>
                <w:szCs w:val="24"/>
              </w:rPr>
            </w:pPr>
            <w:r w:rsidRPr="008F34E3">
              <w:rPr>
                <w:rFonts w:ascii="Times New Roman" w:eastAsia="Times New Roman" w:hAnsi="Times New Roman" w:cs="Times New Roman"/>
                <w:szCs w:val="24"/>
              </w:rPr>
              <w:t xml:space="preserve">angioedema </w:t>
            </w:r>
            <w:r w:rsidRPr="008F34E3">
              <w:rPr>
                <w:rFonts w:ascii="Times New Roman" w:hAnsi="Times New Roman" w:cs="Times New Roman"/>
                <w:szCs w:val="24"/>
              </w:rPr>
              <w:t xml:space="preserve"> </w:t>
            </w:r>
          </w:p>
        </w:tc>
      </w:tr>
      <w:tr w:rsidR="008F34E3" w:rsidRPr="008F34E3" w14:paraId="33E843B2" w14:textId="77777777" w:rsidTr="008F34E3">
        <w:trPr>
          <w:trHeight w:val="974"/>
          <w:jc w:val="center"/>
        </w:trPr>
        <w:tc>
          <w:tcPr>
            <w:tcW w:w="1457" w:type="dxa"/>
          </w:tcPr>
          <w:p w14:paraId="0CA86F38" w14:textId="77777777"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 xml:space="preserve">Metabolism and nutrition disorders </w:t>
            </w:r>
            <w:r w:rsidRPr="008F34E3">
              <w:rPr>
                <w:rFonts w:ascii="Times New Roman" w:hAnsi="Times New Roman" w:cs="Times New Roman"/>
                <w:szCs w:val="24"/>
              </w:rPr>
              <w:t xml:space="preserve"> </w:t>
            </w:r>
          </w:p>
        </w:tc>
        <w:tc>
          <w:tcPr>
            <w:tcW w:w="1062" w:type="dxa"/>
          </w:tcPr>
          <w:p w14:paraId="34BF7516" w14:textId="77777777"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579" w:type="dxa"/>
          </w:tcPr>
          <w:p w14:paraId="2FFB9A3F" w14:textId="77777777"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754" w:type="dxa"/>
          </w:tcPr>
          <w:p w14:paraId="625920C7" w14:textId="77777777"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 xml:space="preserve">Anorexia, decreased appetite </w:t>
            </w:r>
            <w:r w:rsidRPr="008F34E3">
              <w:rPr>
                <w:rFonts w:ascii="Times New Roman" w:hAnsi="Times New Roman" w:cs="Times New Roman"/>
                <w:szCs w:val="24"/>
              </w:rPr>
              <w:t xml:space="preserve"> </w:t>
            </w:r>
          </w:p>
        </w:tc>
        <w:tc>
          <w:tcPr>
            <w:tcW w:w="2503" w:type="dxa"/>
          </w:tcPr>
          <w:p w14:paraId="104B4D7C" w14:textId="77777777" w:rsidR="008F34E3" w:rsidRPr="008F34E3" w:rsidRDefault="008F34E3" w:rsidP="0072182B">
            <w:pPr>
              <w:spacing w:line="259" w:lineRule="auto"/>
              <w:rPr>
                <w:rFonts w:ascii="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r>
      <w:tr w:rsidR="008F34E3" w:rsidRPr="008F34E3" w14:paraId="36B612D0" w14:textId="77777777" w:rsidTr="008F34E3">
        <w:trPr>
          <w:trHeight w:val="398"/>
          <w:jc w:val="center"/>
        </w:trPr>
        <w:tc>
          <w:tcPr>
            <w:tcW w:w="1457" w:type="dxa"/>
          </w:tcPr>
          <w:p w14:paraId="7079DF99" w14:textId="57819C84"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 xml:space="preserve">Psychiatric </w:t>
            </w:r>
            <w:r w:rsidRPr="008F34E3">
              <w:rPr>
                <w:rFonts w:ascii="Times New Roman" w:hAnsi="Times New Roman" w:cs="Times New Roman"/>
                <w:szCs w:val="24"/>
              </w:rPr>
              <w:t xml:space="preserve"> </w:t>
            </w:r>
            <w:r w:rsidRPr="008F34E3">
              <w:rPr>
                <w:rFonts w:ascii="Times New Roman" w:eastAsia="Times New Roman" w:hAnsi="Times New Roman" w:cs="Times New Roman"/>
                <w:szCs w:val="24"/>
              </w:rPr>
              <w:t xml:space="preserve">disorders </w:t>
            </w:r>
            <w:r w:rsidRPr="008F34E3">
              <w:rPr>
                <w:rFonts w:ascii="Times New Roman" w:hAnsi="Times New Roman" w:cs="Times New Roman"/>
                <w:szCs w:val="24"/>
              </w:rPr>
              <w:t xml:space="preserve"> </w:t>
            </w:r>
          </w:p>
        </w:tc>
        <w:tc>
          <w:tcPr>
            <w:tcW w:w="1062" w:type="dxa"/>
          </w:tcPr>
          <w:p w14:paraId="0E83EBEB" w14:textId="77777777"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579" w:type="dxa"/>
          </w:tcPr>
          <w:p w14:paraId="75FE4918" w14:textId="77777777" w:rsidR="008F34E3" w:rsidRPr="008F34E3" w:rsidRDefault="008F34E3" w:rsidP="0072182B">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 xml:space="preserve">Insomnia </w:t>
            </w:r>
            <w:r w:rsidRPr="008F34E3">
              <w:rPr>
                <w:rFonts w:ascii="Times New Roman" w:hAnsi="Times New Roman" w:cs="Times New Roman"/>
                <w:szCs w:val="24"/>
              </w:rPr>
              <w:t xml:space="preserve"> </w:t>
            </w:r>
          </w:p>
        </w:tc>
        <w:tc>
          <w:tcPr>
            <w:tcW w:w="2754" w:type="dxa"/>
          </w:tcPr>
          <w:p w14:paraId="37471CCC" w14:textId="688DB95E" w:rsidR="008F34E3" w:rsidRPr="008F34E3" w:rsidRDefault="008F34E3" w:rsidP="0072182B">
            <w:pPr>
              <w:spacing w:line="259" w:lineRule="auto"/>
              <w:ind w:left="33"/>
              <w:rPr>
                <w:rFonts w:ascii="Times New Roman" w:hAnsi="Times New Roman" w:cs="Times New Roman"/>
                <w:szCs w:val="24"/>
              </w:rPr>
            </w:pPr>
            <w:r w:rsidRPr="008F34E3">
              <w:rPr>
                <w:rFonts w:ascii="Times New Roman" w:eastAsia="Times New Roman" w:hAnsi="Times New Roman" w:cs="Times New Roman"/>
                <w:szCs w:val="24"/>
              </w:rPr>
              <w:t xml:space="preserve">Anxiety, </w:t>
            </w:r>
            <w:r w:rsidRPr="008F34E3">
              <w:rPr>
                <w:rFonts w:ascii="Times New Roman" w:hAnsi="Times New Roman" w:cs="Times New Roman"/>
                <w:szCs w:val="24"/>
              </w:rPr>
              <w:t xml:space="preserve"> </w:t>
            </w:r>
            <w:r w:rsidRPr="008F34E3">
              <w:rPr>
                <w:rFonts w:ascii="Times New Roman" w:eastAsia="Times New Roman" w:hAnsi="Times New Roman" w:cs="Times New Roman"/>
                <w:szCs w:val="24"/>
              </w:rPr>
              <w:t>nervousness</w:t>
            </w:r>
            <w:r w:rsidRPr="008F34E3">
              <w:rPr>
                <w:rFonts w:ascii="Times New Roman" w:eastAsia="Times New Roman" w:hAnsi="Times New Roman" w:cs="Times New Roman"/>
                <w:szCs w:val="24"/>
                <w:vertAlign w:val="superscript"/>
              </w:rPr>
              <w:t>3</w:t>
            </w: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503" w:type="dxa"/>
          </w:tcPr>
          <w:p w14:paraId="3E289A59" w14:textId="3A5E56C9" w:rsidR="008F34E3" w:rsidRPr="008F34E3" w:rsidRDefault="008F34E3" w:rsidP="0072182B">
            <w:pPr>
              <w:spacing w:line="259" w:lineRule="auto"/>
              <w:ind w:left="1"/>
              <w:rPr>
                <w:rFonts w:ascii="Times New Roman" w:hAnsi="Times New Roman" w:cs="Times New Roman"/>
                <w:szCs w:val="24"/>
              </w:rPr>
            </w:pPr>
            <w:r w:rsidRPr="008F34E3">
              <w:rPr>
                <w:rFonts w:ascii="Times New Roman" w:eastAsia="Times New Roman" w:hAnsi="Times New Roman" w:cs="Times New Roman"/>
                <w:szCs w:val="24"/>
              </w:rPr>
              <w:t>Psychotic disorder</w:t>
            </w:r>
            <w:r w:rsidRPr="008F34E3">
              <w:rPr>
                <w:rFonts w:ascii="Times New Roman" w:eastAsia="Times New Roman" w:hAnsi="Times New Roman" w:cs="Times New Roman"/>
                <w:szCs w:val="24"/>
              </w:rPr>
              <w:t xml:space="preserve"> </w:t>
            </w:r>
            <w:r w:rsidRPr="008F34E3">
              <w:rPr>
                <w:rFonts w:ascii="Times New Roman" w:eastAsia="Times New Roman" w:hAnsi="Times New Roman" w:cs="Times New Roman"/>
                <w:szCs w:val="24"/>
              </w:rPr>
              <w:t>confusional state</w:t>
            </w:r>
            <w:r w:rsidRPr="008F34E3">
              <w:rPr>
                <w:rFonts w:ascii="Times New Roman" w:eastAsia="Times New Roman" w:hAnsi="Times New Roman" w:cs="Times New Roman"/>
                <w:szCs w:val="24"/>
                <w:vertAlign w:val="superscript"/>
              </w:rPr>
              <w:t>5</w:t>
            </w:r>
            <w:r w:rsidRPr="008F34E3">
              <w:rPr>
                <w:rFonts w:ascii="Times New Roman" w:eastAsia="Times New Roman" w:hAnsi="Times New Roman" w:cs="Times New Roman"/>
                <w:szCs w:val="24"/>
              </w:rPr>
              <w:t xml:space="preserve">, depersonalisation, depression, </w:t>
            </w:r>
            <w:r w:rsidRPr="008F34E3">
              <w:rPr>
                <w:rFonts w:ascii="Times New Roman" w:eastAsia="Times New Roman" w:hAnsi="Times New Roman" w:cs="Times New Roman"/>
                <w:szCs w:val="24"/>
              </w:rPr>
              <w:lastRenderedPageBreak/>
              <w:t xml:space="preserve">disorientation, hallucination, abnormal dreams, mania </w:t>
            </w:r>
            <w:r w:rsidRPr="008F34E3">
              <w:rPr>
                <w:rFonts w:ascii="Times New Roman" w:hAnsi="Times New Roman" w:cs="Times New Roman"/>
                <w:szCs w:val="24"/>
              </w:rPr>
              <w:t xml:space="preserve"> </w:t>
            </w: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r>
      <w:tr w:rsidR="008F34E3" w:rsidRPr="008F34E3" w14:paraId="5ABF6DE5" w14:textId="77777777" w:rsidTr="008F34E3">
        <w:trPr>
          <w:trHeight w:val="398"/>
          <w:jc w:val="center"/>
        </w:trPr>
        <w:tc>
          <w:tcPr>
            <w:tcW w:w="1457" w:type="dxa"/>
          </w:tcPr>
          <w:p w14:paraId="00DC5293" w14:textId="2D65BF12"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lastRenderedPageBreak/>
              <w:t xml:space="preserve">Nervous system disorders </w:t>
            </w:r>
            <w:r w:rsidRPr="008F34E3">
              <w:rPr>
                <w:rFonts w:ascii="Times New Roman" w:hAnsi="Times New Roman" w:cs="Times New Roman"/>
                <w:szCs w:val="24"/>
              </w:rPr>
              <w:t xml:space="preserve"> </w:t>
            </w:r>
          </w:p>
        </w:tc>
        <w:tc>
          <w:tcPr>
            <w:tcW w:w="1062" w:type="dxa"/>
          </w:tcPr>
          <w:p w14:paraId="1F588149" w14:textId="335FD17C"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579" w:type="dxa"/>
          </w:tcPr>
          <w:p w14:paraId="2164839F" w14:textId="7DF44182"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Dysgeusia, headache </w:t>
            </w:r>
            <w:r w:rsidRPr="008F34E3">
              <w:rPr>
                <w:rFonts w:ascii="Times New Roman" w:hAnsi="Times New Roman" w:cs="Times New Roman"/>
                <w:szCs w:val="24"/>
              </w:rPr>
              <w:t xml:space="preserve"> </w:t>
            </w:r>
          </w:p>
        </w:tc>
        <w:tc>
          <w:tcPr>
            <w:tcW w:w="2754" w:type="dxa"/>
          </w:tcPr>
          <w:p w14:paraId="281A2F49" w14:textId="1E8212A9" w:rsidR="008F34E3" w:rsidRPr="008F34E3" w:rsidRDefault="008F34E3" w:rsidP="008F34E3">
            <w:pPr>
              <w:spacing w:line="259" w:lineRule="auto"/>
              <w:ind w:left="33"/>
              <w:rPr>
                <w:rFonts w:ascii="Times New Roman" w:eastAsia="Times New Roman" w:hAnsi="Times New Roman" w:cs="Times New Roman"/>
                <w:szCs w:val="24"/>
              </w:rPr>
            </w:pPr>
            <w:r w:rsidRPr="008F34E3">
              <w:rPr>
                <w:rFonts w:ascii="Times New Roman" w:eastAsia="Times New Roman" w:hAnsi="Times New Roman" w:cs="Times New Roman"/>
                <w:szCs w:val="24"/>
              </w:rPr>
              <w:t>Loss of consciousness</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dyskinesia</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xml:space="preserve">, dizziness, </w:t>
            </w:r>
            <w:r w:rsidRPr="008F34E3">
              <w:rPr>
                <w:rFonts w:ascii="Times New Roman" w:hAnsi="Times New Roman" w:cs="Times New Roman"/>
                <w:szCs w:val="24"/>
              </w:rPr>
              <w:t xml:space="preserve"> </w:t>
            </w:r>
            <w:r w:rsidRPr="008F34E3">
              <w:rPr>
                <w:rFonts w:ascii="Times New Roman" w:eastAsia="Times New Roman" w:hAnsi="Times New Roman" w:cs="Times New Roman"/>
                <w:szCs w:val="24"/>
              </w:rPr>
              <w:t>somnolence</w:t>
            </w:r>
            <w:r w:rsidRPr="008F34E3">
              <w:rPr>
                <w:rFonts w:ascii="Times New Roman" w:eastAsia="Times New Roman" w:hAnsi="Times New Roman" w:cs="Times New Roman"/>
                <w:szCs w:val="24"/>
                <w:vertAlign w:val="superscript"/>
              </w:rPr>
              <w:t>5</w:t>
            </w:r>
            <w:r w:rsidRPr="008F34E3">
              <w:rPr>
                <w:rFonts w:ascii="Times New Roman" w:eastAsia="Times New Roman" w:hAnsi="Times New Roman" w:cs="Times New Roman"/>
                <w:szCs w:val="24"/>
              </w:rPr>
              <w:t xml:space="preserve">, tremor  </w:t>
            </w:r>
            <w:r w:rsidRPr="008F34E3">
              <w:rPr>
                <w:rFonts w:ascii="Times New Roman" w:hAnsi="Times New Roman" w:cs="Times New Roman"/>
                <w:szCs w:val="24"/>
              </w:rPr>
              <w:t xml:space="preserve"> </w:t>
            </w:r>
          </w:p>
        </w:tc>
        <w:tc>
          <w:tcPr>
            <w:tcW w:w="2503" w:type="dxa"/>
          </w:tcPr>
          <w:p w14:paraId="0F94CE6A" w14:textId="7F12AF96" w:rsidR="008F34E3" w:rsidRPr="008F34E3" w:rsidRDefault="008F34E3" w:rsidP="008F34E3">
            <w:pPr>
              <w:spacing w:line="259" w:lineRule="auto"/>
              <w:ind w:left="1"/>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Convulsion, ageusia, parosmia, anosmia, paraesthesia  </w:t>
            </w:r>
            <w:r w:rsidRPr="008F34E3">
              <w:rPr>
                <w:rFonts w:ascii="Times New Roman" w:hAnsi="Times New Roman" w:cs="Times New Roman"/>
                <w:szCs w:val="24"/>
              </w:rPr>
              <w:t xml:space="preserve"> </w:t>
            </w:r>
          </w:p>
        </w:tc>
      </w:tr>
      <w:tr w:rsidR="008F34E3" w:rsidRPr="008F34E3" w14:paraId="42FE2866" w14:textId="77777777" w:rsidTr="008F34E3">
        <w:trPr>
          <w:trHeight w:val="398"/>
          <w:jc w:val="center"/>
        </w:trPr>
        <w:tc>
          <w:tcPr>
            <w:tcW w:w="1457" w:type="dxa"/>
          </w:tcPr>
          <w:p w14:paraId="435B33AE" w14:textId="0AE717AA"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Ear and labyrinth disorders </w:t>
            </w:r>
            <w:r w:rsidRPr="008F34E3">
              <w:rPr>
                <w:rFonts w:ascii="Times New Roman" w:hAnsi="Times New Roman" w:cs="Times New Roman"/>
                <w:szCs w:val="24"/>
              </w:rPr>
              <w:t xml:space="preserve"> </w:t>
            </w:r>
          </w:p>
        </w:tc>
        <w:tc>
          <w:tcPr>
            <w:tcW w:w="1062" w:type="dxa"/>
          </w:tcPr>
          <w:p w14:paraId="1CDA7F71" w14:textId="5E838622"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579" w:type="dxa"/>
          </w:tcPr>
          <w:p w14:paraId="0557D4BE" w14:textId="76BDBB16"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754" w:type="dxa"/>
          </w:tcPr>
          <w:p w14:paraId="15892377" w14:textId="67BF3B0B" w:rsidR="008F34E3" w:rsidRPr="008F34E3" w:rsidRDefault="008F34E3" w:rsidP="008F34E3">
            <w:pPr>
              <w:spacing w:line="259" w:lineRule="auto"/>
              <w:ind w:left="33"/>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Vertigo, hearing impaired, tinnitus </w:t>
            </w:r>
            <w:r w:rsidRPr="008F34E3">
              <w:rPr>
                <w:rFonts w:ascii="Times New Roman" w:hAnsi="Times New Roman" w:cs="Times New Roman"/>
                <w:szCs w:val="24"/>
              </w:rPr>
              <w:t xml:space="preserve"> </w:t>
            </w:r>
          </w:p>
        </w:tc>
        <w:tc>
          <w:tcPr>
            <w:tcW w:w="2503" w:type="dxa"/>
          </w:tcPr>
          <w:p w14:paraId="492246AD" w14:textId="2E48FF2C" w:rsidR="008F34E3" w:rsidRPr="008F34E3" w:rsidRDefault="008F34E3" w:rsidP="008F34E3">
            <w:pPr>
              <w:spacing w:line="259" w:lineRule="auto"/>
              <w:ind w:left="1"/>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Deafness </w:t>
            </w:r>
            <w:r w:rsidRPr="008F34E3">
              <w:rPr>
                <w:rFonts w:ascii="Times New Roman" w:hAnsi="Times New Roman" w:cs="Times New Roman"/>
                <w:szCs w:val="24"/>
              </w:rPr>
              <w:t xml:space="preserve"> </w:t>
            </w:r>
          </w:p>
        </w:tc>
      </w:tr>
      <w:tr w:rsidR="008F34E3" w:rsidRPr="008F34E3" w14:paraId="6D4568C1" w14:textId="77777777" w:rsidTr="008F34E3">
        <w:trPr>
          <w:trHeight w:val="398"/>
          <w:jc w:val="center"/>
        </w:trPr>
        <w:tc>
          <w:tcPr>
            <w:tcW w:w="1457" w:type="dxa"/>
          </w:tcPr>
          <w:p w14:paraId="079A141B" w14:textId="4171FD39"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Cardiac disorders </w:t>
            </w:r>
            <w:r w:rsidRPr="008F34E3">
              <w:rPr>
                <w:rFonts w:ascii="Times New Roman" w:hAnsi="Times New Roman" w:cs="Times New Roman"/>
                <w:szCs w:val="24"/>
              </w:rPr>
              <w:t xml:space="preserve"> </w:t>
            </w:r>
          </w:p>
        </w:tc>
        <w:tc>
          <w:tcPr>
            <w:tcW w:w="1062" w:type="dxa"/>
          </w:tcPr>
          <w:p w14:paraId="3D020874" w14:textId="4D0C3D10"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579" w:type="dxa"/>
          </w:tcPr>
          <w:p w14:paraId="120B3045" w14:textId="698F61FB"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754" w:type="dxa"/>
          </w:tcPr>
          <w:p w14:paraId="3CAECBDA" w14:textId="77777777" w:rsidR="008F34E3" w:rsidRPr="008F34E3" w:rsidRDefault="008F34E3" w:rsidP="008F34E3">
            <w:pPr>
              <w:spacing w:after="22" w:line="267" w:lineRule="auto"/>
              <w:ind w:left="140"/>
              <w:rPr>
                <w:rFonts w:ascii="Times New Roman" w:hAnsi="Times New Roman" w:cs="Times New Roman"/>
                <w:szCs w:val="24"/>
              </w:rPr>
            </w:pPr>
            <w:r w:rsidRPr="008F34E3">
              <w:rPr>
                <w:rFonts w:ascii="Times New Roman" w:eastAsia="Times New Roman" w:hAnsi="Times New Roman" w:cs="Times New Roman"/>
                <w:szCs w:val="24"/>
              </w:rPr>
              <w:t>Cardiac arrest</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atrial fibrillation</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xml:space="preserve">, </w:t>
            </w:r>
          </w:p>
          <w:p w14:paraId="18CF32BB" w14:textId="77777777" w:rsidR="008F34E3" w:rsidRPr="008F34E3" w:rsidRDefault="008F34E3" w:rsidP="008F34E3">
            <w:pPr>
              <w:spacing w:after="36" w:line="247" w:lineRule="auto"/>
              <w:ind w:left="140"/>
              <w:rPr>
                <w:rFonts w:ascii="Times New Roman" w:hAnsi="Times New Roman" w:cs="Times New Roman"/>
                <w:szCs w:val="24"/>
              </w:rPr>
            </w:pPr>
            <w:r w:rsidRPr="008F34E3">
              <w:rPr>
                <w:rFonts w:ascii="Times New Roman" w:eastAsia="Times New Roman" w:hAnsi="Times New Roman" w:cs="Times New Roman"/>
                <w:szCs w:val="24"/>
              </w:rPr>
              <w:t>electrocardiogram QT prolonged, extrasystoles</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xml:space="preserve">, </w:t>
            </w:r>
          </w:p>
          <w:p w14:paraId="524790A5" w14:textId="5FD9DCD0" w:rsidR="008F34E3" w:rsidRPr="008F34E3" w:rsidRDefault="008F34E3" w:rsidP="008F34E3">
            <w:pPr>
              <w:spacing w:line="259" w:lineRule="auto"/>
              <w:ind w:left="33"/>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palpitations </w:t>
            </w:r>
            <w:r w:rsidRPr="008F34E3">
              <w:rPr>
                <w:rFonts w:ascii="Times New Roman" w:hAnsi="Times New Roman" w:cs="Times New Roman"/>
                <w:szCs w:val="24"/>
              </w:rPr>
              <w:t xml:space="preserve"> </w:t>
            </w:r>
          </w:p>
        </w:tc>
        <w:tc>
          <w:tcPr>
            <w:tcW w:w="2503" w:type="dxa"/>
          </w:tcPr>
          <w:p w14:paraId="1E84F205" w14:textId="43F91032" w:rsidR="008F34E3" w:rsidRPr="008F34E3" w:rsidRDefault="008F34E3" w:rsidP="008F34E3">
            <w:pPr>
              <w:spacing w:line="259" w:lineRule="auto"/>
              <w:ind w:left="1"/>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Torsades de pointes, ventricular tachycardia, </w:t>
            </w:r>
            <w:r w:rsidRPr="008F34E3">
              <w:rPr>
                <w:rFonts w:ascii="Times New Roman" w:hAnsi="Times New Roman" w:cs="Times New Roman"/>
                <w:szCs w:val="24"/>
              </w:rPr>
              <w:t xml:space="preserve"> </w:t>
            </w:r>
            <w:r w:rsidRPr="008F34E3">
              <w:rPr>
                <w:rFonts w:ascii="Times New Roman" w:eastAsia="Times New Roman" w:hAnsi="Times New Roman" w:cs="Times New Roman"/>
                <w:szCs w:val="24"/>
              </w:rPr>
              <w:t xml:space="preserve">ventricular fibrillation </w:t>
            </w:r>
            <w:r w:rsidRPr="008F34E3">
              <w:rPr>
                <w:rFonts w:ascii="Times New Roman" w:hAnsi="Times New Roman" w:cs="Times New Roman"/>
                <w:szCs w:val="24"/>
              </w:rPr>
              <w:t xml:space="preserve"> </w:t>
            </w:r>
          </w:p>
        </w:tc>
      </w:tr>
      <w:tr w:rsidR="008F34E3" w:rsidRPr="008F34E3" w14:paraId="7F06D634" w14:textId="77777777" w:rsidTr="008F34E3">
        <w:trPr>
          <w:trHeight w:val="398"/>
          <w:jc w:val="center"/>
        </w:trPr>
        <w:tc>
          <w:tcPr>
            <w:tcW w:w="1457" w:type="dxa"/>
          </w:tcPr>
          <w:p w14:paraId="0564C393" w14:textId="44EF38F0"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Vascular disorders </w:t>
            </w:r>
            <w:r w:rsidRPr="008F34E3">
              <w:rPr>
                <w:rFonts w:ascii="Times New Roman" w:hAnsi="Times New Roman" w:cs="Times New Roman"/>
                <w:szCs w:val="24"/>
              </w:rPr>
              <w:t xml:space="preserve"> </w:t>
            </w:r>
          </w:p>
        </w:tc>
        <w:tc>
          <w:tcPr>
            <w:tcW w:w="1062" w:type="dxa"/>
          </w:tcPr>
          <w:p w14:paraId="05AF95B4" w14:textId="286822CF"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579" w:type="dxa"/>
          </w:tcPr>
          <w:p w14:paraId="3C0ECFD1" w14:textId="3E0C2DF3"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Vasodilation</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xml:space="preserve"> </w:t>
            </w:r>
          </w:p>
        </w:tc>
        <w:tc>
          <w:tcPr>
            <w:tcW w:w="2754" w:type="dxa"/>
          </w:tcPr>
          <w:p w14:paraId="1F474BF6" w14:textId="744B9971" w:rsidR="008F34E3" w:rsidRPr="008F34E3" w:rsidRDefault="008F34E3" w:rsidP="008F34E3">
            <w:pPr>
              <w:spacing w:line="259" w:lineRule="auto"/>
              <w:ind w:left="33"/>
              <w:rPr>
                <w:rFonts w:ascii="Times New Roman" w:eastAsia="Times New Roman" w:hAnsi="Times New Roman" w:cs="Times New Roman"/>
                <w:szCs w:val="24"/>
              </w:rPr>
            </w:pPr>
            <w:r w:rsidRPr="008F34E3">
              <w:rPr>
                <w:rFonts w:ascii="Times New Roman" w:hAnsi="Times New Roman" w:cs="Times New Roman"/>
                <w:szCs w:val="24"/>
              </w:rPr>
              <w:t xml:space="preserve"> </w:t>
            </w: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503" w:type="dxa"/>
          </w:tcPr>
          <w:p w14:paraId="0D39D757" w14:textId="134A7FE9" w:rsidR="008F34E3" w:rsidRPr="008F34E3" w:rsidRDefault="008F34E3" w:rsidP="008F34E3">
            <w:pPr>
              <w:spacing w:line="259" w:lineRule="auto"/>
              <w:ind w:left="1"/>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Haemorrhage </w:t>
            </w:r>
            <w:r w:rsidRPr="008F34E3">
              <w:rPr>
                <w:rFonts w:ascii="Times New Roman" w:hAnsi="Times New Roman" w:cs="Times New Roman"/>
                <w:szCs w:val="24"/>
              </w:rPr>
              <w:t xml:space="preserve"> </w:t>
            </w:r>
          </w:p>
        </w:tc>
      </w:tr>
      <w:tr w:rsidR="008F34E3" w:rsidRPr="008F34E3" w14:paraId="19E7A916" w14:textId="77777777" w:rsidTr="008F34E3">
        <w:trPr>
          <w:trHeight w:val="398"/>
          <w:jc w:val="center"/>
        </w:trPr>
        <w:tc>
          <w:tcPr>
            <w:tcW w:w="1457" w:type="dxa"/>
          </w:tcPr>
          <w:p w14:paraId="239525AD" w14:textId="2C19CADD"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Respiratory, thoracic and mediastinal disorder </w:t>
            </w:r>
            <w:r w:rsidRPr="008F34E3">
              <w:rPr>
                <w:rFonts w:ascii="Times New Roman" w:hAnsi="Times New Roman" w:cs="Times New Roman"/>
                <w:szCs w:val="24"/>
              </w:rPr>
              <w:t xml:space="preserve"> </w:t>
            </w:r>
          </w:p>
        </w:tc>
        <w:tc>
          <w:tcPr>
            <w:tcW w:w="1062" w:type="dxa"/>
          </w:tcPr>
          <w:p w14:paraId="2BD32BD9" w14:textId="7488431E"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579" w:type="dxa"/>
          </w:tcPr>
          <w:p w14:paraId="5F46010B" w14:textId="2A83D700"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754" w:type="dxa"/>
          </w:tcPr>
          <w:p w14:paraId="1BA2DB57" w14:textId="1EDBF3A4" w:rsidR="008F34E3" w:rsidRPr="008F34E3" w:rsidRDefault="008F34E3" w:rsidP="008F34E3">
            <w:pPr>
              <w:spacing w:line="259" w:lineRule="auto"/>
              <w:ind w:left="33"/>
              <w:rPr>
                <w:rFonts w:ascii="Times New Roman" w:eastAsia="Times New Roman" w:hAnsi="Times New Roman" w:cs="Times New Roman"/>
                <w:szCs w:val="24"/>
              </w:rPr>
            </w:pPr>
            <w:r w:rsidRPr="008F34E3">
              <w:rPr>
                <w:rFonts w:ascii="Times New Roman" w:eastAsia="Times New Roman" w:hAnsi="Times New Roman" w:cs="Times New Roman"/>
                <w:szCs w:val="24"/>
              </w:rPr>
              <w:t>Asthma</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epistaxis</w:t>
            </w:r>
            <w:r w:rsidRPr="008F34E3">
              <w:rPr>
                <w:rFonts w:ascii="Times New Roman" w:eastAsia="Times New Roman" w:hAnsi="Times New Roman" w:cs="Times New Roman"/>
                <w:szCs w:val="24"/>
                <w:vertAlign w:val="superscript"/>
              </w:rPr>
              <w:t>2</w:t>
            </w: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r w:rsidRPr="008F34E3">
              <w:rPr>
                <w:rFonts w:ascii="Times New Roman" w:eastAsia="Times New Roman" w:hAnsi="Times New Roman" w:cs="Times New Roman"/>
                <w:szCs w:val="24"/>
              </w:rPr>
              <w:t>pulmonary embolism</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503" w:type="dxa"/>
          </w:tcPr>
          <w:p w14:paraId="51C55200" w14:textId="771EAFD8" w:rsidR="008F34E3" w:rsidRPr="008F34E3" w:rsidRDefault="008F34E3" w:rsidP="008F34E3">
            <w:pPr>
              <w:spacing w:line="259" w:lineRule="auto"/>
              <w:ind w:left="1"/>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r>
      <w:tr w:rsidR="008F34E3" w:rsidRPr="008F34E3" w14:paraId="5826330A" w14:textId="77777777" w:rsidTr="008F34E3">
        <w:trPr>
          <w:trHeight w:val="398"/>
          <w:jc w:val="center"/>
        </w:trPr>
        <w:tc>
          <w:tcPr>
            <w:tcW w:w="1457" w:type="dxa"/>
          </w:tcPr>
          <w:p w14:paraId="4CF20C66" w14:textId="1673E0FB"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Gastrointesti nal disorders </w:t>
            </w:r>
            <w:r w:rsidRPr="008F34E3">
              <w:rPr>
                <w:rFonts w:ascii="Times New Roman" w:hAnsi="Times New Roman" w:cs="Times New Roman"/>
                <w:szCs w:val="24"/>
              </w:rPr>
              <w:t xml:space="preserve"> </w:t>
            </w:r>
          </w:p>
        </w:tc>
        <w:tc>
          <w:tcPr>
            <w:tcW w:w="1062" w:type="dxa"/>
          </w:tcPr>
          <w:p w14:paraId="7CD27A18" w14:textId="768AC530"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579" w:type="dxa"/>
          </w:tcPr>
          <w:p w14:paraId="44BBB1A2" w14:textId="77777777" w:rsidR="008F34E3" w:rsidRPr="008F34E3" w:rsidRDefault="008F34E3" w:rsidP="008F34E3">
            <w:pPr>
              <w:spacing w:line="257" w:lineRule="auto"/>
              <w:ind w:left="144"/>
              <w:rPr>
                <w:rFonts w:ascii="Times New Roman" w:hAnsi="Times New Roman" w:cs="Times New Roman"/>
                <w:szCs w:val="24"/>
              </w:rPr>
            </w:pPr>
            <w:r w:rsidRPr="008F34E3">
              <w:rPr>
                <w:rFonts w:ascii="Times New Roman" w:eastAsia="Times New Roman" w:hAnsi="Times New Roman" w:cs="Times New Roman"/>
                <w:szCs w:val="24"/>
              </w:rPr>
              <w:t xml:space="preserve">Diarrhoea, vomiting, dyspepsia, nausea,  </w:t>
            </w:r>
          </w:p>
          <w:p w14:paraId="31A2F124" w14:textId="6F9A5C9B"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abdominal pain </w:t>
            </w:r>
            <w:r w:rsidRPr="008F34E3">
              <w:rPr>
                <w:rFonts w:ascii="Times New Roman" w:hAnsi="Times New Roman" w:cs="Times New Roman"/>
                <w:szCs w:val="24"/>
              </w:rPr>
              <w:t xml:space="preserve"> </w:t>
            </w:r>
          </w:p>
        </w:tc>
        <w:tc>
          <w:tcPr>
            <w:tcW w:w="2754" w:type="dxa"/>
          </w:tcPr>
          <w:p w14:paraId="0FDF8E76" w14:textId="77777777" w:rsidR="008F34E3" w:rsidRPr="008F34E3" w:rsidRDefault="008F34E3" w:rsidP="008F34E3">
            <w:pPr>
              <w:spacing w:line="297" w:lineRule="auto"/>
              <w:ind w:left="140"/>
              <w:rPr>
                <w:rFonts w:ascii="Times New Roman" w:hAnsi="Times New Roman" w:cs="Times New Roman"/>
                <w:szCs w:val="24"/>
              </w:rPr>
            </w:pPr>
            <w:r w:rsidRPr="008F34E3">
              <w:rPr>
                <w:rFonts w:ascii="Times New Roman" w:eastAsia="Times New Roman" w:hAnsi="Times New Roman" w:cs="Times New Roman"/>
                <w:szCs w:val="24"/>
              </w:rPr>
              <w:t>Oesophagitis</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xml:space="preserve">, gastrooesophageal reflux </w:t>
            </w:r>
          </w:p>
          <w:p w14:paraId="5309C6AC" w14:textId="0E690AC7" w:rsidR="008F34E3" w:rsidRPr="008F34E3" w:rsidRDefault="008F34E3" w:rsidP="008F34E3">
            <w:pPr>
              <w:spacing w:line="259" w:lineRule="auto"/>
              <w:ind w:left="33"/>
              <w:rPr>
                <w:rFonts w:ascii="Times New Roman" w:eastAsia="Times New Roman" w:hAnsi="Times New Roman" w:cs="Times New Roman"/>
                <w:szCs w:val="24"/>
              </w:rPr>
            </w:pPr>
            <w:r w:rsidRPr="008F34E3">
              <w:rPr>
                <w:rFonts w:ascii="Times New Roman" w:eastAsia="Times New Roman" w:hAnsi="Times New Roman" w:cs="Times New Roman"/>
                <w:szCs w:val="24"/>
              </w:rPr>
              <w:t>disease</w:t>
            </w:r>
            <w:r w:rsidRPr="008F34E3">
              <w:rPr>
                <w:rFonts w:ascii="Times New Roman" w:eastAsia="Times New Roman" w:hAnsi="Times New Roman" w:cs="Times New Roman"/>
                <w:szCs w:val="24"/>
                <w:vertAlign w:val="superscript"/>
              </w:rPr>
              <w:t>2</w:t>
            </w:r>
            <w:r w:rsidRPr="008F34E3">
              <w:rPr>
                <w:rFonts w:ascii="Times New Roman" w:eastAsia="Times New Roman" w:hAnsi="Times New Roman" w:cs="Times New Roman"/>
                <w:szCs w:val="24"/>
              </w:rPr>
              <w:t>, gastritis, proctalgia</w:t>
            </w:r>
            <w:r w:rsidRPr="008F34E3">
              <w:rPr>
                <w:rFonts w:ascii="Times New Roman" w:eastAsia="Times New Roman" w:hAnsi="Times New Roman" w:cs="Times New Roman"/>
                <w:szCs w:val="24"/>
                <w:vertAlign w:val="superscript"/>
              </w:rPr>
              <w:t>2</w:t>
            </w: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r w:rsidRPr="008F34E3">
              <w:rPr>
                <w:rFonts w:ascii="Times New Roman" w:eastAsia="Times New Roman" w:hAnsi="Times New Roman" w:cs="Times New Roman"/>
                <w:szCs w:val="24"/>
              </w:rPr>
              <w:t xml:space="preserve">stomatitis, glossitis, </w:t>
            </w:r>
            <w:r w:rsidRPr="008F34E3">
              <w:rPr>
                <w:rFonts w:ascii="Times New Roman" w:hAnsi="Times New Roman" w:cs="Times New Roman"/>
                <w:szCs w:val="24"/>
              </w:rPr>
              <w:t xml:space="preserve"> </w:t>
            </w:r>
            <w:r w:rsidRPr="008F34E3">
              <w:rPr>
                <w:rFonts w:ascii="Times New Roman" w:eastAsia="Times New Roman" w:hAnsi="Times New Roman" w:cs="Times New Roman"/>
                <w:szCs w:val="24"/>
              </w:rPr>
              <w:t>abdominal distension</w:t>
            </w:r>
            <w:r w:rsidRPr="008F34E3">
              <w:rPr>
                <w:rFonts w:ascii="Times New Roman" w:eastAsia="Times New Roman" w:hAnsi="Times New Roman" w:cs="Times New Roman"/>
                <w:szCs w:val="24"/>
                <w:vertAlign w:val="superscript"/>
              </w:rPr>
              <w:t>4</w:t>
            </w:r>
            <w:r w:rsidRPr="008F34E3">
              <w:rPr>
                <w:rFonts w:ascii="Times New Roman" w:eastAsia="Times New Roman" w:hAnsi="Times New Roman" w:cs="Times New Roman"/>
                <w:szCs w:val="24"/>
              </w:rPr>
              <w:t xml:space="preserve">, constipation, dry mouth, eructation, flatulence,  </w:t>
            </w:r>
            <w:r w:rsidRPr="008F34E3">
              <w:rPr>
                <w:rFonts w:ascii="Times New Roman" w:hAnsi="Times New Roman" w:cs="Times New Roman"/>
                <w:szCs w:val="24"/>
              </w:rPr>
              <w:t xml:space="preserve"> </w:t>
            </w:r>
          </w:p>
        </w:tc>
        <w:tc>
          <w:tcPr>
            <w:tcW w:w="2503" w:type="dxa"/>
          </w:tcPr>
          <w:p w14:paraId="39179119" w14:textId="6ECF39D3" w:rsidR="008F34E3" w:rsidRPr="008F34E3" w:rsidRDefault="008F34E3" w:rsidP="008F34E3">
            <w:pPr>
              <w:spacing w:line="259" w:lineRule="auto"/>
              <w:ind w:left="1"/>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Pancreatitis acute, tongue discolouration, tooth discolouration </w:t>
            </w:r>
            <w:r w:rsidRPr="008F34E3">
              <w:rPr>
                <w:rFonts w:ascii="Times New Roman" w:hAnsi="Times New Roman" w:cs="Times New Roman"/>
                <w:szCs w:val="24"/>
              </w:rPr>
              <w:t xml:space="preserve"> </w:t>
            </w:r>
          </w:p>
        </w:tc>
      </w:tr>
      <w:tr w:rsidR="008F34E3" w:rsidRPr="008F34E3" w14:paraId="6BD1A682" w14:textId="77777777" w:rsidTr="008F34E3">
        <w:trPr>
          <w:trHeight w:val="398"/>
          <w:jc w:val="center"/>
        </w:trPr>
        <w:tc>
          <w:tcPr>
            <w:tcW w:w="1457" w:type="dxa"/>
          </w:tcPr>
          <w:p w14:paraId="1B8E755F" w14:textId="1EEA4313"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lastRenderedPageBreak/>
              <w:t xml:space="preserve">Hepatobiliar y disorders </w:t>
            </w:r>
            <w:r w:rsidRPr="008F34E3">
              <w:rPr>
                <w:rFonts w:ascii="Times New Roman" w:hAnsi="Times New Roman" w:cs="Times New Roman"/>
                <w:szCs w:val="24"/>
              </w:rPr>
              <w:t xml:space="preserve"> </w:t>
            </w:r>
          </w:p>
        </w:tc>
        <w:tc>
          <w:tcPr>
            <w:tcW w:w="1062" w:type="dxa"/>
          </w:tcPr>
          <w:p w14:paraId="43398525" w14:textId="1C1BE747"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579" w:type="dxa"/>
          </w:tcPr>
          <w:p w14:paraId="10B5A8CC" w14:textId="75844B2F"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Liver function test abnormal </w:t>
            </w:r>
            <w:r w:rsidRPr="008F34E3">
              <w:rPr>
                <w:rFonts w:ascii="Times New Roman" w:hAnsi="Times New Roman" w:cs="Times New Roman"/>
                <w:szCs w:val="24"/>
              </w:rPr>
              <w:t xml:space="preserve"> </w:t>
            </w:r>
          </w:p>
        </w:tc>
        <w:tc>
          <w:tcPr>
            <w:tcW w:w="2754" w:type="dxa"/>
          </w:tcPr>
          <w:p w14:paraId="6F453359" w14:textId="77777777" w:rsidR="008F34E3" w:rsidRPr="008F34E3" w:rsidRDefault="008F34E3" w:rsidP="008F34E3">
            <w:pPr>
              <w:spacing w:line="265" w:lineRule="auto"/>
              <w:ind w:left="140"/>
              <w:rPr>
                <w:rFonts w:ascii="Times New Roman" w:hAnsi="Times New Roman" w:cs="Times New Roman"/>
                <w:szCs w:val="24"/>
              </w:rPr>
            </w:pPr>
            <w:r w:rsidRPr="008F34E3">
              <w:rPr>
                <w:rFonts w:ascii="Times New Roman" w:eastAsia="Times New Roman" w:hAnsi="Times New Roman" w:cs="Times New Roman"/>
                <w:szCs w:val="24"/>
              </w:rPr>
              <w:t>Cholestasis</w:t>
            </w:r>
            <w:r w:rsidRPr="008F34E3">
              <w:rPr>
                <w:rFonts w:ascii="Times New Roman" w:eastAsia="Times New Roman" w:hAnsi="Times New Roman" w:cs="Times New Roman"/>
                <w:szCs w:val="24"/>
                <w:vertAlign w:val="superscript"/>
              </w:rPr>
              <w:t>4</w:t>
            </w:r>
            <w:r w:rsidRPr="008F34E3">
              <w:rPr>
                <w:rFonts w:ascii="Times New Roman" w:eastAsia="Times New Roman" w:hAnsi="Times New Roman" w:cs="Times New Roman"/>
                <w:szCs w:val="24"/>
              </w:rPr>
              <w:t>, hepatitis</w:t>
            </w:r>
            <w:r w:rsidRPr="008F34E3">
              <w:rPr>
                <w:rFonts w:ascii="Times New Roman" w:eastAsia="Times New Roman" w:hAnsi="Times New Roman" w:cs="Times New Roman"/>
                <w:szCs w:val="24"/>
                <w:vertAlign w:val="superscript"/>
              </w:rPr>
              <w:t>4</w:t>
            </w:r>
            <w:r w:rsidRPr="008F34E3">
              <w:rPr>
                <w:rFonts w:ascii="Times New Roman" w:eastAsia="Times New Roman" w:hAnsi="Times New Roman" w:cs="Times New Roman"/>
                <w:szCs w:val="24"/>
              </w:rPr>
              <w:t xml:space="preserve">, alanine aminotransferase increased, aspartate aminotransferase increased, </w:t>
            </w:r>
          </w:p>
          <w:p w14:paraId="2419511C" w14:textId="4CCFBF1D" w:rsidR="008F34E3" w:rsidRPr="008F34E3" w:rsidRDefault="008F34E3" w:rsidP="008F34E3">
            <w:pPr>
              <w:spacing w:line="259" w:lineRule="auto"/>
              <w:ind w:left="33"/>
              <w:rPr>
                <w:rFonts w:ascii="Times New Roman" w:eastAsia="Times New Roman" w:hAnsi="Times New Roman" w:cs="Times New Roman"/>
                <w:szCs w:val="24"/>
              </w:rPr>
            </w:pPr>
            <w:r w:rsidRPr="008F34E3">
              <w:rPr>
                <w:rFonts w:ascii="Times New Roman" w:eastAsia="Times New Roman" w:hAnsi="Times New Roman" w:cs="Times New Roman"/>
                <w:szCs w:val="24"/>
              </w:rPr>
              <w:t>gammaglutamyltransferase increased</w:t>
            </w:r>
            <w:r w:rsidRPr="008F34E3">
              <w:rPr>
                <w:rFonts w:ascii="Times New Roman" w:eastAsia="Times New Roman" w:hAnsi="Times New Roman" w:cs="Times New Roman"/>
                <w:szCs w:val="24"/>
                <w:vertAlign w:val="superscript"/>
              </w:rPr>
              <w:t>4</w:t>
            </w: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503" w:type="dxa"/>
          </w:tcPr>
          <w:p w14:paraId="58E39705" w14:textId="77777777" w:rsidR="008F34E3" w:rsidRPr="008F34E3" w:rsidRDefault="008F34E3" w:rsidP="008F34E3">
            <w:pPr>
              <w:spacing w:after="892" w:line="257" w:lineRule="auto"/>
              <w:ind w:left="106" w:right="15"/>
              <w:rPr>
                <w:rFonts w:ascii="Times New Roman" w:hAnsi="Times New Roman" w:cs="Times New Roman"/>
                <w:szCs w:val="24"/>
              </w:rPr>
            </w:pPr>
            <w:r w:rsidRPr="008F34E3">
              <w:rPr>
                <w:rFonts w:ascii="Times New Roman" w:eastAsia="Times New Roman" w:hAnsi="Times New Roman" w:cs="Times New Roman"/>
                <w:szCs w:val="24"/>
              </w:rPr>
              <w:t xml:space="preserve">Hepatic failure, jaundice hepatocellular </w:t>
            </w:r>
            <w:r w:rsidRPr="008F34E3">
              <w:rPr>
                <w:rFonts w:ascii="Times New Roman" w:hAnsi="Times New Roman" w:cs="Times New Roman"/>
                <w:szCs w:val="24"/>
              </w:rPr>
              <w:t xml:space="preserve"> </w:t>
            </w:r>
          </w:p>
          <w:p w14:paraId="7A495F15" w14:textId="2E2592B4" w:rsidR="008F34E3" w:rsidRPr="008F34E3" w:rsidRDefault="008F34E3" w:rsidP="008F34E3">
            <w:pPr>
              <w:spacing w:line="259" w:lineRule="auto"/>
              <w:ind w:left="1"/>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p>
        </w:tc>
      </w:tr>
      <w:tr w:rsidR="008F34E3" w:rsidRPr="008F34E3" w14:paraId="2BF8ACEF" w14:textId="77777777" w:rsidTr="008F34E3">
        <w:trPr>
          <w:trHeight w:val="398"/>
          <w:jc w:val="center"/>
        </w:trPr>
        <w:tc>
          <w:tcPr>
            <w:tcW w:w="1457" w:type="dxa"/>
          </w:tcPr>
          <w:p w14:paraId="1E430780" w14:textId="7279CED7"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Skin and subcutaneous tissue disorders </w:t>
            </w:r>
            <w:r w:rsidRPr="008F34E3">
              <w:rPr>
                <w:rFonts w:ascii="Times New Roman" w:hAnsi="Times New Roman" w:cs="Times New Roman"/>
                <w:szCs w:val="24"/>
              </w:rPr>
              <w:t xml:space="preserve"> </w:t>
            </w:r>
          </w:p>
        </w:tc>
        <w:tc>
          <w:tcPr>
            <w:tcW w:w="1062" w:type="dxa"/>
          </w:tcPr>
          <w:p w14:paraId="0C837E10" w14:textId="46010AF0"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579" w:type="dxa"/>
          </w:tcPr>
          <w:p w14:paraId="310D6431" w14:textId="77777777" w:rsidR="008F34E3" w:rsidRPr="008F34E3" w:rsidRDefault="008F34E3" w:rsidP="008F34E3">
            <w:pPr>
              <w:spacing w:line="259" w:lineRule="auto"/>
              <w:ind w:left="144"/>
              <w:rPr>
                <w:rFonts w:ascii="Times New Roman" w:hAnsi="Times New Roman" w:cs="Times New Roman"/>
                <w:szCs w:val="24"/>
              </w:rPr>
            </w:pPr>
            <w:r w:rsidRPr="008F34E3">
              <w:rPr>
                <w:rFonts w:ascii="Times New Roman" w:eastAsia="Times New Roman" w:hAnsi="Times New Roman" w:cs="Times New Roman"/>
                <w:szCs w:val="24"/>
              </w:rPr>
              <w:t xml:space="preserve">Rash, </w:t>
            </w:r>
            <w:r w:rsidRPr="008F34E3">
              <w:rPr>
                <w:rFonts w:ascii="Times New Roman" w:hAnsi="Times New Roman" w:cs="Times New Roman"/>
                <w:szCs w:val="24"/>
              </w:rPr>
              <w:t xml:space="preserve"> </w:t>
            </w:r>
          </w:p>
          <w:p w14:paraId="69C97ED2" w14:textId="77777777" w:rsidR="008F34E3" w:rsidRPr="008F34E3" w:rsidRDefault="008F34E3" w:rsidP="008F34E3">
            <w:pPr>
              <w:spacing w:line="259" w:lineRule="auto"/>
              <w:ind w:left="144"/>
              <w:rPr>
                <w:rFonts w:ascii="Times New Roman" w:hAnsi="Times New Roman" w:cs="Times New Roman"/>
                <w:szCs w:val="24"/>
              </w:rPr>
            </w:pPr>
            <w:r w:rsidRPr="008F34E3">
              <w:rPr>
                <w:rFonts w:ascii="Times New Roman" w:eastAsia="Times New Roman" w:hAnsi="Times New Roman" w:cs="Times New Roman"/>
                <w:szCs w:val="24"/>
              </w:rPr>
              <w:t>hyperhidrosis</w:t>
            </w:r>
          </w:p>
          <w:p w14:paraId="2B87E702" w14:textId="72132204"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754" w:type="dxa"/>
          </w:tcPr>
          <w:p w14:paraId="630CEA96" w14:textId="77777777" w:rsidR="008F34E3" w:rsidRPr="008F34E3" w:rsidRDefault="008F34E3" w:rsidP="008F34E3">
            <w:pPr>
              <w:spacing w:line="302" w:lineRule="auto"/>
              <w:ind w:left="-27" w:firstLine="167"/>
              <w:rPr>
                <w:rFonts w:ascii="Times New Roman" w:hAnsi="Times New Roman" w:cs="Times New Roman"/>
                <w:szCs w:val="24"/>
              </w:rPr>
            </w:pPr>
            <w:r w:rsidRPr="008F34E3">
              <w:rPr>
                <w:rFonts w:ascii="Times New Roman" w:eastAsia="Times New Roman" w:hAnsi="Times New Roman" w:cs="Times New Roman"/>
                <w:szCs w:val="24"/>
              </w:rPr>
              <w:t>Dermatitis bullous</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r w:rsidRPr="008F34E3">
              <w:rPr>
                <w:rFonts w:ascii="Times New Roman" w:eastAsia="Times New Roman" w:hAnsi="Times New Roman" w:cs="Times New Roman"/>
                <w:szCs w:val="24"/>
              </w:rPr>
              <w:t xml:space="preserve"> pruritus, urticaria, rash </w:t>
            </w:r>
          </w:p>
          <w:p w14:paraId="17B5FE3D" w14:textId="0190755B" w:rsidR="008F34E3" w:rsidRPr="008F34E3" w:rsidRDefault="008F34E3" w:rsidP="008F34E3">
            <w:pPr>
              <w:spacing w:line="259" w:lineRule="auto"/>
              <w:ind w:left="33"/>
              <w:rPr>
                <w:rFonts w:ascii="Times New Roman" w:eastAsia="Times New Roman" w:hAnsi="Times New Roman" w:cs="Times New Roman"/>
                <w:szCs w:val="24"/>
              </w:rPr>
            </w:pPr>
            <w:r w:rsidRPr="008F34E3">
              <w:rPr>
                <w:rFonts w:ascii="Times New Roman" w:eastAsia="Times New Roman" w:hAnsi="Times New Roman" w:cs="Times New Roman"/>
                <w:szCs w:val="24"/>
              </w:rPr>
              <w:t>maculopapular</w:t>
            </w:r>
            <w:r w:rsidRPr="008F34E3">
              <w:rPr>
                <w:rFonts w:ascii="Times New Roman" w:eastAsia="Times New Roman" w:hAnsi="Times New Roman" w:cs="Times New Roman"/>
                <w:szCs w:val="24"/>
                <w:vertAlign w:val="superscript"/>
              </w:rPr>
              <w:t>3</w:t>
            </w: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503" w:type="dxa"/>
          </w:tcPr>
          <w:p w14:paraId="1996CE47" w14:textId="77777777" w:rsidR="008F34E3" w:rsidRPr="008F34E3" w:rsidRDefault="008F34E3" w:rsidP="008F34E3">
            <w:pPr>
              <w:spacing w:line="259" w:lineRule="auto"/>
              <w:ind w:left="1"/>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Severe cutaneous adverse reactions (SCAR) (e.g. Acute generalised exanthematous pustulosis  </w:t>
            </w:r>
          </w:p>
          <w:p w14:paraId="3BE71AB7" w14:textId="497437AF" w:rsidR="008F34E3" w:rsidRPr="008F34E3" w:rsidRDefault="008F34E3" w:rsidP="008F34E3">
            <w:pPr>
              <w:spacing w:line="259" w:lineRule="auto"/>
              <w:ind w:left="1"/>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(AGEP),StevensJohnson syndrome, toxic epidermal necrolysis, drug rash with eosinophilia and systemic symptoms (DRESS)), acne  </w:t>
            </w:r>
            <w:r w:rsidRPr="008F34E3">
              <w:rPr>
                <w:rFonts w:ascii="Times New Roman" w:hAnsi="Times New Roman" w:cs="Times New Roman"/>
                <w:szCs w:val="24"/>
              </w:rPr>
              <w:t xml:space="preserve"> </w:t>
            </w:r>
            <w:r>
              <w:rPr>
                <w:rFonts w:ascii="Times New Roman" w:hAnsi="Times New Roman" w:cs="Times New Roman"/>
                <w:szCs w:val="24"/>
              </w:rPr>
              <w:t xml:space="preserve"> </w:t>
            </w:r>
          </w:p>
        </w:tc>
      </w:tr>
      <w:tr w:rsidR="008F34E3" w:rsidRPr="008F34E3" w14:paraId="2D791933" w14:textId="77777777" w:rsidTr="008F34E3">
        <w:trPr>
          <w:trHeight w:val="398"/>
          <w:jc w:val="center"/>
        </w:trPr>
        <w:tc>
          <w:tcPr>
            <w:tcW w:w="1457" w:type="dxa"/>
          </w:tcPr>
          <w:p w14:paraId="2AA92241" w14:textId="0B16D3C1"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Musculoskel etal and connective tissue disorders </w:t>
            </w:r>
            <w:r w:rsidRPr="008F34E3">
              <w:rPr>
                <w:rFonts w:ascii="Times New Roman" w:hAnsi="Times New Roman" w:cs="Times New Roman"/>
                <w:szCs w:val="24"/>
              </w:rPr>
              <w:t xml:space="preserve"> </w:t>
            </w:r>
          </w:p>
        </w:tc>
        <w:tc>
          <w:tcPr>
            <w:tcW w:w="1062" w:type="dxa"/>
          </w:tcPr>
          <w:p w14:paraId="3593F02E" w14:textId="05C65CC6"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579" w:type="dxa"/>
          </w:tcPr>
          <w:p w14:paraId="0771EE84" w14:textId="25E1BA40" w:rsidR="008F34E3" w:rsidRPr="008F34E3" w:rsidRDefault="008F34E3" w:rsidP="008F34E3">
            <w:pPr>
              <w:spacing w:line="259" w:lineRule="auto"/>
              <w:ind w:left="14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754" w:type="dxa"/>
          </w:tcPr>
          <w:p w14:paraId="38D7F8FF" w14:textId="5FB2E411" w:rsidR="008F34E3" w:rsidRPr="008F34E3" w:rsidRDefault="008F34E3" w:rsidP="008F34E3">
            <w:pPr>
              <w:spacing w:line="302" w:lineRule="auto"/>
              <w:ind w:left="-27"/>
              <w:rPr>
                <w:rFonts w:ascii="Times New Roman" w:eastAsia="Times New Roman" w:hAnsi="Times New Roman" w:cs="Times New Roman"/>
                <w:szCs w:val="24"/>
              </w:rPr>
            </w:pPr>
            <w:r w:rsidRPr="008F34E3">
              <w:rPr>
                <w:rFonts w:ascii="Times New Roman" w:eastAsia="Times New Roman" w:hAnsi="Times New Roman" w:cs="Times New Roman"/>
                <w:szCs w:val="24"/>
              </w:rPr>
              <w:t>Muscle spasms</w:t>
            </w:r>
            <w:r w:rsidRPr="008F34E3">
              <w:rPr>
                <w:rFonts w:ascii="Times New Roman" w:eastAsia="Times New Roman" w:hAnsi="Times New Roman" w:cs="Times New Roman"/>
                <w:szCs w:val="24"/>
                <w:vertAlign w:val="superscript"/>
              </w:rPr>
              <w:t>3</w:t>
            </w:r>
            <w:r w:rsidRPr="008F34E3">
              <w:rPr>
                <w:rFonts w:ascii="Times New Roman" w:eastAsia="Times New Roman" w:hAnsi="Times New Roman" w:cs="Times New Roman"/>
                <w:szCs w:val="24"/>
              </w:rPr>
              <w:t>, musculoskeletal stiffness</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myalgia</w:t>
            </w:r>
            <w:r w:rsidRPr="008F34E3">
              <w:rPr>
                <w:rFonts w:ascii="Times New Roman" w:eastAsia="Times New Roman" w:hAnsi="Times New Roman" w:cs="Times New Roman"/>
                <w:szCs w:val="24"/>
                <w:vertAlign w:val="superscript"/>
              </w:rPr>
              <w:t>2</w:t>
            </w: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503" w:type="dxa"/>
          </w:tcPr>
          <w:p w14:paraId="50782D92" w14:textId="6CE45091" w:rsidR="008F34E3" w:rsidRPr="008F34E3" w:rsidRDefault="008F34E3" w:rsidP="008F34E3">
            <w:pPr>
              <w:spacing w:line="259" w:lineRule="auto"/>
              <w:ind w:left="1"/>
              <w:rPr>
                <w:rFonts w:ascii="Times New Roman" w:eastAsia="Times New Roman" w:hAnsi="Times New Roman" w:cs="Times New Roman"/>
                <w:szCs w:val="24"/>
              </w:rPr>
            </w:pPr>
            <w:r w:rsidRPr="008F34E3">
              <w:rPr>
                <w:rFonts w:ascii="Times New Roman" w:eastAsia="Times New Roman" w:hAnsi="Times New Roman" w:cs="Times New Roman"/>
                <w:szCs w:val="24"/>
              </w:rPr>
              <w:t>Rhabdomyolysis</w:t>
            </w:r>
            <w:r w:rsidRPr="008F34E3">
              <w:rPr>
                <w:rFonts w:ascii="Times New Roman" w:eastAsia="Times New Roman" w:hAnsi="Times New Roman" w:cs="Times New Roman"/>
                <w:szCs w:val="24"/>
                <w:vertAlign w:val="superscript"/>
              </w:rPr>
              <w:t>2,6</w:t>
            </w:r>
            <w:r w:rsidRPr="008F34E3">
              <w:rPr>
                <w:rFonts w:ascii="Times New Roman" w:eastAsia="Times New Roman" w:hAnsi="Times New Roman" w:cs="Times New Roman"/>
                <w:szCs w:val="24"/>
              </w:rPr>
              <w:t xml:space="preserve">, myopathy </w:t>
            </w:r>
            <w:r w:rsidRPr="008F34E3">
              <w:rPr>
                <w:rFonts w:ascii="Times New Roman" w:hAnsi="Times New Roman" w:cs="Times New Roman"/>
                <w:szCs w:val="24"/>
              </w:rPr>
              <w:t xml:space="preserve"> </w:t>
            </w:r>
          </w:p>
        </w:tc>
      </w:tr>
      <w:tr w:rsidR="008F34E3" w:rsidRPr="008F34E3" w14:paraId="14259567" w14:textId="77777777" w:rsidTr="008F34E3">
        <w:trPr>
          <w:trHeight w:val="398"/>
          <w:jc w:val="center"/>
        </w:trPr>
        <w:tc>
          <w:tcPr>
            <w:tcW w:w="1457" w:type="dxa"/>
          </w:tcPr>
          <w:p w14:paraId="0840803D" w14:textId="0DF3B634"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Renal and urinary disorders </w:t>
            </w:r>
            <w:r w:rsidRPr="008F34E3">
              <w:rPr>
                <w:rFonts w:ascii="Times New Roman" w:hAnsi="Times New Roman" w:cs="Times New Roman"/>
                <w:szCs w:val="24"/>
              </w:rPr>
              <w:t xml:space="preserve"> </w:t>
            </w:r>
          </w:p>
        </w:tc>
        <w:tc>
          <w:tcPr>
            <w:tcW w:w="1062" w:type="dxa"/>
          </w:tcPr>
          <w:p w14:paraId="2D846BDE" w14:textId="59A18F2E"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579" w:type="dxa"/>
          </w:tcPr>
          <w:p w14:paraId="4C2AF6F8" w14:textId="25FEAA95" w:rsidR="008F34E3" w:rsidRPr="008F34E3" w:rsidRDefault="008F34E3" w:rsidP="008F34E3">
            <w:pPr>
              <w:spacing w:line="259" w:lineRule="auto"/>
              <w:ind w:left="14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754" w:type="dxa"/>
          </w:tcPr>
          <w:p w14:paraId="27516156" w14:textId="35E2EBEC" w:rsidR="008F34E3" w:rsidRPr="008F34E3" w:rsidRDefault="008F34E3" w:rsidP="008F34E3">
            <w:pPr>
              <w:spacing w:line="302" w:lineRule="auto"/>
              <w:ind w:left="-27"/>
              <w:rPr>
                <w:rFonts w:ascii="Times New Roman" w:eastAsia="Times New Roman" w:hAnsi="Times New Roman" w:cs="Times New Roman"/>
                <w:szCs w:val="24"/>
              </w:rPr>
            </w:pPr>
            <w:r w:rsidRPr="008F34E3">
              <w:rPr>
                <w:rFonts w:ascii="Times New Roman" w:eastAsia="Times New Roman" w:hAnsi="Times New Roman" w:cs="Times New Roman"/>
                <w:szCs w:val="24"/>
              </w:rPr>
              <w:t>Blood creatinine increased</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blood urea increased</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503" w:type="dxa"/>
          </w:tcPr>
          <w:p w14:paraId="780FE087" w14:textId="5D8195BF" w:rsidR="008F34E3" w:rsidRPr="008F34E3" w:rsidRDefault="008F34E3" w:rsidP="008F34E3">
            <w:pPr>
              <w:spacing w:line="259" w:lineRule="auto"/>
              <w:ind w:left="1"/>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Renal failure, nephritis interstitial </w:t>
            </w:r>
            <w:r w:rsidRPr="008F34E3">
              <w:rPr>
                <w:rFonts w:ascii="Times New Roman" w:hAnsi="Times New Roman" w:cs="Times New Roman"/>
                <w:szCs w:val="24"/>
              </w:rPr>
              <w:t xml:space="preserve"> </w:t>
            </w:r>
          </w:p>
        </w:tc>
      </w:tr>
      <w:tr w:rsidR="008F34E3" w:rsidRPr="008F34E3" w14:paraId="18AE2C1B" w14:textId="77777777" w:rsidTr="008F34E3">
        <w:trPr>
          <w:trHeight w:val="398"/>
          <w:jc w:val="center"/>
        </w:trPr>
        <w:tc>
          <w:tcPr>
            <w:tcW w:w="1457" w:type="dxa"/>
          </w:tcPr>
          <w:p w14:paraId="3D894166" w14:textId="0DD840C8"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General disorders and administratio n site conditions </w:t>
            </w:r>
            <w:r w:rsidRPr="008F34E3">
              <w:rPr>
                <w:rFonts w:ascii="Times New Roman" w:hAnsi="Times New Roman" w:cs="Times New Roman"/>
                <w:szCs w:val="24"/>
              </w:rPr>
              <w:t xml:space="preserve"> </w:t>
            </w:r>
          </w:p>
        </w:tc>
        <w:tc>
          <w:tcPr>
            <w:tcW w:w="1062" w:type="dxa"/>
          </w:tcPr>
          <w:p w14:paraId="3C39EE3B" w14:textId="77777777" w:rsidR="008F34E3" w:rsidRPr="008F34E3" w:rsidRDefault="008F34E3" w:rsidP="008F34E3">
            <w:pPr>
              <w:spacing w:line="259" w:lineRule="auto"/>
              <w:rPr>
                <w:rFonts w:ascii="Times New Roman" w:hAnsi="Times New Roman" w:cs="Times New Roman"/>
                <w:szCs w:val="24"/>
              </w:rPr>
            </w:pPr>
            <w:r w:rsidRPr="008F34E3">
              <w:rPr>
                <w:rFonts w:ascii="Times New Roman" w:eastAsia="Times New Roman" w:hAnsi="Times New Roman" w:cs="Times New Roman"/>
                <w:szCs w:val="24"/>
              </w:rPr>
              <w:t xml:space="preserve">Injection site </w:t>
            </w:r>
            <w:r w:rsidRPr="008F34E3">
              <w:rPr>
                <w:rFonts w:ascii="Times New Roman" w:hAnsi="Times New Roman" w:cs="Times New Roman"/>
                <w:szCs w:val="24"/>
              </w:rPr>
              <w:t xml:space="preserve"> </w:t>
            </w:r>
          </w:p>
          <w:p w14:paraId="15752268" w14:textId="77777777" w:rsidR="008F34E3" w:rsidRPr="008F34E3" w:rsidRDefault="008F34E3" w:rsidP="008F34E3">
            <w:pPr>
              <w:spacing w:after="39" w:line="259" w:lineRule="auto"/>
              <w:rPr>
                <w:rFonts w:ascii="Times New Roman" w:hAnsi="Times New Roman" w:cs="Times New Roman"/>
                <w:szCs w:val="24"/>
              </w:rPr>
            </w:pPr>
            <w:r w:rsidRPr="008F34E3">
              <w:rPr>
                <w:rFonts w:ascii="Times New Roman" w:eastAsia="Times New Roman" w:hAnsi="Times New Roman" w:cs="Times New Roman"/>
                <w:szCs w:val="24"/>
              </w:rPr>
              <w:t>phlebitis</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p w14:paraId="559EC3A4" w14:textId="49B5A282"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579" w:type="dxa"/>
          </w:tcPr>
          <w:p w14:paraId="187752CA" w14:textId="280EC8BB" w:rsidR="008F34E3" w:rsidRPr="008F34E3" w:rsidRDefault="008F34E3" w:rsidP="008F34E3">
            <w:pPr>
              <w:spacing w:line="260" w:lineRule="auto"/>
              <w:rPr>
                <w:rFonts w:ascii="Times New Roman" w:hAnsi="Times New Roman" w:cs="Times New Roman"/>
                <w:szCs w:val="24"/>
              </w:rPr>
            </w:pPr>
            <w:r w:rsidRPr="008F34E3">
              <w:rPr>
                <w:rFonts w:ascii="Times New Roman" w:eastAsia="Times New Roman" w:hAnsi="Times New Roman" w:cs="Times New Roman"/>
                <w:szCs w:val="24"/>
              </w:rPr>
              <w:t>Injection site pain</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injection site inflammation</w:t>
            </w:r>
            <w:r w:rsidRPr="008F34E3">
              <w:rPr>
                <w:rFonts w:ascii="Times New Roman" w:hAnsi="Times New Roman" w:cs="Times New Roman"/>
                <w:szCs w:val="24"/>
              </w:rPr>
              <w:t xml:space="preserve"> </w:t>
            </w:r>
            <w:r w:rsidRPr="008F34E3">
              <w:rPr>
                <w:rFonts w:ascii="Times New Roman" w:eastAsia="Times New Roman" w:hAnsi="Times New Roman" w:cs="Times New Roman"/>
                <w:szCs w:val="24"/>
                <w:vertAlign w:val="superscript"/>
              </w:rPr>
              <w:t>1</w:t>
            </w:r>
            <w:r w:rsidRPr="008F34E3">
              <w:rPr>
                <w:rFonts w:ascii="Times New Roman" w:hAnsi="Times New Roman" w:cs="Times New Roman"/>
                <w:szCs w:val="24"/>
                <w:vertAlign w:val="superscript"/>
              </w:rPr>
              <w:t xml:space="preserve"> </w:t>
            </w:r>
          </w:p>
          <w:p w14:paraId="46C43F66" w14:textId="34AFD9DD" w:rsidR="008F34E3" w:rsidRPr="008F34E3" w:rsidRDefault="008F34E3" w:rsidP="008F34E3">
            <w:pPr>
              <w:spacing w:line="259" w:lineRule="auto"/>
              <w:ind w:left="14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754" w:type="dxa"/>
          </w:tcPr>
          <w:p w14:paraId="71C0F734" w14:textId="5945BBE4" w:rsidR="008F34E3" w:rsidRPr="008F34E3" w:rsidRDefault="008F34E3" w:rsidP="008F34E3">
            <w:pPr>
              <w:spacing w:line="302" w:lineRule="auto"/>
              <w:ind w:left="-27"/>
              <w:rPr>
                <w:rFonts w:ascii="Times New Roman" w:eastAsia="Times New Roman" w:hAnsi="Times New Roman" w:cs="Times New Roman"/>
                <w:szCs w:val="24"/>
              </w:rPr>
            </w:pPr>
            <w:r w:rsidRPr="008F34E3">
              <w:rPr>
                <w:rFonts w:ascii="Times New Roman" w:eastAsia="Times New Roman" w:hAnsi="Times New Roman" w:cs="Times New Roman"/>
                <w:szCs w:val="24"/>
              </w:rPr>
              <w:t>Malaise</w:t>
            </w:r>
            <w:r w:rsidRPr="008F34E3">
              <w:rPr>
                <w:rFonts w:ascii="Times New Roman" w:eastAsia="Times New Roman" w:hAnsi="Times New Roman" w:cs="Times New Roman"/>
                <w:szCs w:val="24"/>
                <w:vertAlign w:val="superscript"/>
              </w:rPr>
              <w:t>4</w:t>
            </w:r>
            <w:r w:rsidRPr="008F34E3">
              <w:rPr>
                <w:rFonts w:ascii="Times New Roman" w:eastAsia="Times New Roman" w:hAnsi="Times New Roman" w:cs="Times New Roman"/>
                <w:szCs w:val="24"/>
              </w:rPr>
              <w:t>, pyrexia</w:t>
            </w:r>
            <w:r w:rsidRPr="008F34E3">
              <w:rPr>
                <w:rFonts w:ascii="Times New Roman" w:eastAsia="Times New Roman" w:hAnsi="Times New Roman" w:cs="Times New Roman"/>
                <w:szCs w:val="24"/>
                <w:vertAlign w:val="superscript"/>
              </w:rPr>
              <w:t>3</w:t>
            </w:r>
            <w:r w:rsidRPr="008F34E3">
              <w:rPr>
                <w:rFonts w:ascii="Times New Roman" w:eastAsia="Times New Roman" w:hAnsi="Times New Roman" w:cs="Times New Roman"/>
                <w:szCs w:val="24"/>
              </w:rPr>
              <w:t>, asthenia, chest pain</w:t>
            </w:r>
            <w:r w:rsidRPr="008F34E3">
              <w:rPr>
                <w:rFonts w:ascii="Times New Roman" w:eastAsia="Times New Roman" w:hAnsi="Times New Roman" w:cs="Times New Roman"/>
                <w:szCs w:val="24"/>
                <w:vertAlign w:val="superscript"/>
              </w:rPr>
              <w:t>4</w:t>
            </w:r>
            <w:r w:rsidRPr="008F34E3">
              <w:rPr>
                <w:rFonts w:ascii="Times New Roman" w:eastAsia="Times New Roman" w:hAnsi="Times New Roman" w:cs="Times New Roman"/>
                <w:szCs w:val="24"/>
              </w:rPr>
              <w:t>, chills</w:t>
            </w:r>
            <w:r w:rsidRPr="008F34E3">
              <w:rPr>
                <w:rFonts w:ascii="Times New Roman" w:eastAsia="Times New Roman" w:hAnsi="Times New Roman" w:cs="Times New Roman"/>
                <w:szCs w:val="24"/>
                <w:vertAlign w:val="superscript"/>
              </w:rPr>
              <w:t>4</w:t>
            </w:r>
            <w:r w:rsidRPr="008F34E3">
              <w:rPr>
                <w:rFonts w:ascii="Times New Roman" w:eastAsia="Times New Roman" w:hAnsi="Times New Roman" w:cs="Times New Roman"/>
                <w:szCs w:val="24"/>
              </w:rPr>
              <w:t>, fatigue</w:t>
            </w:r>
            <w:r w:rsidRPr="008F34E3">
              <w:rPr>
                <w:rFonts w:ascii="Times New Roman" w:eastAsia="Times New Roman" w:hAnsi="Times New Roman" w:cs="Times New Roman"/>
                <w:szCs w:val="24"/>
                <w:vertAlign w:val="superscript"/>
              </w:rPr>
              <w:t>4</w:t>
            </w: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503" w:type="dxa"/>
          </w:tcPr>
          <w:p w14:paraId="12D88D37" w14:textId="6345F40A" w:rsidR="008F34E3" w:rsidRPr="008F34E3" w:rsidRDefault="008F34E3" w:rsidP="008F34E3">
            <w:pPr>
              <w:spacing w:line="259" w:lineRule="auto"/>
              <w:ind w:left="1"/>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r>
      <w:tr w:rsidR="008F34E3" w:rsidRPr="008F34E3" w14:paraId="1A4DFB06" w14:textId="77777777" w:rsidTr="008F34E3">
        <w:trPr>
          <w:trHeight w:val="398"/>
          <w:jc w:val="center"/>
        </w:trPr>
        <w:tc>
          <w:tcPr>
            <w:tcW w:w="1457" w:type="dxa"/>
          </w:tcPr>
          <w:p w14:paraId="0DB01826" w14:textId="77777777" w:rsidR="008F34E3" w:rsidRPr="008F34E3" w:rsidRDefault="008F34E3" w:rsidP="008F34E3">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lastRenderedPageBreak/>
              <w:t xml:space="preserve">Investigation </w:t>
            </w:r>
          </w:p>
          <w:p w14:paraId="379B2E97" w14:textId="77777777" w:rsidR="008F34E3" w:rsidRPr="008F34E3" w:rsidRDefault="008F34E3" w:rsidP="008F34E3">
            <w:pPr>
              <w:spacing w:line="259" w:lineRule="auto"/>
              <w:ind w:left="34"/>
              <w:rPr>
                <w:rFonts w:ascii="Times New Roman" w:hAnsi="Times New Roman" w:cs="Times New Roman"/>
                <w:szCs w:val="24"/>
              </w:rPr>
            </w:pPr>
            <w:r w:rsidRPr="008F34E3">
              <w:rPr>
                <w:rFonts w:ascii="Times New Roman" w:eastAsia="Times New Roman" w:hAnsi="Times New Roman" w:cs="Times New Roman"/>
                <w:szCs w:val="24"/>
              </w:rPr>
              <w:t xml:space="preserve">s </w:t>
            </w:r>
            <w:r w:rsidRPr="008F34E3">
              <w:rPr>
                <w:rFonts w:ascii="Times New Roman" w:hAnsi="Times New Roman" w:cs="Times New Roman"/>
                <w:szCs w:val="24"/>
              </w:rPr>
              <w:t xml:space="preserve"> </w:t>
            </w:r>
          </w:p>
          <w:p w14:paraId="79321158" w14:textId="575726F4"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062" w:type="dxa"/>
          </w:tcPr>
          <w:p w14:paraId="10D0578E" w14:textId="457E3F26" w:rsidR="008F34E3" w:rsidRPr="008F34E3" w:rsidRDefault="008F34E3" w:rsidP="008F34E3">
            <w:pPr>
              <w:spacing w:line="259" w:lineRule="auto"/>
              <w:ind w:left="3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1579" w:type="dxa"/>
          </w:tcPr>
          <w:p w14:paraId="23BB9C5C" w14:textId="17496CD9" w:rsidR="008F34E3" w:rsidRPr="008F34E3" w:rsidRDefault="008F34E3" w:rsidP="008F34E3">
            <w:pPr>
              <w:spacing w:line="259" w:lineRule="auto"/>
              <w:ind w:left="144"/>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754" w:type="dxa"/>
          </w:tcPr>
          <w:p w14:paraId="6F6A2A9E" w14:textId="76E184B7" w:rsidR="008F34E3" w:rsidRPr="008F34E3" w:rsidRDefault="008F34E3" w:rsidP="008F34E3">
            <w:pPr>
              <w:spacing w:line="302" w:lineRule="auto"/>
              <w:ind w:left="-27"/>
              <w:rPr>
                <w:rFonts w:ascii="Times New Roman" w:eastAsia="Times New Roman" w:hAnsi="Times New Roman" w:cs="Times New Roman"/>
                <w:szCs w:val="24"/>
              </w:rPr>
            </w:pPr>
            <w:r w:rsidRPr="008F34E3">
              <w:rPr>
                <w:rFonts w:ascii="Times New Roman" w:eastAsia="Times New Roman" w:hAnsi="Times New Roman" w:cs="Times New Roman"/>
                <w:szCs w:val="24"/>
              </w:rPr>
              <w:t>Albumin globulin ratio abnormal</w:t>
            </w:r>
            <w:r w:rsidRPr="008F34E3">
              <w:rPr>
                <w:rFonts w:ascii="Times New Roman" w:eastAsia="Times New Roman" w:hAnsi="Times New Roman" w:cs="Times New Roman"/>
                <w:szCs w:val="24"/>
                <w:vertAlign w:val="superscript"/>
              </w:rPr>
              <w:t>1</w:t>
            </w:r>
            <w:r w:rsidRPr="008F34E3">
              <w:rPr>
                <w:rFonts w:ascii="Times New Roman" w:eastAsia="Times New Roman" w:hAnsi="Times New Roman" w:cs="Times New Roman"/>
                <w:szCs w:val="24"/>
              </w:rPr>
              <w:t>, blood alkaline phosphatase increased</w:t>
            </w:r>
            <w:r w:rsidRPr="008F34E3">
              <w:rPr>
                <w:rFonts w:ascii="Times New Roman" w:eastAsia="Times New Roman" w:hAnsi="Times New Roman" w:cs="Times New Roman"/>
                <w:szCs w:val="24"/>
                <w:vertAlign w:val="superscript"/>
              </w:rPr>
              <w:t>4</w:t>
            </w:r>
            <w:r w:rsidRPr="008F34E3">
              <w:rPr>
                <w:rFonts w:ascii="Times New Roman" w:eastAsia="Times New Roman" w:hAnsi="Times New Roman" w:cs="Times New Roman"/>
                <w:szCs w:val="24"/>
              </w:rPr>
              <w:t>, blood lactate dehydrogenase increased</w:t>
            </w:r>
            <w:r w:rsidRPr="008F34E3">
              <w:rPr>
                <w:rFonts w:ascii="Times New Roman" w:eastAsia="Times New Roman" w:hAnsi="Times New Roman" w:cs="Times New Roman"/>
                <w:szCs w:val="24"/>
                <w:vertAlign w:val="superscript"/>
              </w:rPr>
              <w:t>4</w:t>
            </w:r>
            <w:r w:rsidRPr="008F34E3">
              <w:rPr>
                <w:rFonts w:ascii="Times New Roman" w:eastAsia="Times New Roman" w:hAnsi="Times New Roman" w:cs="Times New Roman"/>
                <w:szCs w:val="24"/>
              </w:rPr>
              <w:t xml:space="preserve"> </w:t>
            </w:r>
            <w:r w:rsidRPr="008F34E3">
              <w:rPr>
                <w:rFonts w:ascii="Times New Roman" w:hAnsi="Times New Roman" w:cs="Times New Roman"/>
                <w:szCs w:val="24"/>
              </w:rPr>
              <w:t xml:space="preserve"> </w:t>
            </w:r>
          </w:p>
        </w:tc>
        <w:tc>
          <w:tcPr>
            <w:tcW w:w="2503" w:type="dxa"/>
          </w:tcPr>
          <w:p w14:paraId="44AD500C" w14:textId="77777777" w:rsidR="008F34E3" w:rsidRPr="008F34E3" w:rsidRDefault="008F34E3" w:rsidP="008F34E3">
            <w:pPr>
              <w:spacing w:line="259" w:lineRule="auto"/>
              <w:rPr>
                <w:rFonts w:ascii="Times New Roman" w:hAnsi="Times New Roman" w:cs="Times New Roman"/>
                <w:szCs w:val="24"/>
              </w:rPr>
            </w:pPr>
            <w:r w:rsidRPr="008F34E3">
              <w:rPr>
                <w:rFonts w:ascii="Times New Roman" w:eastAsia="Times New Roman" w:hAnsi="Times New Roman" w:cs="Times New Roman"/>
                <w:szCs w:val="24"/>
              </w:rPr>
              <w:t>International normalised</w:t>
            </w:r>
          </w:p>
          <w:p w14:paraId="56F1EE40" w14:textId="47E4C808" w:rsidR="008F34E3" w:rsidRPr="008F34E3" w:rsidRDefault="008F34E3" w:rsidP="008F34E3">
            <w:pPr>
              <w:spacing w:line="259" w:lineRule="auto"/>
              <w:ind w:left="1"/>
              <w:rPr>
                <w:rFonts w:ascii="Times New Roman" w:eastAsia="Times New Roman" w:hAnsi="Times New Roman" w:cs="Times New Roman"/>
                <w:szCs w:val="24"/>
              </w:rPr>
            </w:pPr>
            <w:r w:rsidRPr="008F34E3">
              <w:rPr>
                <w:rFonts w:ascii="Times New Roman" w:eastAsia="Times New Roman" w:hAnsi="Times New Roman" w:cs="Times New Roman"/>
                <w:szCs w:val="24"/>
              </w:rPr>
              <w:t xml:space="preserve">ratio increased, prothrombin time prolonged, urine colour abnormal </w:t>
            </w:r>
            <w:r w:rsidRPr="008F34E3">
              <w:rPr>
                <w:rFonts w:ascii="Times New Roman" w:hAnsi="Times New Roman" w:cs="Times New Roman"/>
                <w:szCs w:val="24"/>
              </w:rPr>
              <w:t xml:space="preserve"> </w:t>
            </w:r>
          </w:p>
        </w:tc>
      </w:tr>
    </w:tbl>
    <w:p w14:paraId="0B239EB8" w14:textId="3533CFD6" w:rsidR="008F34E3" w:rsidRPr="008F34E3" w:rsidRDefault="008F34E3" w:rsidP="008F34E3">
      <w:pPr>
        <w:spacing w:before="240" w:line="360" w:lineRule="auto"/>
        <w:jc w:val="thaiDistribute"/>
        <w:rPr>
          <w:rFonts w:ascii="Times New Roman" w:hAnsi="Times New Roman" w:cs="Times New Roman"/>
          <w:sz w:val="28"/>
          <w:szCs w:val="28"/>
        </w:rPr>
      </w:pPr>
      <w:r w:rsidRPr="008F34E3">
        <w:rPr>
          <w:rFonts w:ascii="Times New Roman" w:hAnsi="Times New Roman" w:cs="Times New Roman"/>
          <w:sz w:val="28"/>
          <w:szCs w:val="28"/>
          <w:vertAlign w:val="superscript"/>
        </w:rPr>
        <w:t xml:space="preserve">1 </w:t>
      </w:r>
      <w:r w:rsidRPr="008F34E3">
        <w:rPr>
          <w:rFonts w:ascii="Times New Roman" w:hAnsi="Times New Roman" w:cs="Times New Roman"/>
          <w:sz w:val="28"/>
          <w:szCs w:val="28"/>
        </w:rPr>
        <w:t xml:space="preserve">ADRs reported only for the Powder for Concentrate for Solution for Infusion formulation </w:t>
      </w:r>
    </w:p>
    <w:p w14:paraId="605F7016" w14:textId="1B8931AB" w:rsidR="008F34E3" w:rsidRPr="008F34E3" w:rsidRDefault="008F34E3" w:rsidP="008F34E3">
      <w:pPr>
        <w:spacing w:line="360" w:lineRule="auto"/>
        <w:jc w:val="thaiDistribute"/>
        <w:rPr>
          <w:rFonts w:ascii="Times New Roman" w:hAnsi="Times New Roman" w:cs="Times New Roman"/>
          <w:sz w:val="28"/>
          <w:szCs w:val="28"/>
        </w:rPr>
      </w:pPr>
      <w:r w:rsidRPr="008F34E3">
        <w:rPr>
          <w:rFonts w:ascii="Times New Roman" w:hAnsi="Times New Roman" w:cs="Times New Roman"/>
          <w:sz w:val="28"/>
          <w:szCs w:val="28"/>
          <w:vertAlign w:val="superscript"/>
        </w:rPr>
        <w:t xml:space="preserve">2 </w:t>
      </w:r>
      <w:r w:rsidRPr="008F34E3">
        <w:rPr>
          <w:rFonts w:ascii="Times New Roman" w:hAnsi="Times New Roman" w:cs="Times New Roman"/>
          <w:sz w:val="28"/>
          <w:szCs w:val="28"/>
        </w:rPr>
        <w:t xml:space="preserve">ADRs reported only for the Extended-Release Tablets formulation </w:t>
      </w:r>
    </w:p>
    <w:p w14:paraId="0B2364A2" w14:textId="1BC97B3A" w:rsidR="008F34E3" w:rsidRPr="008F34E3" w:rsidRDefault="008F34E3" w:rsidP="008F34E3">
      <w:pPr>
        <w:spacing w:line="360" w:lineRule="auto"/>
        <w:jc w:val="thaiDistribute"/>
        <w:rPr>
          <w:rFonts w:ascii="Times New Roman" w:hAnsi="Times New Roman" w:cs="Times New Roman"/>
          <w:sz w:val="28"/>
          <w:szCs w:val="28"/>
        </w:rPr>
      </w:pPr>
      <w:r w:rsidRPr="008F34E3">
        <w:rPr>
          <w:rFonts w:ascii="Times New Roman" w:hAnsi="Times New Roman" w:cs="Times New Roman"/>
          <w:sz w:val="28"/>
          <w:szCs w:val="28"/>
          <w:vertAlign w:val="superscript"/>
        </w:rPr>
        <w:t>3</w:t>
      </w:r>
      <w:r w:rsidRPr="008F34E3">
        <w:rPr>
          <w:rFonts w:ascii="Times New Roman" w:hAnsi="Times New Roman" w:cs="Times New Roman"/>
          <w:sz w:val="28"/>
          <w:szCs w:val="28"/>
        </w:rPr>
        <w:t xml:space="preserve"> ADRs reported only for the Granules for Oral Suspension formulation </w:t>
      </w:r>
    </w:p>
    <w:p w14:paraId="71F0EAC9" w14:textId="5159EEEC" w:rsidR="008F34E3" w:rsidRPr="008F34E3" w:rsidRDefault="008F34E3" w:rsidP="008F34E3">
      <w:pPr>
        <w:spacing w:line="360" w:lineRule="auto"/>
        <w:jc w:val="thaiDistribute"/>
        <w:rPr>
          <w:rFonts w:ascii="Times New Roman" w:hAnsi="Times New Roman" w:cs="Times New Roman"/>
          <w:sz w:val="28"/>
          <w:szCs w:val="28"/>
        </w:rPr>
      </w:pPr>
      <w:r w:rsidRPr="008F34E3">
        <w:rPr>
          <w:rFonts w:ascii="Times New Roman" w:hAnsi="Times New Roman" w:cs="Times New Roman"/>
          <w:sz w:val="28"/>
          <w:szCs w:val="28"/>
          <w:vertAlign w:val="superscript"/>
        </w:rPr>
        <w:t>4</w:t>
      </w:r>
      <w:r w:rsidRPr="008F34E3">
        <w:rPr>
          <w:rFonts w:ascii="Times New Roman" w:hAnsi="Times New Roman" w:cs="Times New Roman"/>
          <w:sz w:val="28"/>
          <w:szCs w:val="28"/>
        </w:rPr>
        <w:t xml:space="preserve">ADRs reported only for the Immediate-Release Tablets formulation  </w:t>
      </w:r>
    </w:p>
    <w:p w14:paraId="67EEA9BB" w14:textId="3520E588" w:rsidR="003847D8" w:rsidRPr="003847D8" w:rsidRDefault="008F34E3" w:rsidP="008F34E3">
      <w:pPr>
        <w:spacing w:after="240" w:line="360" w:lineRule="auto"/>
        <w:jc w:val="thaiDistribute"/>
        <w:rPr>
          <w:rFonts w:ascii="Times New Roman" w:hAnsi="Times New Roman" w:cs="Times New Roman"/>
          <w:sz w:val="28"/>
          <w:szCs w:val="28"/>
        </w:rPr>
      </w:pPr>
      <w:r w:rsidRPr="008F34E3">
        <w:rPr>
          <w:rFonts w:ascii="Times New Roman" w:hAnsi="Times New Roman" w:cs="Times New Roman"/>
          <w:sz w:val="28"/>
          <w:szCs w:val="28"/>
          <w:vertAlign w:val="superscript"/>
        </w:rPr>
        <w:t>5, 6,</w:t>
      </w:r>
      <w:r w:rsidRPr="008F34E3">
        <w:rPr>
          <w:rFonts w:ascii="Times New Roman" w:hAnsi="Times New Roman" w:cs="Times New Roman"/>
          <w:sz w:val="28"/>
          <w:szCs w:val="28"/>
        </w:rPr>
        <w:t xml:space="preserve"> See section c)  </w:t>
      </w:r>
    </w:p>
    <w:p w14:paraId="73B47301" w14:textId="5134CD3C" w:rsidR="003847D8" w:rsidRPr="003847D8" w:rsidRDefault="003847D8" w:rsidP="008F34E3">
      <w:pPr>
        <w:spacing w:line="360" w:lineRule="auto"/>
        <w:jc w:val="thaiDistribute"/>
        <w:rPr>
          <w:rFonts w:ascii="Times New Roman" w:hAnsi="Times New Roman" w:cs="Times New Roman"/>
          <w:sz w:val="28"/>
          <w:szCs w:val="28"/>
        </w:rPr>
      </w:pPr>
      <w:r w:rsidRPr="003847D8">
        <w:rPr>
          <w:rFonts w:ascii="Times New Roman" w:hAnsi="Times New Roman" w:cs="Times New Roman"/>
          <w:sz w:val="28"/>
          <w:szCs w:val="28"/>
        </w:rPr>
        <w:t xml:space="preserve">* Because these reactions are reported voluntarily from a population of uncertain size, it is not always possible to reliably estimate their frequency or establish a causal relationship to drug exposure. Patient exposure is estimated to be greater than 1 billion patient treatment days for clarithromycin.  </w:t>
      </w:r>
    </w:p>
    <w:p w14:paraId="2F7787B7" w14:textId="77777777" w:rsidR="008F34E3" w:rsidRDefault="003847D8" w:rsidP="008F34E3">
      <w:pPr>
        <w:pStyle w:val="ListParagraph"/>
        <w:numPr>
          <w:ilvl w:val="2"/>
          <w:numId w:val="2"/>
        </w:numPr>
        <w:spacing w:after="240"/>
        <w:ind w:left="1225" w:hanging="505"/>
        <w:contextualSpacing w:val="0"/>
        <w:rPr>
          <w:rFonts w:ascii="Times New Roman" w:hAnsi="Times New Roman" w:cs="Times New Roman"/>
          <w:b/>
          <w:bCs/>
          <w:sz w:val="28"/>
          <w:szCs w:val="28"/>
        </w:rPr>
      </w:pPr>
      <w:r w:rsidRPr="008F34E3">
        <w:rPr>
          <w:rFonts w:ascii="Times New Roman" w:hAnsi="Times New Roman" w:cs="Times New Roman"/>
          <w:b/>
          <w:bCs/>
          <w:sz w:val="28"/>
          <w:szCs w:val="28"/>
        </w:rPr>
        <w:t xml:space="preserve">Description of selected adverse reactions  </w:t>
      </w:r>
    </w:p>
    <w:p w14:paraId="48F80C54" w14:textId="77777777" w:rsidR="008F34E3" w:rsidRDefault="003847D8" w:rsidP="008F34E3">
      <w:pPr>
        <w:pStyle w:val="ListParagraph"/>
        <w:spacing w:after="240" w:line="360" w:lineRule="auto"/>
        <w:ind w:left="1225"/>
        <w:contextualSpacing w:val="0"/>
        <w:jc w:val="thaiDistribute"/>
        <w:rPr>
          <w:rFonts w:ascii="Times New Roman" w:hAnsi="Times New Roman" w:cs="Times New Roman"/>
          <w:sz w:val="28"/>
          <w:szCs w:val="28"/>
        </w:rPr>
      </w:pPr>
      <w:r w:rsidRPr="008F34E3">
        <w:rPr>
          <w:rFonts w:ascii="Times New Roman" w:hAnsi="Times New Roman" w:cs="Times New Roman"/>
          <w:sz w:val="28"/>
          <w:szCs w:val="28"/>
        </w:rPr>
        <w:t xml:space="preserve">Injection site phlebitis, injection site pain, and injection site inflammation are specific to the clarithromycin intravenous formulation. </w:t>
      </w:r>
    </w:p>
    <w:p w14:paraId="3AC49BC7" w14:textId="77777777" w:rsidR="008F34E3" w:rsidRDefault="003847D8" w:rsidP="008F34E3">
      <w:pPr>
        <w:pStyle w:val="ListParagraph"/>
        <w:spacing w:after="240" w:line="360" w:lineRule="auto"/>
        <w:ind w:left="1225"/>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lastRenderedPageBreak/>
        <w:t xml:space="preserve">In some of the reports of rhabdomyolysis, clarithromycin was administered concomitantly with statins, fibrates, colchicine or allopurinol (see section 4.3 and 4.4).  </w:t>
      </w:r>
    </w:p>
    <w:p w14:paraId="10E89085" w14:textId="77777777" w:rsidR="008F34E3" w:rsidRDefault="003847D8" w:rsidP="008F34E3">
      <w:pPr>
        <w:pStyle w:val="ListParagraph"/>
        <w:spacing w:after="240" w:line="360" w:lineRule="auto"/>
        <w:ind w:left="1225"/>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There have been post-marketing reports of drug interactions and central nervous system (CNS) effects (e.g. somnolence and confusion) with the concomitant use of clarithromycin and triazolam.  Monitoring the patient for increased CNS pharmacological effects is suggested (see section 4.5).  </w:t>
      </w:r>
    </w:p>
    <w:p w14:paraId="5AF2DFFA" w14:textId="77777777" w:rsidR="008F34E3" w:rsidRDefault="003847D8" w:rsidP="008F34E3">
      <w:pPr>
        <w:pStyle w:val="ListParagraph"/>
        <w:spacing w:after="240" w:line="360" w:lineRule="auto"/>
        <w:ind w:left="1225"/>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There have been rare reports of clarithromycin ER tablets in the stool, many of which have occurred in patients with anatomic (including ileostomy or colostomy) or functional gastrointestinal disorders with shortened GI transit times.  In several reports, tablet residues have occurred in the context of diarrhoea.  It is recommended that patients who experience tablet residue in the stool and no improvement in their condition should be switched to a different clarithromycin formulation (e.g. suspension) or another antibiotic.  </w:t>
      </w:r>
    </w:p>
    <w:p w14:paraId="4167DF28" w14:textId="20B1AAD1" w:rsidR="003847D8" w:rsidRPr="008F34E3" w:rsidRDefault="003847D8" w:rsidP="008F34E3">
      <w:pPr>
        <w:pStyle w:val="ListParagraph"/>
        <w:spacing w:after="240" w:line="360" w:lineRule="auto"/>
        <w:ind w:left="1225"/>
        <w:contextualSpacing w:val="0"/>
        <w:jc w:val="thaiDistribute"/>
        <w:rPr>
          <w:rFonts w:ascii="Times New Roman" w:hAnsi="Times New Roman" w:cs="Times New Roman"/>
          <w:b/>
          <w:bCs/>
          <w:sz w:val="28"/>
          <w:szCs w:val="28"/>
        </w:rPr>
      </w:pPr>
      <w:r w:rsidRPr="003847D8">
        <w:rPr>
          <w:rFonts w:ascii="Times New Roman" w:hAnsi="Times New Roman" w:cs="Times New Roman"/>
          <w:sz w:val="28"/>
          <w:szCs w:val="28"/>
        </w:rPr>
        <w:t xml:space="preserve">Special population: Adverse Reactions in Immunocompromised Patients (see section e).  </w:t>
      </w:r>
    </w:p>
    <w:p w14:paraId="46F83F35" w14:textId="77777777" w:rsidR="008F34E3" w:rsidRDefault="003847D8" w:rsidP="008F34E3">
      <w:pPr>
        <w:pStyle w:val="ListParagraph"/>
        <w:numPr>
          <w:ilvl w:val="2"/>
          <w:numId w:val="2"/>
        </w:numPr>
        <w:spacing w:after="240"/>
        <w:ind w:left="1225" w:hanging="505"/>
        <w:contextualSpacing w:val="0"/>
        <w:rPr>
          <w:rFonts w:ascii="Times New Roman" w:hAnsi="Times New Roman" w:cs="Times New Roman"/>
          <w:b/>
          <w:bCs/>
          <w:sz w:val="28"/>
          <w:szCs w:val="28"/>
        </w:rPr>
      </w:pPr>
      <w:r w:rsidRPr="008F34E3">
        <w:rPr>
          <w:rFonts w:ascii="Times New Roman" w:hAnsi="Times New Roman" w:cs="Times New Roman"/>
          <w:b/>
          <w:bCs/>
          <w:sz w:val="28"/>
          <w:szCs w:val="28"/>
        </w:rPr>
        <w:t xml:space="preserve">Paediatric populations  </w:t>
      </w:r>
    </w:p>
    <w:p w14:paraId="00F285A3" w14:textId="7FD73D05" w:rsidR="003847D8" w:rsidRPr="008F34E3" w:rsidRDefault="003847D8" w:rsidP="008F34E3">
      <w:pPr>
        <w:pStyle w:val="ListParagraph"/>
        <w:spacing w:after="240" w:line="360" w:lineRule="auto"/>
        <w:ind w:left="1225"/>
        <w:contextualSpacing w:val="0"/>
        <w:jc w:val="thaiDistribute"/>
        <w:rPr>
          <w:rFonts w:ascii="Times New Roman" w:hAnsi="Times New Roman" w:cs="Times New Roman"/>
          <w:b/>
          <w:bCs/>
          <w:sz w:val="28"/>
          <w:szCs w:val="28"/>
        </w:rPr>
      </w:pPr>
      <w:r w:rsidRPr="008F34E3">
        <w:rPr>
          <w:rFonts w:ascii="Times New Roman" w:hAnsi="Times New Roman" w:cs="Times New Roman"/>
          <w:sz w:val="28"/>
          <w:szCs w:val="28"/>
        </w:rPr>
        <w:t xml:space="preserve">Clinical trials have been conducted using clarithromycin paediatric suspension in children 6 months to 12 years of age. Therefore, children under 12 years of age should use clarithromycin paediatric suspension.    </w:t>
      </w:r>
      <w:r w:rsidRPr="003847D8">
        <w:rPr>
          <w:rFonts w:ascii="Times New Roman" w:hAnsi="Times New Roman" w:cs="Times New Roman"/>
          <w:sz w:val="28"/>
          <w:szCs w:val="28"/>
        </w:rPr>
        <w:lastRenderedPageBreak/>
        <w:t xml:space="preserve">Frequency, type and severity of adverse reactions in children are expected to be the same as in adults.  </w:t>
      </w:r>
    </w:p>
    <w:p w14:paraId="6AAB964B" w14:textId="77777777" w:rsidR="008F34E3" w:rsidRDefault="003847D8" w:rsidP="008F34E3">
      <w:pPr>
        <w:pStyle w:val="ListParagraph"/>
        <w:numPr>
          <w:ilvl w:val="2"/>
          <w:numId w:val="2"/>
        </w:numPr>
        <w:spacing w:after="240"/>
        <w:ind w:left="1225" w:hanging="505"/>
        <w:contextualSpacing w:val="0"/>
        <w:rPr>
          <w:rFonts w:ascii="Times New Roman" w:hAnsi="Times New Roman" w:cs="Times New Roman"/>
          <w:b/>
          <w:bCs/>
          <w:sz w:val="28"/>
          <w:szCs w:val="28"/>
        </w:rPr>
      </w:pPr>
      <w:r w:rsidRPr="008F34E3">
        <w:rPr>
          <w:rFonts w:ascii="Times New Roman" w:hAnsi="Times New Roman" w:cs="Times New Roman"/>
          <w:b/>
          <w:bCs/>
          <w:sz w:val="28"/>
          <w:szCs w:val="28"/>
        </w:rPr>
        <w:t xml:space="preserve">Other special populations  </w:t>
      </w:r>
    </w:p>
    <w:p w14:paraId="6ED2EA86" w14:textId="77777777" w:rsidR="008F34E3" w:rsidRDefault="003847D8" w:rsidP="008F34E3">
      <w:pPr>
        <w:pStyle w:val="ListParagraph"/>
        <w:spacing w:after="240"/>
        <w:ind w:left="1225"/>
        <w:contextualSpacing w:val="0"/>
        <w:rPr>
          <w:rFonts w:ascii="Times New Roman" w:hAnsi="Times New Roman" w:cs="Times New Roman"/>
          <w:sz w:val="28"/>
          <w:szCs w:val="28"/>
          <w:u w:val="single"/>
        </w:rPr>
      </w:pPr>
      <w:r w:rsidRPr="008F34E3">
        <w:rPr>
          <w:rFonts w:ascii="Times New Roman" w:hAnsi="Times New Roman" w:cs="Times New Roman"/>
          <w:sz w:val="28"/>
          <w:szCs w:val="28"/>
          <w:u w:val="single"/>
        </w:rPr>
        <w:t xml:space="preserve">Immunocompromised patients  </w:t>
      </w:r>
    </w:p>
    <w:p w14:paraId="757E79F7" w14:textId="77777777" w:rsidR="008F34E3" w:rsidRDefault="003847D8" w:rsidP="008F34E3">
      <w:pPr>
        <w:pStyle w:val="ListParagraph"/>
        <w:spacing w:after="240" w:line="360" w:lineRule="auto"/>
        <w:ind w:left="1225"/>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In AIDS and other immunocompromised patients treated with the higher doses of clarithromycin over long periods of time for mycobacterial infections, it was often difficult to distinguish adverse events possibly associated with clarithromycin administration from underlying signs of Human Immunodeficiency Virus (HIV) disease or intercurrent illness.  </w:t>
      </w:r>
    </w:p>
    <w:p w14:paraId="223A0924" w14:textId="77777777" w:rsidR="008F34E3" w:rsidRDefault="003847D8" w:rsidP="008F34E3">
      <w:pPr>
        <w:pStyle w:val="ListParagraph"/>
        <w:spacing w:after="240" w:line="360" w:lineRule="auto"/>
        <w:ind w:left="1225"/>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In adult patients, the most frequently reported adverse reactions by patients treated with total daily doses of 1000 mg and 2000mg of clarithromycin were: nausea, vomiting, taste perversion, abdominal pain, diarrhoea, rash, flatulence, headache, constipation, hearing disturbance, Serum Glutamic Oxaloacetic Transaminase (SGOT) and Serum Glutamic Pyruvate Transaminase (SGPT) elevations.  Additional low-frequency events included dyspnoea, insomnia and dry mouth.  The incidences were comparable for patients treated with 1000mg and 2000mg, but were generally about 3 to 4 times as frequent for those patients who received total daily doses of 4000mg of clarithromycin.  </w:t>
      </w:r>
    </w:p>
    <w:p w14:paraId="607C97B8" w14:textId="77777777" w:rsidR="008F34E3" w:rsidRDefault="003847D8" w:rsidP="008F34E3">
      <w:pPr>
        <w:pStyle w:val="ListParagraph"/>
        <w:spacing w:line="360" w:lineRule="auto"/>
        <w:ind w:left="1224"/>
        <w:jc w:val="thaiDistribute"/>
        <w:rPr>
          <w:rFonts w:ascii="Times New Roman" w:hAnsi="Times New Roman" w:cs="Times New Roman"/>
          <w:sz w:val="28"/>
          <w:szCs w:val="28"/>
        </w:rPr>
      </w:pPr>
      <w:r w:rsidRPr="003847D8">
        <w:rPr>
          <w:rFonts w:ascii="Times New Roman" w:hAnsi="Times New Roman" w:cs="Times New Roman"/>
          <w:sz w:val="28"/>
          <w:szCs w:val="28"/>
        </w:rPr>
        <w:lastRenderedPageBreak/>
        <w:t xml:space="preserve">In these immunocompromised patients, evaluations of laboratory values were made by analysing those values outside the seriously abnormal level (i.e. the extreme high or low limit) for the specified test.  On the basis of these criteria, about 2% to 3% of those patients who received 1000mg or 2000mg of clarithromycin daily had seriously abnormal elevated levels of SGOT and SGPT, and abnormally low white blood cell and platelet counts.  A lower percentage of patients in these two dosage groups also had elevated Blood Urea Nitrogen levels.  Slightly higher incidences of abnormal values were noted for patients who received 4000mg daily for all parameters except White Blood Cell.  </w:t>
      </w:r>
    </w:p>
    <w:p w14:paraId="34361540" w14:textId="77777777" w:rsidR="008F34E3" w:rsidRPr="008F34E3" w:rsidRDefault="003847D8" w:rsidP="008F34E3">
      <w:pPr>
        <w:spacing w:line="360" w:lineRule="auto"/>
        <w:ind w:firstLine="720"/>
        <w:jc w:val="thaiDistribute"/>
        <w:rPr>
          <w:rFonts w:ascii="Times New Roman" w:hAnsi="Times New Roman" w:cs="Times New Roman"/>
          <w:b/>
          <w:bCs/>
          <w:sz w:val="28"/>
          <w:szCs w:val="28"/>
          <w:u w:val="single"/>
        </w:rPr>
      </w:pPr>
      <w:r w:rsidRPr="008F34E3">
        <w:rPr>
          <w:rFonts w:ascii="Times New Roman" w:hAnsi="Times New Roman" w:cs="Times New Roman"/>
          <w:sz w:val="28"/>
          <w:szCs w:val="28"/>
          <w:u w:val="single"/>
        </w:rPr>
        <w:t xml:space="preserve">Reporting of suspected adverse reactions  </w:t>
      </w:r>
    </w:p>
    <w:p w14:paraId="6FDE6430" w14:textId="2E7E0943" w:rsidR="003847D8" w:rsidRPr="008F34E3" w:rsidRDefault="003847D8" w:rsidP="008F34E3">
      <w:pPr>
        <w:spacing w:line="360" w:lineRule="auto"/>
        <w:ind w:left="720"/>
        <w:jc w:val="thaiDistribute"/>
        <w:rPr>
          <w:rFonts w:ascii="Times New Roman" w:hAnsi="Times New Roman" w:cs="Times New Roman"/>
          <w:b/>
          <w:bCs/>
          <w:sz w:val="28"/>
          <w:szCs w:val="28"/>
          <w:u w:val="single"/>
        </w:rPr>
      </w:pPr>
      <w:r w:rsidRPr="003847D8">
        <w:rPr>
          <w:rFonts w:ascii="Times New Roman" w:hAnsi="Times New Roman" w:cs="Times New Roman"/>
          <w:sz w:val="28"/>
          <w:szCs w:val="28"/>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 Thai FDA </w:t>
      </w:r>
    </w:p>
    <w:p w14:paraId="2FA09BE4" w14:textId="77777777" w:rsidR="008F34E3" w:rsidRDefault="003847D8" w:rsidP="008F34E3">
      <w:pPr>
        <w:pStyle w:val="ListParagraph"/>
        <w:numPr>
          <w:ilvl w:val="1"/>
          <w:numId w:val="2"/>
        </w:numPr>
        <w:spacing w:after="240"/>
        <w:ind w:left="788" w:hanging="431"/>
        <w:contextualSpacing w:val="0"/>
        <w:rPr>
          <w:rFonts w:ascii="Times New Roman" w:hAnsi="Times New Roman" w:cs="Times New Roman"/>
          <w:b/>
          <w:bCs/>
          <w:sz w:val="28"/>
          <w:szCs w:val="28"/>
        </w:rPr>
      </w:pPr>
      <w:r w:rsidRPr="008F34E3">
        <w:rPr>
          <w:rFonts w:ascii="Times New Roman" w:hAnsi="Times New Roman" w:cs="Times New Roman"/>
          <w:b/>
          <w:bCs/>
          <w:sz w:val="28"/>
          <w:szCs w:val="28"/>
        </w:rPr>
        <w:t xml:space="preserve">Overdose  </w:t>
      </w:r>
    </w:p>
    <w:p w14:paraId="2499372B" w14:textId="77777777" w:rsidR="008F34E3" w:rsidRDefault="003847D8" w:rsidP="008F34E3">
      <w:pPr>
        <w:pStyle w:val="ListParagraph"/>
        <w:spacing w:line="360" w:lineRule="auto"/>
        <w:ind w:left="792"/>
        <w:jc w:val="thaiDistribute"/>
        <w:rPr>
          <w:rFonts w:ascii="Times New Roman" w:hAnsi="Times New Roman" w:cs="Times New Roman"/>
          <w:sz w:val="28"/>
          <w:szCs w:val="28"/>
        </w:rPr>
      </w:pPr>
      <w:r w:rsidRPr="008F34E3">
        <w:rPr>
          <w:rFonts w:ascii="Times New Roman" w:hAnsi="Times New Roman" w:cs="Times New Roman"/>
          <w:sz w:val="28"/>
          <w:szCs w:val="28"/>
        </w:rPr>
        <w:t xml:space="preserve">Reports indicate that the ingestion of large amounts of clarithromycin can be expected to produce gastro-intestinal symptoms.  One patient who had a history of bipolar disorder ingested 8 grams of clarithromycin and showed altered mental status, paranoid behaviour, hypokalaemia and hypoxaemia.    </w:t>
      </w:r>
    </w:p>
    <w:p w14:paraId="5B8BAD5B" w14:textId="5AC72311" w:rsidR="003847D8" w:rsidRPr="008F34E3" w:rsidRDefault="003847D8" w:rsidP="008F34E3">
      <w:pPr>
        <w:pStyle w:val="ListParagraph"/>
        <w:spacing w:after="240" w:line="360" w:lineRule="auto"/>
        <w:ind w:left="794"/>
        <w:contextualSpacing w:val="0"/>
        <w:jc w:val="thaiDistribute"/>
        <w:rPr>
          <w:rFonts w:ascii="Times New Roman" w:hAnsi="Times New Roman" w:cs="Times New Roman"/>
          <w:b/>
          <w:bCs/>
          <w:sz w:val="28"/>
          <w:szCs w:val="28"/>
        </w:rPr>
      </w:pPr>
      <w:r w:rsidRPr="003847D8">
        <w:rPr>
          <w:rFonts w:ascii="Times New Roman" w:hAnsi="Times New Roman" w:cs="Times New Roman"/>
          <w:sz w:val="28"/>
          <w:szCs w:val="28"/>
        </w:rPr>
        <w:lastRenderedPageBreak/>
        <w:t xml:space="preserve">Adverse reactions accompanying overdosage should be treated by the prompt elimination of unabsorbed drug and supportive measures.  As with other macrolides, clarithromycin serum levels are not expected to be appreciably affected by haemodialysis or peritoneal dialysis.  </w:t>
      </w:r>
    </w:p>
    <w:p w14:paraId="76B3F52A" w14:textId="24E626FE" w:rsidR="003847D8" w:rsidRPr="008F34E3" w:rsidRDefault="003847D8" w:rsidP="008F34E3">
      <w:pPr>
        <w:pStyle w:val="ListParagraph"/>
        <w:numPr>
          <w:ilvl w:val="0"/>
          <w:numId w:val="2"/>
        </w:numPr>
        <w:spacing w:after="240"/>
        <w:ind w:left="357" w:hanging="357"/>
        <w:contextualSpacing w:val="0"/>
        <w:rPr>
          <w:rFonts w:ascii="Times New Roman" w:hAnsi="Times New Roman" w:cs="Times New Roman"/>
          <w:b/>
          <w:bCs/>
          <w:sz w:val="28"/>
          <w:szCs w:val="28"/>
        </w:rPr>
      </w:pPr>
      <w:r w:rsidRPr="008F34E3">
        <w:rPr>
          <w:rFonts w:ascii="Times New Roman" w:hAnsi="Times New Roman" w:cs="Times New Roman"/>
          <w:b/>
          <w:bCs/>
          <w:sz w:val="28"/>
          <w:szCs w:val="28"/>
        </w:rPr>
        <w:t xml:space="preserve">PHARMACOLOGICAL PROPERTIES  </w:t>
      </w:r>
    </w:p>
    <w:p w14:paraId="6963FBFE" w14:textId="77777777" w:rsidR="008F34E3" w:rsidRDefault="003847D8" w:rsidP="008F34E3">
      <w:pPr>
        <w:pStyle w:val="ListParagraph"/>
        <w:numPr>
          <w:ilvl w:val="1"/>
          <w:numId w:val="2"/>
        </w:numPr>
        <w:spacing w:after="240"/>
        <w:ind w:left="788" w:hanging="431"/>
        <w:contextualSpacing w:val="0"/>
        <w:rPr>
          <w:rFonts w:ascii="Times New Roman" w:hAnsi="Times New Roman" w:cs="Times New Roman"/>
          <w:b/>
          <w:bCs/>
          <w:sz w:val="28"/>
          <w:szCs w:val="28"/>
        </w:rPr>
      </w:pPr>
      <w:r w:rsidRPr="008F34E3">
        <w:rPr>
          <w:rFonts w:ascii="Times New Roman" w:hAnsi="Times New Roman" w:cs="Times New Roman"/>
          <w:b/>
          <w:bCs/>
          <w:sz w:val="28"/>
          <w:szCs w:val="28"/>
        </w:rPr>
        <w:t xml:space="preserve">Pharmacodynamic properties  </w:t>
      </w:r>
    </w:p>
    <w:p w14:paraId="29FC8875" w14:textId="77777777" w:rsidR="008F34E3" w:rsidRDefault="003847D8" w:rsidP="008F34E3">
      <w:pPr>
        <w:pStyle w:val="ListParagraph"/>
        <w:spacing w:after="240" w:line="360" w:lineRule="auto"/>
        <w:ind w:left="794"/>
        <w:contextualSpacing w:val="0"/>
        <w:rPr>
          <w:rFonts w:ascii="Times New Roman" w:hAnsi="Times New Roman" w:cs="Times New Roman"/>
          <w:sz w:val="28"/>
          <w:szCs w:val="28"/>
        </w:rPr>
      </w:pPr>
      <w:r w:rsidRPr="008F34E3">
        <w:rPr>
          <w:rFonts w:ascii="Times New Roman" w:hAnsi="Times New Roman" w:cs="Times New Roman"/>
          <w:sz w:val="28"/>
          <w:szCs w:val="28"/>
        </w:rPr>
        <w:t xml:space="preserve">Pharmacotherapeutic group: Antibacterial for systemic use, macrolide  ATC-Code: J01FA09  </w:t>
      </w:r>
    </w:p>
    <w:p w14:paraId="639CCAA0" w14:textId="77777777" w:rsidR="008F34E3" w:rsidRDefault="003847D8" w:rsidP="008F34E3">
      <w:pPr>
        <w:pStyle w:val="ListParagraph"/>
        <w:spacing w:after="240" w:line="360" w:lineRule="auto"/>
        <w:ind w:left="794"/>
        <w:contextualSpacing w:val="0"/>
        <w:rPr>
          <w:rFonts w:ascii="Times New Roman" w:hAnsi="Times New Roman" w:cs="Times New Roman"/>
          <w:sz w:val="28"/>
          <w:szCs w:val="28"/>
          <w:u w:val="single"/>
        </w:rPr>
      </w:pPr>
      <w:r w:rsidRPr="008F34E3">
        <w:rPr>
          <w:rFonts w:ascii="Times New Roman" w:hAnsi="Times New Roman" w:cs="Times New Roman"/>
          <w:sz w:val="28"/>
          <w:szCs w:val="28"/>
          <w:u w:val="single"/>
        </w:rPr>
        <w:t>Mode of Action:</w:t>
      </w:r>
    </w:p>
    <w:p w14:paraId="5BE9B9B4" w14:textId="77777777" w:rsidR="008F34E3" w:rsidRDefault="003847D8" w:rsidP="008F34E3">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Clarithromycin is an antibiotic belonging to the macrolide antibiotic group. It exerts its antibacterial action by selectively binding to the 50s ribosomal subunit of susceptible bacteria preventing translocation of activitate amino acids.   It inhibits the intracellular protein synthesis of susceptible bacteria. The 14hydroxy metabolite of clarithromycin, a product of parent drug metabolism also has antimicrobial activity. The metabolite is less active than the parent compound for most organisms, including mycobacterium spp. An exception is Haemophilus influenza where the 14-hydroxy metabolite is twofold more active than the parent compound.  </w:t>
      </w:r>
    </w:p>
    <w:p w14:paraId="4F62E668" w14:textId="77777777" w:rsidR="008F34E3" w:rsidRPr="008F34E3" w:rsidRDefault="003847D8" w:rsidP="008F34E3">
      <w:pPr>
        <w:spacing w:line="360" w:lineRule="auto"/>
        <w:ind w:firstLine="720"/>
        <w:jc w:val="thaiDistribute"/>
        <w:rPr>
          <w:rFonts w:ascii="Times New Roman" w:hAnsi="Times New Roman" w:cs="Times New Roman"/>
          <w:b/>
          <w:bCs/>
          <w:sz w:val="28"/>
          <w:szCs w:val="28"/>
          <w:u w:val="single"/>
        </w:rPr>
      </w:pPr>
      <w:r w:rsidRPr="008F34E3">
        <w:rPr>
          <w:rFonts w:ascii="Times New Roman" w:hAnsi="Times New Roman" w:cs="Times New Roman"/>
          <w:sz w:val="28"/>
          <w:szCs w:val="28"/>
        </w:rPr>
        <w:t>Clarithromycin is usually active against the following organisms in vitro:</w:t>
      </w:r>
    </w:p>
    <w:p w14:paraId="333F10D8" w14:textId="77777777" w:rsidR="008F34E3" w:rsidRPr="008F34E3" w:rsidRDefault="003847D8" w:rsidP="00946385">
      <w:pPr>
        <w:pStyle w:val="ListParagraph"/>
        <w:numPr>
          <w:ilvl w:val="1"/>
          <w:numId w:val="12"/>
        </w:numPr>
        <w:spacing w:line="360" w:lineRule="auto"/>
        <w:jc w:val="thaiDistribute"/>
        <w:rPr>
          <w:rFonts w:ascii="Times New Roman" w:hAnsi="Times New Roman" w:cs="Times New Roman"/>
          <w:b/>
          <w:bCs/>
          <w:sz w:val="28"/>
          <w:szCs w:val="28"/>
          <w:u w:val="single"/>
        </w:rPr>
      </w:pPr>
      <w:r w:rsidRPr="003847D8">
        <w:rPr>
          <w:rFonts w:ascii="Times New Roman" w:hAnsi="Times New Roman" w:cs="Times New Roman"/>
          <w:sz w:val="28"/>
          <w:szCs w:val="28"/>
        </w:rPr>
        <w:t xml:space="preserve">Gram-positive Bacteria: Staphylococcus aureus (methicillin susceptible);  Streptococcus pyogenes (Group A beta-hemolytic </w:t>
      </w:r>
      <w:r w:rsidRPr="003847D8">
        <w:rPr>
          <w:rFonts w:ascii="Times New Roman" w:hAnsi="Times New Roman" w:cs="Times New Roman"/>
          <w:sz w:val="28"/>
          <w:szCs w:val="28"/>
        </w:rPr>
        <w:lastRenderedPageBreak/>
        <w:t xml:space="preserve">streptococci) alpha- hemolytic streptococci (viridans group); Streptococcus (Diplococcus) </w:t>
      </w:r>
      <w:r w:rsidRPr="008F34E3">
        <w:rPr>
          <w:rFonts w:ascii="Times New Roman" w:hAnsi="Times New Roman" w:cs="Times New Roman"/>
          <w:sz w:val="28"/>
          <w:szCs w:val="28"/>
        </w:rPr>
        <w:t xml:space="preserve">pneumoniae; Streptococcus agalactiae; Listeria monocytogenes.  </w:t>
      </w:r>
    </w:p>
    <w:p w14:paraId="5D371ADF" w14:textId="77777777" w:rsidR="008F34E3" w:rsidRPr="008F34E3" w:rsidRDefault="003847D8" w:rsidP="00946385">
      <w:pPr>
        <w:pStyle w:val="ListParagraph"/>
        <w:numPr>
          <w:ilvl w:val="1"/>
          <w:numId w:val="12"/>
        </w:numPr>
        <w:spacing w:line="360" w:lineRule="auto"/>
        <w:jc w:val="thaiDistribute"/>
        <w:rPr>
          <w:rFonts w:ascii="Times New Roman" w:hAnsi="Times New Roman" w:cs="Times New Roman"/>
          <w:b/>
          <w:bCs/>
          <w:sz w:val="28"/>
          <w:szCs w:val="28"/>
          <w:u w:val="single"/>
        </w:rPr>
      </w:pPr>
      <w:r w:rsidRPr="008F34E3">
        <w:rPr>
          <w:rFonts w:ascii="Times New Roman" w:hAnsi="Times New Roman" w:cs="Times New Roman"/>
          <w:sz w:val="28"/>
          <w:szCs w:val="28"/>
        </w:rPr>
        <w:t xml:space="preserve">Gram-negative Bacteria: Haemophilus influenzae, Haemophilus  parainfluenzae, Moraxella (Branhamella) catarrhalis, Neisseria gonorrhoeae; Legionella pneumophila, Bordetella pertussis, Helicobacter pylori; Campylobacter jejuni.  </w:t>
      </w:r>
    </w:p>
    <w:p w14:paraId="304951F4" w14:textId="77777777" w:rsidR="008F34E3" w:rsidRPr="008F34E3" w:rsidRDefault="003847D8" w:rsidP="00946385">
      <w:pPr>
        <w:pStyle w:val="ListParagraph"/>
        <w:numPr>
          <w:ilvl w:val="1"/>
          <w:numId w:val="12"/>
        </w:numPr>
        <w:spacing w:line="360" w:lineRule="auto"/>
        <w:jc w:val="thaiDistribute"/>
        <w:rPr>
          <w:rFonts w:ascii="Times New Roman" w:hAnsi="Times New Roman" w:cs="Times New Roman"/>
          <w:b/>
          <w:bCs/>
          <w:sz w:val="28"/>
          <w:szCs w:val="28"/>
          <w:u w:val="single"/>
        </w:rPr>
      </w:pPr>
      <w:r w:rsidRPr="008F34E3">
        <w:rPr>
          <w:rFonts w:ascii="Times New Roman" w:hAnsi="Times New Roman" w:cs="Times New Roman"/>
          <w:sz w:val="28"/>
          <w:szCs w:val="28"/>
        </w:rPr>
        <w:t xml:space="preserve">Mycoplasma: Mycoplasma pneumoniae; Ureaplasma urealyticum.  </w:t>
      </w:r>
    </w:p>
    <w:p w14:paraId="5AA3BC85" w14:textId="77777777" w:rsidR="008F34E3" w:rsidRPr="008F34E3" w:rsidRDefault="003847D8" w:rsidP="00946385">
      <w:pPr>
        <w:pStyle w:val="ListParagraph"/>
        <w:numPr>
          <w:ilvl w:val="1"/>
          <w:numId w:val="12"/>
        </w:numPr>
        <w:spacing w:line="360" w:lineRule="auto"/>
        <w:jc w:val="thaiDistribute"/>
        <w:rPr>
          <w:rFonts w:ascii="Times New Roman" w:hAnsi="Times New Roman" w:cs="Times New Roman"/>
          <w:b/>
          <w:bCs/>
          <w:sz w:val="28"/>
          <w:szCs w:val="28"/>
          <w:u w:val="single"/>
        </w:rPr>
      </w:pPr>
      <w:r w:rsidRPr="008F34E3">
        <w:rPr>
          <w:rFonts w:ascii="Times New Roman" w:hAnsi="Times New Roman" w:cs="Times New Roman"/>
          <w:sz w:val="28"/>
          <w:szCs w:val="28"/>
        </w:rPr>
        <w:t xml:space="preserve">Other Organisms: Chlamydia trachomatis; Mycobacterium avium, Mycobacterium leprae; Mycobacterum kansasii; Mycobacterium chelonae; Mycobacterium fortuitum; Mycobacterium intracellulare.  </w:t>
      </w:r>
    </w:p>
    <w:p w14:paraId="0F092D4D" w14:textId="77777777" w:rsidR="00946385" w:rsidRPr="00946385" w:rsidRDefault="003847D8" w:rsidP="00946385">
      <w:pPr>
        <w:pStyle w:val="ListParagraph"/>
        <w:numPr>
          <w:ilvl w:val="1"/>
          <w:numId w:val="12"/>
        </w:numPr>
        <w:spacing w:after="240" w:line="360" w:lineRule="auto"/>
        <w:ind w:left="1434" w:hanging="357"/>
        <w:contextualSpacing w:val="0"/>
        <w:jc w:val="thaiDistribute"/>
        <w:rPr>
          <w:rFonts w:ascii="Times New Roman" w:hAnsi="Times New Roman" w:cs="Times New Roman"/>
          <w:b/>
          <w:bCs/>
          <w:sz w:val="28"/>
          <w:szCs w:val="28"/>
          <w:u w:val="single"/>
        </w:rPr>
      </w:pPr>
      <w:r w:rsidRPr="008F34E3">
        <w:rPr>
          <w:rFonts w:ascii="Times New Roman" w:hAnsi="Times New Roman" w:cs="Times New Roman"/>
          <w:sz w:val="28"/>
          <w:szCs w:val="28"/>
        </w:rPr>
        <w:t xml:space="preserve">Anaerobes: Macrolide-susceptible Bacteroides fragilis, Clostridium perfringens; Peptococcus species; Peptostreptococcus species; Propionibacterium acnes.  </w:t>
      </w:r>
    </w:p>
    <w:p w14:paraId="35F7FE86" w14:textId="77777777" w:rsidR="00946385" w:rsidRDefault="003847D8" w:rsidP="00946385">
      <w:pPr>
        <w:spacing w:line="360" w:lineRule="auto"/>
        <w:ind w:left="1080"/>
        <w:jc w:val="thaiDistribute"/>
        <w:rPr>
          <w:rFonts w:ascii="Times New Roman" w:hAnsi="Times New Roman" w:cs="Times New Roman"/>
          <w:b/>
          <w:bCs/>
          <w:sz w:val="28"/>
          <w:szCs w:val="28"/>
          <w:u w:val="single"/>
        </w:rPr>
      </w:pPr>
      <w:r w:rsidRPr="00946385">
        <w:rPr>
          <w:rFonts w:ascii="Times New Roman" w:hAnsi="Times New Roman" w:cs="Times New Roman"/>
          <w:sz w:val="28"/>
          <w:szCs w:val="28"/>
        </w:rPr>
        <w:t xml:space="preserve">Clarithromycin has bactericidal activity against several bacterial strains. The organisms include Haemophilus influenzae, Streptococcus pneumoniae, Streptococcus pyogenes, Streptococcus agalactiae, Moraxella (Branhamella) catarrhalis, Neisseria gonorrhoeae, H. pylori and Campylobacter spp.  </w:t>
      </w:r>
    </w:p>
    <w:p w14:paraId="6DF9D55A" w14:textId="77777777" w:rsidR="00946385" w:rsidRDefault="003847D8" w:rsidP="00946385">
      <w:pPr>
        <w:spacing w:line="360" w:lineRule="auto"/>
        <w:ind w:firstLine="720"/>
        <w:jc w:val="thaiDistribute"/>
        <w:rPr>
          <w:rFonts w:ascii="Times New Roman" w:hAnsi="Times New Roman" w:cs="Times New Roman"/>
          <w:sz w:val="28"/>
          <w:szCs w:val="28"/>
          <w:u w:val="single"/>
        </w:rPr>
      </w:pPr>
      <w:r w:rsidRPr="00946385">
        <w:rPr>
          <w:rFonts w:ascii="Times New Roman" w:hAnsi="Times New Roman" w:cs="Times New Roman"/>
          <w:sz w:val="28"/>
          <w:szCs w:val="28"/>
          <w:u w:val="single"/>
        </w:rPr>
        <w:t>Breakpoints</w:t>
      </w:r>
    </w:p>
    <w:p w14:paraId="1AC12CC2" w14:textId="6D7CF618" w:rsidR="003847D8" w:rsidRPr="00946385" w:rsidRDefault="003847D8" w:rsidP="00946385">
      <w:pPr>
        <w:spacing w:line="360" w:lineRule="auto"/>
        <w:ind w:left="720"/>
        <w:jc w:val="thaiDistribute"/>
        <w:rPr>
          <w:rFonts w:ascii="Times New Roman" w:hAnsi="Times New Roman" w:cs="Times New Roman"/>
          <w:b/>
          <w:bCs/>
          <w:sz w:val="28"/>
          <w:szCs w:val="28"/>
          <w:u w:val="single"/>
        </w:rPr>
      </w:pPr>
      <w:r w:rsidRPr="003847D8">
        <w:rPr>
          <w:rFonts w:ascii="Times New Roman" w:hAnsi="Times New Roman" w:cs="Times New Roman"/>
          <w:sz w:val="28"/>
          <w:szCs w:val="28"/>
        </w:rPr>
        <w:t xml:space="preserve">The following breakpoints have been established by the European Committee for Antimicrobial Susceptibility Testing (EUCAST).  </w:t>
      </w:r>
    </w:p>
    <w:p w14:paraId="7FDEC94B" w14:textId="77777777" w:rsidR="003847D8" w:rsidRPr="003847D8" w:rsidRDefault="003847D8" w:rsidP="003847D8">
      <w:pPr>
        <w:rPr>
          <w:rFonts w:ascii="Times New Roman" w:hAnsi="Times New Roman" w:cs="Times New Roman"/>
          <w:sz w:val="28"/>
          <w:szCs w:val="28"/>
        </w:rPr>
      </w:pPr>
      <w:r w:rsidRPr="003847D8">
        <w:rPr>
          <w:rFonts w:ascii="Times New Roman" w:hAnsi="Times New Roman" w:cs="Times New Roman"/>
          <w:sz w:val="28"/>
          <w:szCs w:val="28"/>
        </w:rPr>
        <w:t xml:space="preserve">  </w:t>
      </w:r>
    </w:p>
    <w:tbl>
      <w:tblPr>
        <w:tblStyle w:val="TableGrid0"/>
        <w:tblW w:w="7645" w:type="dxa"/>
        <w:jc w:val="center"/>
        <w:tblLook w:val="04A0" w:firstRow="1" w:lastRow="0" w:firstColumn="1" w:lastColumn="0" w:noHBand="0" w:noVBand="1"/>
      </w:tblPr>
      <w:tblGrid>
        <w:gridCol w:w="2624"/>
        <w:gridCol w:w="1987"/>
        <w:gridCol w:w="3034"/>
      </w:tblGrid>
      <w:tr w:rsidR="00946385" w:rsidRPr="00037C22" w14:paraId="0793FAF8" w14:textId="77777777" w:rsidTr="00946385">
        <w:trPr>
          <w:trHeight w:val="515"/>
          <w:jc w:val="center"/>
        </w:trPr>
        <w:tc>
          <w:tcPr>
            <w:tcW w:w="2624" w:type="dxa"/>
          </w:tcPr>
          <w:p w14:paraId="2C14DC9E" w14:textId="77777777" w:rsidR="00946385" w:rsidRPr="00946385" w:rsidRDefault="00946385" w:rsidP="0072182B">
            <w:pPr>
              <w:spacing w:line="259" w:lineRule="auto"/>
              <w:rPr>
                <w:rFonts w:ascii="Times New Roman" w:hAnsi="Times New Roman" w:cs="Times New Roman"/>
                <w:b/>
                <w:bCs/>
                <w:sz w:val="28"/>
                <w:szCs w:val="28"/>
              </w:rPr>
            </w:pPr>
          </w:p>
        </w:tc>
        <w:tc>
          <w:tcPr>
            <w:tcW w:w="5021" w:type="dxa"/>
            <w:gridSpan w:val="2"/>
          </w:tcPr>
          <w:p w14:paraId="376061C8" w14:textId="77777777" w:rsidR="00946385" w:rsidRPr="00946385" w:rsidRDefault="00946385" w:rsidP="0072182B">
            <w:pPr>
              <w:tabs>
                <w:tab w:val="center" w:pos="2690"/>
              </w:tabs>
              <w:spacing w:line="259" w:lineRule="auto"/>
              <w:rPr>
                <w:rFonts w:ascii="Times New Roman" w:hAnsi="Times New Roman" w:cs="Times New Roman"/>
                <w:b/>
                <w:bCs/>
                <w:sz w:val="28"/>
                <w:szCs w:val="28"/>
              </w:rPr>
            </w:pPr>
            <w:r w:rsidRPr="00946385">
              <w:rPr>
                <w:rFonts w:ascii="Times New Roman" w:eastAsia="Times New Roman" w:hAnsi="Times New Roman" w:cs="Times New Roman"/>
                <w:b/>
                <w:bCs/>
                <w:sz w:val="28"/>
                <w:szCs w:val="28"/>
              </w:rPr>
              <w:t xml:space="preserve">Breakpoints (MIC, mg/L)  </w:t>
            </w:r>
            <w:r w:rsidRPr="00946385">
              <w:rPr>
                <w:rFonts w:ascii="Times New Roman" w:hAnsi="Times New Roman" w:cs="Times New Roman"/>
                <w:b/>
                <w:bCs/>
                <w:sz w:val="28"/>
                <w:szCs w:val="28"/>
              </w:rPr>
              <w:t xml:space="preserve"> </w:t>
            </w:r>
            <w:r w:rsidRPr="00946385">
              <w:rPr>
                <w:rFonts w:ascii="Times New Roman" w:hAnsi="Times New Roman" w:cs="Times New Roman"/>
                <w:b/>
                <w:bCs/>
                <w:sz w:val="28"/>
                <w:szCs w:val="28"/>
              </w:rPr>
              <w:tab/>
              <w:t xml:space="preserve"> </w:t>
            </w:r>
          </w:p>
        </w:tc>
      </w:tr>
      <w:tr w:rsidR="00946385" w:rsidRPr="00037C22" w14:paraId="61AA8B46" w14:textId="77777777" w:rsidTr="00946385">
        <w:trPr>
          <w:trHeight w:val="419"/>
          <w:jc w:val="center"/>
        </w:trPr>
        <w:tc>
          <w:tcPr>
            <w:tcW w:w="2624" w:type="dxa"/>
          </w:tcPr>
          <w:p w14:paraId="530FB03E" w14:textId="77777777" w:rsidR="00946385" w:rsidRPr="00946385" w:rsidRDefault="00946385" w:rsidP="0072182B">
            <w:pPr>
              <w:spacing w:line="259" w:lineRule="auto"/>
              <w:ind w:left="106"/>
              <w:rPr>
                <w:rFonts w:ascii="Times New Roman" w:hAnsi="Times New Roman" w:cs="Times New Roman"/>
                <w:b/>
                <w:bCs/>
                <w:sz w:val="28"/>
                <w:szCs w:val="28"/>
              </w:rPr>
            </w:pPr>
            <w:r w:rsidRPr="00946385">
              <w:rPr>
                <w:rFonts w:ascii="Times New Roman" w:eastAsia="Times New Roman" w:hAnsi="Times New Roman" w:cs="Times New Roman"/>
                <w:b/>
                <w:bCs/>
                <w:sz w:val="28"/>
                <w:szCs w:val="28"/>
              </w:rPr>
              <w:t xml:space="preserve">Microorganism  </w:t>
            </w:r>
            <w:r w:rsidRPr="00946385">
              <w:rPr>
                <w:rFonts w:ascii="Times New Roman" w:hAnsi="Times New Roman" w:cs="Times New Roman"/>
                <w:b/>
                <w:bCs/>
                <w:sz w:val="28"/>
                <w:szCs w:val="28"/>
              </w:rPr>
              <w:t xml:space="preserve"> </w:t>
            </w:r>
          </w:p>
        </w:tc>
        <w:tc>
          <w:tcPr>
            <w:tcW w:w="1987" w:type="dxa"/>
          </w:tcPr>
          <w:p w14:paraId="1BE9248D" w14:textId="77777777" w:rsidR="00946385" w:rsidRPr="00946385" w:rsidRDefault="00946385" w:rsidP="00946385">
            <w:pPr>
              <w:spacing w:line="259" w:lineRule="auto"/>
              <w:rPr>
                <w:rFonts w:ascii="Times New Roman" w:hAnsi="Times New Roman" w:cs="Times New Roman"/>
                <w:b/>
                <w:bCs/>
                <w:sz w:val="28"/>
                <w:szCs w:val="28"/>
              </w:rPr>
            </w:pPr>
            <w:r w:rsidRPr="00946385">
              <w:rPr>
                <w:rFonts w:ascii="Times New Roman" w:eastAsia="Times New Roman" w:hAnsi="Times New Roman" w:cs="Times New Roman"/>
                <w:b/>
                <w:bCs/>
                <w:sz w:val="28"/>
                <w:szCs w:val="28"/>
              </w:rPr>
              <w:t>Susceptible (</w:t>
            </w:r>
            <w:r w:rsidRPr="00946385">
              <w:rPr>
                <w:rFonts w:ascii="Times New Roman" w:eastAsia="Calibri" w:hAnsi="Times New Roman" w:cs="Times New Roman"/>
                <w:b/>
                <w:bCs/>
                <w:sz w:val="28"/>
                <w:szCs w:val="28"/>
              </w:rPr>
              <w:t>≤</w:t>
            </w:r>
            <w:r w:rsidRPr="00946385">
              <w:rPr>
                <w:rFonts w:ascii="Times New Roman" w:eastAsia="Times New Roman" w:hAnsi="Times New Roman" w:cs="Times New Roman"/>
                <w:b/>
                <w:bCs/>
                <w:sz w:val="28"/>
                <w:szCs w:val="28"/>
              </w:rPr>
              <w:t xml:space="preserve">)  </w:t>
            </w:r>
            <w:r w:rsidRPr="00946385">
              <w:rPr>
                <w:rFonts w:ascii="Times New Roman" w:hAnsi="Times New Roman" w:cs="Times New Roman"/>
                <w:b/>
                <w:bCs/>
                <w:sz w:val="28"/>
                <w:szCs w:val="28"/>
              </w:rPr>
              <w:t xml:space="preserve"> </w:t>
            </w:r>
          </w:p>
        </w:tc>
        <w:tc>
          <w:tcPr>
            <w:tcW w:w="3034" w:type="dxa"/>
          </w:tcPr>
          <w:p w14:paraId="5A2BE985" w14:textId="77777777" w:rsidR="00946385" w:rsidRPr="00946385" w:rsidRDefault="00946385" w:rsidP="0072182B">
            <w:pPr>
              <w:spacing w:line="259" w:lineRule="auto"/>
              <w:ind w:left="83"/>
              <w:jc w:val="center"/>
              <w:rPr>
                <w:rFonts w:ascii="Times New Roman" w:hAnsi="Times New Roman" w:cs="Times New Roman"/>
                <w:b/>
                <w:bCs/>
                <w:sz w:val="28"/>
                <w:szCs w:val="28"/>
              </w:rPr>
            </w:pPr>
            <w:r w:rsidRPr="00946385">
              <w:rPr>
                <w:rFonts w:ascii="Times New Roman" w:eastAsia="Times New Roman" w:hAnsi="Times New Roman" w:cs="Times New Roman"/>
                <w:b/>
                <w:bCs/>
                <w:sz w:val="28"/>
                <w:szCs w:val="28"/>
              </w:rPr>
              <w:t xml:space="preserve">Resistant (&gt;)  </w:t>
            </w:r>
            <w:r w:rsidRPr="00946385">
              <w:rPr>
                <w:rFonts w:ascii="Times New Roman" w:hAnsi="Times New Roman" w:cs="Times New Roman"/>
                <w:b/>
                <w:bCs/>
                <w:sz w:val="28"/>
                <w:szCs w:val="28"/>
              </w:rPr>
              <w:t xml:space="preserve"> </w:t>
            </w:r>
          </w:p>
        </w:tc>
      </w:tr>
      <w:tr w:rsidR="00946385" w:rsidRPr="00037C22" w14:paraId="4FF4B6B1" w14:textId="77777777" w:rsidTr="00946385">
        <w:trPr>
          <w:trHeight w:val="397"/>
          <w:jc w:val="center"/>
        </w:trPr>
        <w:tc>
          <w:tcPr>
            <w:tcW w:w="2624" w:type="dxa"/>
          </w:tcPr>
          <w:p w14:paraId="66ADF536" w14:textId="77777777" w:rsidR="00946385" w:rsidRPr="00037C22" w:rsidRDefault="00946385" w:rsidP="0072182B">
            <w:pPr>
              <w:spacing w:line="259" w:lineRule="auto"/>
              <w:ind w:left="106"/>
              <w:rPr>
                <w:rFonts w:ascii="Times New Roman" w:hAnsi="Times New Roman" w:cs="Times New Roman"/>
                <w:sz w:val="28"/>
                <w:szCs w:val="28"/>
              </w:rPr>
            </w:pPr>
            <w:r w:rsidRPr="00037C22">
              <w:rPr>
                <w:rFonts w:ascii="Times New Roman" w:eastAsia="Times New Roman" w:hAnsi="Times New Roman" w:cs="Times New Roman"/>
                <w:i/>
                <w:sz w:val="28"/>
                <w:szCs w:val="28"/>
              </w:rPr>
              <w:t xml:space="preserve">Staphylococcus spp. </w:t>
            </w:r>
            <w:r w:rsidRPr="00037C22">
              <w:rPr>
                <w:rFonts w:ascii="Times New Roman" w:eastAsia="Times New Roman" w:hAnsi="Times New Roman" w:cs="Times New Roman"/>
                <w:sz w:val="28"/>
                <w:szCs w:val="28"/>
              </w:rPr>
              <w:t xml:space="preserve"> </w:t>
            </w:r>
            <w:r w:rsidRPr="00037C22">
              <w:rPr>
                <w:rFonts w:ascii="Times New Roman" w:hAnsi="Times New Roman" w:cs="Times New Roman"/>
                <w:sz w:val="28"/>
                <w:szCs w:val="28"/>
              </w:rPr>
              <w:t xml:space="preserve"> </w:t>
            </w:r>
          </w:p>
        </w:tc>
        <w:tc>
          <w:tcPr>
            <w:tcW w:w="1987" w:type="dxa"/>
          </w:tcPr>
          <w:p w14:paraId="3AA51154" w14:textId="77777777" w:rsidR="00946385" w:rsidRPr="00037C22" w:rsidRDefault="00946385" w:rsidP="0072182B">
            <w:pPr>
              <w:spacing w:line="259" w:lineRule="auto"/>
              <w:ind w:left="87"/>
              <w:jc w:val="center"/>
              <w:rPr>
                <w:rFonts w:ascii="Times New Roman" w:hAnsi="Times New Roman" w:cs="Times New Roman"/>
                <w:sz w:val="28"/>
                <w:szCs w:val="28"/>
              </w:rPr>
            </w:pPr>
            <w:r w:rsidRPr="00037C22">
              <w:rPr>
                <w:rFonts w:ascii="Times New Roman" w:eastAsia="Times New Roman" w:hAnsi="Times New Roman" w:cs="Times New Roman"/>
                <w:sz w:val="28"/>
                <w:szCs w:val="28"/>
              </w:rPr>
              <w:t xml:space="preserve">1 mg/L  </w:t>
            </w:r>
            <w:r w:rsidRPr="00037C22">
              <w:rPr>
                <w:rFonts w:ascii="Times New Roman" w:hAnsi="Times New Roman" w:cs="Times New Roman"/>
                <w:sz w:val="28"/>
                <w:szCs w:val="28"/>
              </w:rPr>
              <w:t xml:space="preserve"> </w:t>
            </w:r>
          </w:p>
        </w:tc>
        <w:tc>
          <w:tcPr>
            <w:tcW w:w="3034" w:type="dxa"/>
          </w:tcPr>
          <w:p w14:paraId="69968EE4" w14:textId="77777777" w:rsidR="00946385" w:rsidRPr="00037C22" w:rsidRDefault="00946385" w:rsidP="0072182B">
            <w:pPr>
              <w:spacing w:line="259" w:lineRule="auto"/>
              <w:ind w:left="92"/>
              <w:jc w:val="center"/>
              <w:rPr>
                <w:rFonts w:ascii="Times New Roman" w:hAnsi="Times New Roman" w:cs="Times New Roman"/>
                <w:sz w:val="28"/>
                <w:szCs w:val="28"/>
              </w:rPr>
            </w:pPr>
            <w:r w:rsidRPr="00037C22">
              <w:rPr>
                <w:rFonts w:ascii="Times New Roman" w:eastAsia="Times New Roman" w:hAnsi="Times New Roman" w:cs="Times New Roman"/>
                <w:sz w:val="28"/>
                <w:szCs w:val="28"/>
              </w:rPr>
              <w:t xml:space="preserve">2 mg/L  </w:t>
            </w:r>
            <w:r w:rsidRPr="00037C22">
              <w:rPr>
                <w:rFonts w:ascii="Times New Roman" w:hAnsi="Times New Roman" w:cs="Times New Roman"/>
                <w:sz w:val="28"/>
                <w:szCs w:val="28"/>
              </w:rPr>
              <w:t xml:space="preserve"> </w:t>
            </w:r>
          </w:p>
        </w:tc>
      </w:tr>
      <w:tr w:rsidR="00946385" w:rsidRPr="00037C22" w14:paraId="331EE52E" w14:textId="77777777" w:rsidTr="00946385">
        <w:trPr>
          <w:trHeight w:val="686"/>
          <w:jc w:val="center"/>
        </w:trPr>
        <w:tc>
          <w:tcPr>
            <w:tcW w:w="2624" w:type="dxa"/>
          </w:tcPr>
          <w:p w14:paraId="7A11736C" w14:textId="77777777" w:rsidR="00946385" w:rsidRPr="00037C22" w:rsidRDefault="00946385" w:rsidP="0072182B">
            <w:pPr>
              <w:spacing w:line="259" w:lineRule="auto"/>
              <w:ind w:left="106"/>
              <w:rPr>
                <w:rFonts w:ascii="Times New Roman" w:hAnsi="Times New Roman" w:cs="Times New Roman"/>
                <w:sz w:val="28"/>
                <w:szCs w:val="28"/>
              </w:rPr>
            </w:pPr>
            <w:r w:rsidRPr="00037C22">
              <w:rPr>
                <w:rFonts w:ascii="Times New Roman" w:eastAsia="Times New Roman" w:hAnsi="Times New Roman" w:cs="Times New Roman"/>
                <w:i/>
                <w:sz w:val="28"/>
                <w:szCs w:val="28"/>
              </w:rPr>
              <w:t xml:space="preserve">Streptococcus A, B, C and G </w:t>
            </w:r>
            <w:r w:rsidRPr="00037C22">
              <w:rPr>
                <w:rFonts w:ascii="Times New Roman" w:hAnsi="Times New Roman" w:cs="Times New Roman"/>
                <w:sz w:val="28"/>
                <w:szCs w:val="28"/>
              </w:rPr>
              <w:t xml:space="preserve"> </w:t>
            </w:r>
          </w:p>
        </w:tc>
        <w:tc>
          <w:tcPr>
            <w:tcW w:w="1987" w:type="dxa"/>
          </w:tcPr>
          <w:p w14:paraId="0A85EF3F" w14:textId="77777777" w:rsidR="00946385" w:rsidRPr="00037C22" w:rsidRDefault="00946385" w:rsidP="0072182B">
            <w:pPr>
              <w:spacing w:line="259" w:lineRule="auto"/>
              <w:ind w:left="90"/>
              <w:jc w:val="center"/>
              <w:rPr>
                <w:rFonts w:ascii="Times New Roman" w:hAnsi="Times New Roman" w:cs="Times New Roman"/>
                <w:sz w:val="28"/>
                <w:szCs w:val="28"/>
              </w:rPr>
            </w:pPr>
            <w:r w:rsidRPr="00037C22">
              <w:rPr>
                <w:rFonts w:ascii="Times New Roman" w:eastAsia="Times New Roman" w:hAnsi="Times New Roman" w:cs="Times New Roman"/>
                <w:sz w:val="28"/>
                <w:szCs w:val="28"/>
              </w:rPr>
              <w:t xml:space="preserve">0.25 mg/L </w:t>
            </w:r>
            <w:r w:rsidRPr="00037C22">
              <w:rPr>
                <w:rFonts w:ascii="Times New Roman" w:hAnsi="Times New Roman" w:cs="Times New Roman"/>
                <w:sz w:val="28"/>
                <w:szCs w:val="28"/>
              </w:rPr>
              <w:t xml:space="preserve"> </w:t>
            </w:r>
          </w:p>
        </w:tc>
        <w:tc>
          <w:tcPr>
            <w:tcW w:w="3034" w:type="dxa"/>
          </w:tcPr>
          <w:p w14:paraId="4F3804D9" w14:textId="77777777" w:rsidR="00946385" w:rsidRPr="00037C22" w:rsidRDefault="00946385" w:rsidP="0072182B">
            <w:pPr>
              <w:spacing w:line="259" w:lineRule="auto"/>
              <w:ind w:left="95"/>
              <w:jc w:val="center"/>
              <w:rPr>
                <w:rFonts w:ascii="Times New Roman" w:hAnsi="Times New Roman" w:cs="Times New Roman"/>
                <w:sz w:val="28"/>
                <w:szCs w:val="28"/>
              </w:rPr>
            </w:pPr>
            <w:r w:rsidRPr="00037C22">
              <w:rPr>
                <w:rFonts w:ascii="Times New Roman" w:eastAsia="Times New Roman" w:hAnsi="Times New Roman" w:cs="Times New Roman"/>
                <w:sz w:val="28"/>
                <w:szCs w:val="28"/>
              </w:rPr>
              <w:t xml:space="preserve">0.5 mg/L </w:t>
            </w:r>
            <w:r w:rsidRPr="00037C22">
              <w:rPr>
                <w:rFonts w:ascii="Times New Roman" w:hAnsi="Times New Roman" w:cs="Times New Roman"/>
                <w:sz w:val="28"/>
                <w:szCs w:val="28"/>
              </w:rPr>
              <w:t xml:space="preserve"> </w:t>
            </w:r>
          </w:p>
        </w:tc>
      </w:tr>
      <w:tr w:rsidR="00946385" w:rsidRPr="00037C22" w14:paraId="73F14D42" w14:textId="77777777" w:rsidTr="00946385">
        <w:trPr>
          <w:trHeight w:val="686"/>
          <w:jc w:val="center"/>
        </w:trPr>
        <w:tc>
          <w:tcPr>
            <w:tcW w:w="2624" w:type="dxa"/>
          </w:tcPr>
          <w:p w14:paraId="434AE236" w14:textId="77777777" w:rsidR="00946385" w:rsidRPr="00037C22" w:rsidRDefault="00946385" w:rsidP="0072182B">
            <w:pPr>
              <w:spacing w:line="259" w:lineRule="auto"/>
              <w:ind w:left="106"/>
              <w:rPr>
                <w:rFonts w:ascii="Times New Roman" w:hAnsi="Times New Roman" w:cs="Times New Roman"/>
                <w:sz w:val="28"/>
                <w:szCs w:val="28"/>
              </w:rPr>
            </w:pPr>
            <w:r w:rsidRPr="00037C22">
              <w:rPr>
                <w:rFonts w:ascii="Times New Roman" w:eastAsia="Times New Roman" w:hAnsi="Times New Roman" w:cs="Times New Roman"/>
                <w:i/>
                <w:sz w:val="28"/>
                <w:szCs w:val="28"/>
              </w:rPr>
              <w:t xml:space="preserve">Streptococcus pneumonia </w:t>
            </w:r>
            <w:r w:rsidRPr="00037C22">
              <w:rPr>
                <w:rFonts w:ascii="Times New Roman" w:hAnsi="Times New Roman" w:cs="Times New Roman"/>
                <w:sz w:val="28"/>
                <w:szCs w:val="28"/>
              </w:rPr>
              <w:t xml:space="preserve"> </w:t>
            </w:r>
          </w:p>
        </w:tc>
        <w:tc>
          <w:tcPr>
            <w:tcW w:w="1987" w:type="dxa"/>
          </w:tcPr>
          <w:p w14:paraId="2AD51CEB" w14:textId="77777777" w:rsidR="00946385" w:rsidRPr="00037C22" w:rsidRDefault="00946385" w:rsidP="0072182B">
            <w:pPr>
              <w:spacing w:line="259" w:lineRule="auto"/>
              <w:ind w:left="90"/>
              <w:jc w:val="center"/>
              <w:rPr>
                <w:rFonts w:ascii="Times New Roman" w:hAnsi="Times New Roman" w:cs="Times New Roman"/>
                <w:sz w:val="28"/>
                <w:szCs w:val="28"/>
              </w:rPr>
            </w:pPr>
            <w:r w:rsidRPr="00037C22">
              <w:rPr>
                <w:rFonts w:ascii="Times New Roman" w:eastAsia="Times New Roman" w:hAnsi="Times New Roman" w:cs="Times New Roman"/>
                <w:sz w:val="28"/>
                <w:szCs w:val="28"/>
              </w:rPr>
              <w:t xml:space="preserve">0.25 mg/L </w:t>
            </w:r>
            <w:r w:rsidRPr="00037C22">
              <w:rPr>
                <w:rFonts w:ascii="Times New Roman" w:hAnsi="Times New Roman" w:cs="Times New Roman"/>
                <w:sz w:val="28"/>
                <w:szCs w:val="28"/>
              </w:rPr>
              <w:t xml:space="preserve"> </w:t>
            </w:r>
          </w:p>
        </w:tc>
        <w:tc>
          <w:tcPr>
            <w:tcW w:w="3034" w:type="dxa"/>
          </w:tcPr>
          <w:p w14:paraId="4CC31B0B" w14:textId="77777777" w:rsidR="00946385" w:rsidRPr="00037C22" w:rsidRDefault="00946385" w:rsidP="0072182B">
            <w:pPr>
              <w:spacing w:line="259" w:lineRule="auto"/>
              <w:ind w:left="95"/>
              <w:jc w:val="center"/>
              <w:rPr>
                <w:rFonts w:ascii="Times New Roman" w:hAnsi="Times New Roman" w:cs="Times New Roman"/>
                <w:sz w:val="28"/>
                <w:szCs w:val="28"/>
              </w:rPr>
            </w:pPr>
            <w:r w:rsidRPr="00037C22">
              <w:rPr>
                <w:rFonts w:ascii="Times New Roman" w:eastAsia="Times New Roman" w:hAnsi="Times New Roman" w:cs="Times New Roman"/>
                <w:sz w:val="28"/>
                <w:szCs w:val="28"/>
              </w:rPr>
              <w:t xml:space="preserve">0.5 mg/L </w:t>
            </w:r>
            <w:r w:rsidRPr="00037C22">
              <w:rPr>
                <w:rFonts w:ascii="Times New Roman" w:hAnsi="Times New Roman" w:cs="Times New Roman"/>
                <w:sz w:val="28"/>
                <w:szCs w:val="28"/>
              </w:rPr>
              <w:t xml:space="preserve"> </w:t>
            </w:r>
          </w:p>
        </w:tc>
      </w:tr>
      <w:tr w:rsidR="00946385" w:rsidRPr="00037C22" w14:paraId="17E2848E" w14:textId="77777777" w:rsidTr="00946385">
        <w:trPr>
          <w:trHeight w:val="682"/>
          <w:jc w:val="center"/>
        </w:trPr>
        <w:tc>
          <w:tcPr>
            <w:tcW w:w="2624" w:type="dxa"/>
          </w:tcPr>
          <w:p w14:paraId="0B2DDC22" w14:textId="77777777" w:rsidR="00946385" w:rsidRPr="00037C22" w:rsidRDefault="00946385" w:rsidP="0072182B">
            <w:pPr>
              <w:spacing w:line="259" w:lineRule="auto"/>
              <w:ind w:left="106"/>
              <w:rPr>
                <w:rFonts w:ascii="Times New Roman" w:hAnsi="Times New Roman" w:cs="Times New Roman"/>
                <w:sz w:val="28"/>
                <w:szCs w:val="28"/>
              </w:rPr>
            </w:pPr>
            <w:r w:rsidRPr="00037C22">
              <w:rPr>
                <w:rFonts w:ascii="Times New Roman" w:eastAsia="Times New Roman" w:hAnsi="Times New Roman" w:cs="Times New Roman"/>
                <w:i/>
                <w:sz w:val="28"/>
                <w:szCs w:val="28"/>
              </w:rPr>
              <w:t xml:space="preserve">Viridans group streptococcus </w:t>
            </w:r>
            <w:r w:rsidRPr="00037C22">
              <w:rPr>
                <w:rFonts w:ascii="Times New Roman" w:hAnsi="Times New Roman" w:cs="Times New Roman"/>
                <w:sz w:val="28"/>
                <w:szCs w:val="28"/>
              </w:rPr>
              <w:t xml:space="preserve"> </w:t>
            </w:r>
          </w:p>
        </w:tc>
        <w:tc>
          <w:tcPr>
            <w:tcW w:w="1987" w:type="dxa"/>
          </w:tcPr>
          <w:p w14:paraId="7962C144" w14:textId="77777777" w:rsidR="00946385" w:rsidRPr="00037C22" w:rsidRDefault="00946385" w:rsidP="0072182B">
            <w:pPr>
              <w:spacing w:line="259" w:lineRule="auto"/>
              <w:ind w:left="76"/>
              <w:jc w:val="center"/>
              <w:rPr>
                <w:rFonts w:ascii="Times New Roman" w:hAnsi="Times New Roman" w:cs="Times New Roman"/>
                <w:sz w:val="28"/>
                <w:szCs w:val="28"/>
              </w:rPr>
            </w:pPr>
            <w:r w:rsidRPr="00037C22">
              <w:rPr>
                <w:rFonts w:ascii="Times New Roman" w:eastAsia="Times New Roman" w:hAnsi="Times New Roman" w:cs="Times New Roman"/>
                <w:sz w:val="28"/>
                <w:szCs w:val="28"/>
              </w:rPr>
              <w:t xml:space="preserve">IE </w:t>
            </w:r>
            <w:r w:rsidRPr="00037C22">
              <w:rPr>
                <w:rFonts w:ascii="Times New Roman" w:hAnsi="Times New Roman" w:cs="Times New Roman"/>
                <w:sz w:val="28"/>
                <w:szCs w:val="28"/>
              </w:rPr>
              <w:t xml:space="preserve"> </w:t>
            </w:r>
          </w:p>
        </w:tc>
        <w:tc>
          <w:tcPr>
            <w:tcW w:w="3034" w:type="dxa"/>
          </w:tcPr>
          <w:p w14:paraId="5C9D4164" w14:textId="77777777" w:rsidR="00946385" w:rsidRPr="00037C22" w:rsidRDefault="00946385" w:rsidP="0072182B">
            <w:pPr>
              <w:spacing w:line="259" w:lineRule="auto"/>
              <w:ind w:left="81"/>
              <w:jc w:val="center"/>
              <w:rPr>
                <w:rFonts w:ascii="Times New Roman" w:hAnsi="Times New Roman" w:cs="Times New Roman"/>
                <w:sz w:val="28"/>
                <w:szCs w:val="28"/>
              </w:rPr>
            </w:pPr>
            <w:r w:rsidRPr="00037C22">
              <w:rPr>
                <w:rFonts w:ascii="Times New Roman" w:eastAsia="Times New Roman" w:hAnsi="Times New Roman" w:cs="Times New Roman"/>
                <w:sz w:val="28"/>
                <w:szCs w:val="28"/>
              </w:rPr>
              <w:t xml:space="preserve">IE </w:t>
            </w:r>
            <w:r w:rsidRPr="00037C22">
              <w:rPr>
                <w:rFonts w:ascii="Times New Roman" w:hAnsi="Times New Roman" w:cs="Times New Roman"/>
                <w:sz w:val="28"/>
                <w:szCs w:val="28"/>
              </w:rPr>
              <w:t xml:space="preserve"> </w:t>
            </w:r>
          </w:p>
        </w:tc>
      </w:tr>
      <w:tr w:rsidR="00946385" w:rsidRPr="00037C22" w14:paraId="412DCF69" w14:textId="77777777" w:rsidTr="00946385">
        <w:trPr>
          <w:trHeight w:val="389"/>
          <w:jc w:val="center"/>
        </w:trPr>
        <w:tc>
          <w:tcPr>
            <w:tcW w:w="2624" w:type="dxa"/>
          </w:tcPr>
          <w:p w14:paraId="6803EC4A" w14:textId="77777777" w:rsidR="00946385" w:rsidRPr="00037C22" w:rsidRDefault="00946385" w:rsidP="0072182B">
            <w:pPr>
              <w:spacing w:line="259" w:lineRule="auto"/>
              <w:ind w:left="106"/>
              <w:rPr>
                <w:rFonts w:ascii="Times New Roman" w:hAnsi="Times New Roman" w:cs="Times New Roman"/>
                <w:sz w:val="28"/>
                <w:szCs w:val="28"/>
              </w:rPr>
            </w:pPr>
            <w:r w:rsidRPr="00037C22">
              <w:rPr>
                <w:rFonts w:ascii="Times New Roman" w:eastAsia="Times New Roman" w:hAnsi="Times New Roman" w:cs="Times New Roman"/>
                <w:i/>
                <w:sz w:val="28"/>
                <w:szCs w:val="28"/>
              </w:rPr>
              <w:t xml:space="preserve">Haemophilus spp. </w:t>
            </w:r>
            <w:r w:rsidRPr="00037C22">
              <w:rPr>
                <w:rFonts w:ascii="Times New Roman" w:eastAsia="Times New Roman" w:hAnsi="Times New Roman" w:cs="Times New Roman"/>
                <w:sz w:val="28"/>
                <w:szCs w:val="28"/>
              </w:rPr>
              <w:t xml:space="preserve"> </w:t>
            </w:r>
            <w:r w:rsidRPr="00037C22">
              <w:rPr>
                <w:rFonts w:ascii="Times New Roman" w:hAnsi="Times New Roman" w:cs="Times New Roman"/>
                <w:sz w:val="28"/>
                <w:szCs w:val="28"/>
              </w:rPr>
              <w:t xml:space="preserve"> </w:t>
            </w:r>
          </w:p>
        </w:tc>
        <w:tc>
          <w:tcPr>
            <w:tcW w:w="1987" w:type="dxa"/>
          </w:tcPr>
          <w:p w14:paraId="798CAF44" w14:textId="77777777" w:rsidR="00946385" w:rsidRPr="00037C22" w:rsidRDefault="00946385" w:rsidP="0072182B">
            <w:pPr>
              <w:spacing w:line="259" w:lineRule="auto"/>
              <w:ind w:left="87"/>
              <w:jc w:val="center"/>
              <w:rPr>
                <w:rFonts w:ascii="Times New Roman" w:hAnsi="Times New Roman" w:cs="Times New Roman"/>
                <w:sz w:val="28"/>
                <w:szCs w:val="28"/>
              </w:rPr>
            </w:pPr>
            <w:r w:rsidRPr="00037C22">
              <w:rPr>
                <w:rFonts w:ascii="Times New Roman" w:eastAsia="Times New Roman" w:hAnsi="Times New Roman" w:cs="Times New Roman"/>
                <w:sz w:val="28"/>
                <w:szCs w:val="28"/>
              </w:rPr>
              <w:t xml:space="preserve">1 mg/L  </w:t>
            </w:r>
            <w:r w:rsidRPr="00037C22">
              <w:rPr>
                <w:rFonts w:ascii="Times New Roman" w:hAnsi="Times New Roman" w:cs="Times New Roman"/>
                <w:sz w:val="28"/>
                <w:szCs w:val="28"/>
              </w:rPr>
              <w:t xml:space="preserve"> </w:t>
            </w:r>
          </w:p>
        </w:tc>
        <w:tc>
          <w:tcPr>
            <w:tcW w:w="3034" w:type="dxa"/>
          </w:tcPr>
          <w:p w14:paraId="252CC27C" w14:textId="77777777" w:rsidR="00946385" w:rsidRPr="00037C22" w:rsidRDefault="00946385" w:rsidP="0072182B">
            <w:pPr>
              <w:spacing w:line="259" w:lineRule="auto"/>
              <w:ind w:left="92"/>
              <w:jc w:val="center"/>
              <w:rPr>
                <w:rFonts w:ascii="Times New Roman" w:hAnsi="Times New Roman" w:cs="Times New Roman"/>
                <w:sz w:val="28"/>
                <w:szCs w:val="28"/>
              </w:rPr>
            </w:pPr>
            <w:r w:rsidRPr="00037C22">
              <w:rPr>
                <w:rFonts w:ascii="Times New Roman" w:eastAsia="Times New Roman" w:hAnsi="Times New Roman" w:cs="Times New Roman"/>
                <w:sz w:val="28"/>
                <w:szCs w:val="28"/>
              </w:rPr>
              <w:t xml:space="preserve">32 mg/L  </w:t>
            </w:r>
            <w:r w:rsidRPr="00037C22">
              <w:rPr>
                <w:rFonts w:ascii="Times New Roman" w:hAnsi="Times New Roman" w:cs="Times New Roman"/>
                <w:sz w:val="28"/>
                <w:szCs w:val="28"/>
              </w:rPr>
              <w:t xml:space="preserve"> </w:t>
            </w:r>
          </w:p>
        </w:tc>
      </w:tr>
      <w:tr w:rsidR="00946385" w:rsidRPr="00037C22" w14:paraId="57C4BB90" w14:textId="77777777" w:rsidTr="00946385">
        <w:trPr>
          <w:trHeight w:val="682"/>
          <w:jc w:val="center"/>
        </w:trPr>
        <w:tc>
          <w:tcPr>
            <w:tcW w:w="2624" w:type="dxa"/>
          </w:tcPr>
          <w:p w14:paraId="157ACA1C" w14:textId="77777777" w:rsidR="00946385" w:rsidRPr="00037C22" w:rsidRDefault="00946385" w:rsidP="0072182B">
            <w:pPr>
              <w:spacing w:line="259" w:lineRule="auto"/>
              <w:ind w:left="106" w:right="24"/>
              <w:rPr>
                <w:rFonts w:ascii="Times New Roman" w:hAnsi="Times New Roman" w:cs="Times New Roman"/>
                <w:sz w:val="28"/>
                <w:szCs w:val="28"/>
              </w:rPr>
            </w:pPr>
            <w:r w:rsidRPr="00037C22">
              <w:rPr>
                <w:rFonts w:ascii="Times New Roman" w:eastAsia="Times New Roman" w:hAnsi="Times New Roman" w:cs="Times New Roman"/>
                <w:i/>
                <w:sz w:val="28"/>
                <w:szCs w:val="28"/>
              </w:rPr>
              <w:t xml:space="preserve">Moraxella catarrhalis </w:t>
            </w:r>
            <w:r w:rsidRPr="00037C22">
              <w:rPr>
                <w:rFonts w:ascii="Times New Roman" w:eastAsia="Times New Roman" w:hAnsi="Times New Roman" w:cs="Times New Roman"/>
                <w:sz w:val="28"/>
                <w:szCs w:val="28"/>
              </w:rPr>
              <w:t xml:space="preserve"> </w:t>
            </w:r>
            <w:r w:rsidRPr="00037C22">
              <w:rPr>
                <w:rFonts w:ascii="Times New Roman" w:hAnsi="Times New Roman" w:cs="Times New Roman"/>
                <w:sz w:val="28"/>
                <w:szCs w:val="28"/>
              </w:rPr>
              <w:t xml:space="preserve"> </w:t>
            </w:r>
          </w:p>
        </w:tc>
        <w:tc>
          <w:tcPr>
            <w:tcW w:w="1987" w:type="dxa"/>
          </w:tcPr>
          <w:p w14:paraId="22A85B48" w14:textId="77777777" w:rsidR="00946385" w:rsidRPr="00037C22" w:rsidRDefault="00946385" w:rsidP="0072182B">
            <w:pPr>
              <w:spacing w:line="259" w:lineRule="auto"/>
              <w:ind w:left="90"/>
              <w:jc w:val="center"/>
              <w:rPr>
                <w:rFonts w:ascii="Times New Roman" w:hAnsi="Times New Roman" w:cs="Times New Roman"/>
                <w:sz w:val="28"/>
                <w:szCs w:val="28"/>
              </w:rPr>
            </w:pPr>
            <w:r w:rsidRPr="00037C22">
              <w:rPr>
                <w:rFonts w:ascii="Times New Roman" w:eastAsia="Times New Roman" w:hAnsi="Times New Roman" w:cs="Times New Roman"/>
                <w:sz w:val="28"/>
                <w:szCs w:val="28"/>
              </w:rPr>
              <w:t xml:space="preserve">0.25 mg/L  </w:t>
            </w:r>
            <w:r w:rsidRPr="00037C22">
              <w:rPr>
                <w:rFonts w:ascii="Times New Roman" w:hAnsi="Times New Roman" w:cs="Times New Roman"/>
                <w:sz w:val="28"/>
                <w:szCs w:val="28"/>
              </w:rPr>
              <w:t xml:space="preserve"> </w:t>
            </w:r>
          </w:p>
        </w:tc>
        <w:tc>
          <w:tcPr>
            <w:tcW w:w="3034" w:type="dxa"/>
          </w:tcPr>
          <w:p w14:paraId="2FC29B18" w14:textId="77777777" w:rsidR="00946385" w:rsidRPr="00037C22" w:rsidRDefault="00946385" w:rsidP="0072182B">
            <w:pPr>
              <w:spacing w:line="259" w:lineRule="auto"/>
              <w:ind w:left="78"/>
              <w:jc w:val="center"/>
              <w:rPr>
                <w:rFonts w:ascii="Times New Roman" w:hAnsi="Times New Roman" w:cs="Times New Roman"/>
                <w:sz w:val="28"/>
                <w:szCs w:val="28"/>
              </w:rPr>
            </w:pPr>
            <w:r w:rsidRPr="00037C22">
              <w:rPr>
                <w:rFonts w:ascii="Times New Roman" w:eastAsia="Times New Roman" w:hAnsi="Times New Roman" w:cs="Times New Roman"/>
                <w:sz w:val="28"/>
                <w:szCs w:val="28"/>
              </w:rPr>
              <w:t xml:space="preserve">0.5 mg/L </w:t>
            </w:r>
            <w:r w:rsidRPr="00037C22">
              <w:rPr>
                <w:rFonts w:ascii="Times New Roman" w:eastAsia="Times New Roman" w:hAnsi="Times New Roman" w:cs="Times New Roman"/>
                <w:sz w:val="28"/>
                <w:szCs w:val="28"/>
                <w:vertAlign w:val="superscript"/>
              </w:rPr>
              <w:t>1</w:t>
            </w:r>
            <w:r w:rsidRPr="00037C22">
              <w:rPr>
                <w:rFonts w:ascii="Times New Roman" w:eastAsia="Times New Roman" w:hAnsi="Times New Roman" w:cs="Times New Roman"/>
                <w:sz w:val="28"/>
                <w:szCs w:val="28"/>
              </w:rPr>
              <w:t xml:space="preserve"> </w:t>
            </w:r>
            <w:r w:rsidRPr="00037C22">
              <w:rPr>
                <w:rFonts w:ascii="Times New Roman" w:hAnsi="Times New Roman" w:cs="Times New Roman"/>
                <w:sz w:val="28"/>
                <w:szCs w:val="28"/>
              </w:rPr>
              <w:t xml:space="preserve"> </w:t>
            </w:r>
          </w:p>
        </w:tc>
      </w:tr>
      <w:tr w:rsidR="00946385" w:rsidRPr="00037C22" w14:paraId="40F38FED" w14:textId="77777777" w:rsidTr="00946385">
        <w:trPr>
          <w:trHeight w:val="389"/>
          <w:jc w:val="center"/>
        </w:trPr>
        <w:tc>
          <w:tcPr>
            <w:tcW w:w="2624" w:type="dxa"/>
          </w:tcPr>
          <w:p w14:paraId="315C66F8" w14:textId="77777777" w:rsidR="00946385" w:rsidRPr="00037C22" w:rsidRDefault="00946385" w:rsidP="0072182B">
            <w:pPr>
              <w:spacing w:line="259" w:lineRule="auto"/>
              <w:ind w:left="106"/>
              <w:rPr>
                <w:rFonts w:ascii="Times New Roman" w:hAnsi="Times New Roman" w:cs="Times New Roman"/>
                <w:sz w:val="28"/>
                <w:szCs w:val="28"/>
              </w:rPr>
            </w:pPr>
            <w:r w:rsidRPr="00037C22">
              <w:rPr>
                <w:rFonts w:ascii="Times New Roman" w:eastAsia="Times New Roman" w:hAnsi="Times New Roman" w:cs="Times New Roman"/>
                <w:i/>
                <w:sz w:val="28"/>
                <w:szCs w:val="28"/>
              </w:rPr>
              <w:t xml:space="preserve">Helicobacter pylori </w:t>
            </w:r>
            <w:r w:rsidRPr="00037C22">
              <w:rPr>
                <w:rFonts w:ascii="Times New Roman" w:hAnsi="Times New Roman" w:cs="Times New Roman"/>
                <w:sz w:val="28"/>
                <w:szCs w:val="28"/>
              </w:rPr>
              <w:t xml:space="preserve"> </w:t>
            </w:r>
          </w:p>
        </w:tc>
        <w:tc>
          <w:tcPr>
            <w:tcW w:w="1987" w:type="dxa"/>
          </w:tcPr>
          <w:p w14:paraId="40E701E6" w14:textId="77777777" w:rsidR="00946385" w:rsidRPr="00037C22" w:rsidRDefault="00946385" w:rsidP="0072182B">
            <w:pPr>
              <w:spacing w:line="259" w:lineRule="auto"/>
              <w:ind w:left="74"/>
              <w:jc w:val="center"/>
              <w:rPr>
                <w:rFonts w:ascii="Times New Roman" w:hAnsi="Times New Roman" w:cs="Times New Roman"/>
                <w:sz w:val="28"/>
                <w:szCs w:val="28"/>
              </w:rPr>
            </w:pPr>
            <w:r w:rsidRPr="00037C22">
              <w:rPr>
                <w:rFonts w:ascii="Times New Roman" w:eastAsia="Times New Roman" w:hAnsi="Times New Roman" w:cs="Times New Roman"/>
                <w:sz w:val="28"/>
                <w:szCs w:val="28"/>
              </w:rPr>
              <w:t>0.25 mg/L</w:t>
            </w:r>
            <w:r w:rsidRPr="00037C22">
              <w:rPr>
                <w:rFonts w:ascii="Times New Roman" w:eastAsia="Times New Roman" w:hAnsi="Times New Roman" w:cs="Times New Roman"/>
                <w:sz w:val="28"/>
                <w:szCs w:val="28"/>
                <w:vertAlign w:val="superscript"/>
              </w:rPr>
              <w:t>1</w:t>
            </w:r>
            <w:r w:rsidRPr="00037C22">
              <w:rPr>
                <w:rFonts w:ascii="Times New Roman" w:eastAsia="Times New Roman" w:hAnsi="Times New Roman" w:cs="Times New Roman"/>
                <w:sz w:val="28"/>
                <w:szCs w:val="28"/>
              </w:rPr>
              <w:t xml:space="preserve"> </w:t>
            </w:r>
            <w:r w:rsidRPr="00037C22">
              <w:rPr>
                <w:rFonts w:ascii="Times New Roman" w:hAnsi="Times New Roman" w:cs="Times New Roman"/>
                <w:sz w:val="28"/>
                <w:szCs w:val="28"/>
              </w:rPr>
              <w:t xml:space="preserve"> </w:t>
            </w:r>
          </w:p>
        </w:tc>
        <w:tc>
          <w:tcPr>
            <w:tcW w:w="3034" w:type="dxa"/>
          </w:tcPr>
          <w:p w14:paraId="7940AB2B" w14:textId="77777777" w:rsidR="00946385" w:rsidRPr="00037C22" w:rsidRDefault="00946385" w:rsidP="0072182B">
            <w:pPr>
              <w:spacing w:line="259" w:lineRule="auto"/>
              <w:ind w:left="95"/>
              <w:jc w:val="center"/>
              <w:rPr>
                <w:rFonts w:ascii="Times New Roman" w:hAnsi="Times New Roman" w:cs="Times New Roman"/>
                <w:sz w:val="28"/>
                <w:szCs w:val="28"/>
              </w:rPr>
            </w:pPr>
            <w:r w:rsidRPr="00037C22">
              <w:rPr>
                <w:rFonts w:ascii="Times New Roman" w:eastAsia="Times New Roman" w:hAnsi="Times New Roman" w:cs="Times New Roman"/>
                <w:sz w:val="28"/>
                <w:szCs w:val="28"/>
              </w:rPr>
              <w:t xml:space="preserve">0.5 mg/L </w:t>
            </w:r>
            <w:r w:rsidRPr="00037C22">
              <w:rPr>
                <w:rFonts w:ascii="Times New Roman" w:hAnsi="Times New Roman" w:cs="Times New Roman"/>
                <w:sz w:val="28"/>
                <w:szCs w:val="28"/>
              </w:rPr>
              <w:t xml:space="preserve"> </w:t>
            </w:r>
          </w:p>
        </w:tc>
      </w:tr>
    </w:tbl>
    <w:p w14:paraId="35CD6911" w14:textId="40DCAE80" w:rsidR="003847D8" w:rsidRPr="003847D8" w:rsidRDefault="00946385" w:rsidP="00946385">
      <w:pPr>
        <w:spacing w:before="240" w:line="360" w:lineRule="auto"/>
        <w:jc w:val="thaiDistribute"/>
        <w:rPr>
          <w:rFonts w:ascii="Times New Roman" w:hAnsi="Times New Roman" w:cs="Times New Roman"/>
          <w:sz w:val="28"/>
          <w:szCs w:val="28"/>
        </w:rPr>
      </w:pPr>
      <w:r>
        <w:rPr>
          <w:rFonts w:ascii="Times New Roman" w:hAnsi="Times New Roman" w:cs="Times New Roman"/>
          <w:sz w:val="28"/>
          <w:szCs w:val="28"/>
          <w:vertAlign w:val="superscript"/>
        </w:rPr>
        <w:t>1</w:t>
      </w:r>
      <w:r w:rsidR="003847D8" w:rsidRPr="003847D8">
        <w:rPr>
          <w:rFonts w:ascii="Times New Roman" w:hAnsi="Times New Roman" w:cs="Times New Roman"/>
          <w:sz w:val="28"/>
          <w:szCs w:val="28"/>
        </w:rPr>
        <w:t xml:space="preserve">The breakpoints are based on epidemiological cut-off values (ECOFFs), which distinguish wild-type isolates from those with reduces susceptibility.  “IE" indicates that there is insufficient evidence that the species in question is a good target for therapy with the drug.   </w:t>
      </w:r>
    </w:p>
    <w:p w14:paraId="29C5B9F7" w14:textId="77777777" w:rsidR="00946385" w:rsidRDefault="003847D8" w:rsidP="00946385">
      <w:pPr>
        <w:pStyle w:val="ListParagraph"/>
        <w:numPr>
          <w:ilvl w:val="1"/>
          <w:numId w:val="2"/>
        </w:numPr>
        <w:spacing w:after="240"/>
        <w:ind w:left="788" w:hanging="431"/>
        <w:contextualSpacing w:val="0"/>
        <w:rPr>
          <w:rFonts w:ascii="Times New Roman" w:hAnsi="Times New Roman" w:cs="Times New Roman"/>
          <w:b/>
          <w:bCs/>
          <w:sz w:val="28"/>
          <w:szCs w:val="28"/>
        </w:rPr>
      </w:pPr>
      <w:r w:rsidRPr="00946385">
        <w:rPr>
          <w:rFonts w:ascii="Times New Roman" w:hAnsi="Times New Roman" w:cs="Times New Roman"/>
          <w:b/>
          <w:bCs/>
          <w:sz w:val="28"/>
          <w:szCs w:val="28"/>
        </w:rPr>
        <w:t xml:space="preserve">Pharmacokinetic properties  </w:t>
      </w:r>
    </w:p>
    <w:p w14:paraId="7DA1B264" w14:textId="77777777" w:rsidR="00946385" w:rsidRDefault="003847D8" w:rsidP="00946385">
      <w:pPr>
        <w:pStyle w:val="ListParagraph"/>
        <w:spacing w:after="240" w:line="360" w:lineRule="auto"/>
        <w:ind w:left="794"/>
        <w:contextualSpacing w:val="0"/>
        <w:jc w:val="thaiDistribute"/>
        <w:rPr>
          <w:rFonts w:ascii="Times New Roman" w:hAnsi="Times New Roman" w:cs="Times New Roman"/>
          <w:sz w:val="28"/>
          <w:szCs w:val="28"/>
        </w:rPr>
      </w:pPr>
      <w:r w:rsidRPr="00946385">
        <w:rPr>
          <w:rFonts w:ascii="Times New Roman" w:hAnsi="Times New Roman" w:cs="Times New Roman"/>
          <w:sz w:val="28"/>
          <w:szCs w:val="28"/>
        </w:rPr>
        <w:t xml:space="preserve">H. pylori is associated with acid peptic disease including duodenal ulcer and gastric ulcer in which about 95% and 80% of patients respectively are infected with the agent. H. pylori is also implicated as a major contribution factor in the development of gastritis and ulcer recurrence in such patients. </w:t>
      </w:r>
    </w:p>
    <w:p w14:paraId="6B38AD46" w14:textId="77777777" w:rsidR="00946385" w:rsidRDefault="003847D8" w:rsidP="00946385">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Clarithromycin has been used in small numbers of patients in other treatment regimens. Possible kinetic interactions have not been fully investigated. These regimens include: </w:t>
      </w:r>
      <w:r w:rsidRPr="00946385">
        <w:rPr>
          <w:rFonts w:ascii="Times New Roman" w:hAnsi="Times New Roman" w:cs="Times New Roman"/>
          <w:sz w:val="28"/>
          <w:szCs w:val="28"/>
        </w:rPr>
        <w:t xml:space="preserve">Clarithromycin plus tinidazole and </w:t>
      </w:r>
      <w:r w:rsidRPr="00946385">
        <w:rPr>
          <w:rFonts w:ascii="Times New Roman" w:hAnsi="Times New Roman" w:cs="Times New Roman"/>
          <w:sz w:val="28"/>
          <w:szCs w:val="28"/>
        </w:rPr>
        <w:lastRenderedPageBreak/>
        <w:t xml:space="preserve">omeprazole; clarithromycin plus tetracycline, bismuth subsalicylate and ranitidine; clarithromycin plus ranitidine alone.  </w:t>
      </w:r>
    </w:p>
    <w:p w14:paraId="30042EFA" w14:textId="77777777" w:rsidR="00946385" w:rsidRDefault="003847D8" w:rsidP="00946385">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Clinical studies using various different H. pylori eradication regimens have shown that eradication of H. pylori prevents ulcer recurrence.  </w:t>
      </w:r>
    </w:p>
    <w:p w14:paraId="44FB9E2A" w14:textId="77777777" w:rsidR="00946385" w:rsidRDefault="003847D8" w:rsidP="00946385">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Clarithromycin is rapidly and well absorbed from the gastro-intestinal tract after oral administration of Clarithromycin tablets. The microbiologically active metabolite 14hydroxyclarithromycin is formed by first pass metabolism. Clarithromycin may be given without regard to meals as food does not affect the extent of bioavailability of Clarithromycin tablets. Food does slightly delay the onset of absorption of clarithromycin and formation of the 14-hydroxymetabolite. The pharmacokinetics of clarithromycin are non linear; however, steady-state is attained within 2 days of dosing. At 250 mg b.i.d. 15-20% of unchanged drug is excreted in the urine. With 500 mg b.i.d. daily dosing urinary excretion is greater (approximately 36%). The 14hydroxyclarithromycin is the major urinary metabolite and accounts for 10-15% of the dose. Most of the remainder of the dose is eliminated in the faeces, primarily via the bile. 5-10% of the parent drug is recovered from the faeces.  </w:t>
      </w:r>
    </w:p>
    <w:p w14:paraId="2EAB0B86" w14:textId="77777777" w:rsidR="00946385" w:rsidRDefault="003847D8" w:rsidP="00946385">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When clarithromycin 500 mg is given three times daily, the clarithromycin plasma concentrations are increased with respect to the 500 mg twice daily dosage.  </w:t>
      </w:r>
    </w:p>
    <w:p w14:paraId="382C1983" w14:textId="77777777" w:rsidR="00946385" w:rsidRDefault="003847D8" w:rsidP="00946385">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lastRenderedPageBreak/>
        <w:t xml:space="preserve">Clarithromycin provides tissue concentrations that are several times higher than the circulating drug levels. Increased levels have been found in both tonsillar and lung tissue. Clarithromycin is 80% bound to plasma proteins at therapeutic levels. </w:t>
      </w:r>
    </w:p>
    <w:p w14:paraId="505B7EAB" w14:textId="07ED5D97" w:rsidR="003847D8" w:rsidRPr="003847D8" w:rsidRDefault="003847D8" w:rsidP="00946385">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Clarithromycin also penetrates the gastric mucus. Levels of clarithromycin in gastric mucus and gastric tissue are higher when clarithromycin is co-administered with omeprazole than when clarithromycin is administered alone.  </w:t>
      </w:r>
    </w:p>
    <w:p w14:paraId="692D3113" w14:textId="77777777" w:rsidR="00946385" w:rsidRDefault="003847D8" w:rsidP="00946385">
      <w:pPr>
        <w:pStyle w:val="ListParagraph"/>
        <w:numPr>
          <w:ilvl w:val="1"/>
          <w:numId w:val="2"/>
        </w:numPr>
        <w:spacing w:after="240"/>
        <w:ind w:left="788" w:hanging="431"/>
        <w:contextualSpacing w:val="0"/>
        <w:rPr>
          <w:rFonts w:ascii="Times New Roman" w:hAnsi="Times New Roman" w:cs="Times New Roman"/>
          <w:b/>
          <w:bCs/>
          <w:sz w:val="28"/>
          <w:szCs w:val="28"/>
        </w:rPr>
      </w:pPr>
      <w:r w:rsidRPr="00946385">
        <w:rPr>
          <w:rFonts w:ascii="Times New Roman" w:hAnsi="Times New Roman" w:cs="Times New Roman"/>
          <w:b/>
          <w:bCs/>
          <w:sz w:val="28"/>
          <w:szCs w:val="28"/>
        </w:rPr>
        <w:t xml:space="preserve">Preclinical safety data  </w:t>
      </w:r>
    </w:p>
    <w:p w14:paraId="0441E43C" w14:textId="77777777" w:rsidR="00946385" w:rsidRDefault="003847D8" w:rsidP="00946385">
      <w:pPr>
        <w:pStyle w:val="ListParagraph"/>
        <w:spacing w:after="240" w:line="360" w:lineRule="auto"/>
        <w:ind w:left="794"/>
        <w:contextualSpacing w:val="0"/>
        <w:jc w:val="thaiDistribute"/>
        <w:rPr>
          <w:rFonts w:ascii="Times New Roman" w:hAnsi="Times New Roman" w:cs="Times New Roman"/>
          <w:sz w:val="28"/>
          <w:szCs w:val="28"/>
        </w:rPr>
      </w:pPr>
      <w:r w:rsidRPr="00946385">
        <w:rPr>
          <w:rFonts w:ascii="Times New Roman" w:hAnsi="Times New Roman" w:cs="Times New Roman"/>
          <w:sz w:val="28"/>
          <w:szCs w:val="28"/>
        </w:rPr>
        <w:t xml:space="preserve">In acute mouse and rat studies, the median lethal dose was greater than the highest feasible dose for administration (5g/kg).  </w:t>
      </w:r>
    </w:p>
    <w:p w14:paraId="43D560CB" w14:textId="77777777" w:rsidR="00946385" w:rsidRDefault="003847D8" w:rsidP="00946385">
      <w:pPr>
        <w:pStyle w:val="ListParagraph"/>
        <w:spacing w:line="360" w:lineRule="auto"/>
        <w:ind w:left="792"/>
        <w:jc w:val="thaiDistribute"/>
        <w:rPr>
          <w:rFonts w:ascii="Times New Roman" w:hAnsi="Times New Roman" w:cs="Times New Roman"/>
          <w:sz w:val="28"/>
          <w:szCs w:val="28"/>
        </w:rPr>
      </w:pPr>
      <w:r w:rsidRPr="003847D8">
        <w:rPr>
          <w:rFonts w:ascii="Times New Roman" w:hAnsi="Times New Roman" w:cs="Times New Roman"/>
          <w:sz w:val="28"/>
          <w:szCs w:val="28"/>
        </w:rPr>
        <w:t xml:space="preserve">In repeated dose studies, toxicity was related to dose, duration of treatment and species.  Dogs were more sensitive than primates or rats.  The major clinical signs at toxic doses included emesis, weakness, reduced food consumption and weight gain, salivation, dehydration and hyperactivity.  In all species the liver was the primary target organ at toxic doses.  Hepatotoxicity was detectable by early elevations of liver function tests.  Discontinuation of the drug generally resulted in a return to or toward normal results.  Other tissues less commonly affected included the stomach, thymus and other lymphoid tissues and the kidneys.  At near therapeutic doses, conjunctival injection and lacrimation occurred only in dogs.  At a massive dose of 400mg/kg/day, some dogs and monkeys developed corneal opacities and/or oedema.  </w:t>
      </w:r>
    </w:p>
    <w:p w14:paraId="7CB4D5F3" w14:textId="77777777" w:rsidR="00946385" w:rsidRDefault="003847D8" w:rsidP="00946385">
      <w:pPr>
        <w:pStyle w:val="ListParagraph"/>
        <w:spacing w:after="240" w:line="360" w:lineRule="auto"/>
        <w:ind w:left="794"/>
        <w:contextualSpacing w:val="0"/>
        <w:jc w:val="thaiDistribute"/>
        <w:rPr>
          <w:rFonts w:ascii="Times New Roman" w:hAnsi="Times New Roman" w:cs="Times New Roman"/>
          <w:sz w:val="28"/>
          <w:szCs w:val="28"/>
          <w:u w:val="single"/>
        </w:rPr>
      </w:pPr>
      <w:r w:rsidRPr="00946385">
        <w:rPr>
          <w:rFonts w:ascii="Times New Roman" w:hAnsi="Times New Roman" w:cs="Times New Roman"/>
          <w:sz w:val="28"/>
          <w:szCs w:val="28"/>
          <w:u w:val="single"/>
        </w:rPr>
        <w:lastRenderedPageBreak/>
        <w:t>Fertility, Reproduction and Teratogenicity</w:t>
      </w:r>
    </w:p>
    <w:p w14:paraId="159E793D" w14:textId="77777777" w:rsidR="00946385" w:rsidRDefault="003847D8" w:rsidP="00946385">
      <w:pPr>
        <w:pStyle w:val="ListParagraph"/>
        <w:spacing w:after="240" w:line="360" w:lineRule="auto"/>
        <w:ind w:left="794"/>
        <w:contextualSpacing w:val="0"/>
        <w:jc w:val="thaiDistribute"/>
        <w:rPr>
          <w:rFonts w:ascii="Times New Roman" w:hAnsi="Times New Roman" w:cs="Times New Roman"/>
          <w:sz w:val="28"/>
          <w:szCs w:val="28"/>
        </w:rPr>
      </w:pPr>
      <w:r w:rsidRPr="003847D8">
        <w:rPr>
          <w:rFonts w:ascii="Times New Roman" w:hAnsi="Times New Roman" w:cs="Times New Roman"/>
          <w:sz w:val="28"/>
          <w:szCs w:val="28"/>
        </w:rPr>
        <w:t xml:space="preserve">Studies performed in rats at oral doses up to 500 mg/kg/day (highest dose associated with overt renal toxicity) demonstrated no evidence for clarithromycin-related adverse effects on male fertility. This dose corresponds to a human equivalent dose (HED) of approximately 5 times the maximum recommended human dose (MRHD) on a mg/m2 basis for a 60-kg individual.  </w:t>
      </w:r>
    </w:p>
    <w:p w14:paraId="6D284045" w14:textId="1C4D270E" w:rsidR="003847D8" w:rsidRPr="00946385" w:rsidRDefault="003847D8" w:rsidP="00946385">
      <w:pPr>
        <w:pStyle w:val="ListParagraph"/>
        <w:spacing w:line="360" w:lineRule="auto"/>
        <w:ind w:left="792"/>
        <w:jc w:val="thaiDistribute"/>
        <w:rPr>
          <w:rFonts w:ascii="Times New Roman" w:hAnsi="Times New Roman" w:cs="Times New Roman"/>
          <w:b/>
          <w:bCs/>
          <w:sz w:val="28"/>
          <w:szCs w:val="28"/>
        </w:rPr>
      </w:pPr>
      <w:r w:rsidRPr="003847D8">
        <w:rPr>
          <w:rFonts w:ascii="Times New Roman" w:hAnsi="Times New Roman" w:cs="Times New Roman"/>
          <w:sz w:val="28"/>
          <w:szCs w:val="28"/>
        </w:rPr>
        <w:t xml:space="preserve">Fertility and reproduction studies in female rats have shown that a daily dosage of 150mg/kg/day ( highest dose tested) caused no adverse effects on the oestrus cycle, fertility, parturition and number and viability of offspring. Oral teratogenicity studies in rats (Wistar and Spraque-Dawley), rabbits (New Zealand White) and cynomolgous monkeys failed to demonstrate any teratogenicity from clarithromycin at the highest doses tested up to 1.5, 2.4 and 1.5 times the MRHD on a mg/m2 basis in the respective species.  However, a similar study in Sprague-Dawley rats indicated a low (6%) incidence of cardiovascular abnormalities which appeared to be due to spontaneous expression of genetic changes.  Two mouse studies revealed a variable incidence (3-30%) of cleft palate at ~5 times the MRHD on a mg/m2 basis for a 60-kg individual. Embryonic loss was seen in monkeys but only at dose levels which were clearly toxic to the mothers.  </w:t>
      </w:r>
    </w:p>
    <w:p w14:paraId="6B3CCFF3" w14:textId="77777777" w:rsidR="00946385" w:rsidRDefault="00946385">
      <w:pPr>
        <w:rPr>
          <w:rFonts w:ascii="Times New Roman" w:hAnsi="Times New Roman" w:cs="Times New Roman"/>
          <w:b/>
          <w:bCs/>
          <w:sz w:val="28"/>
          <w:szCs w:val="28"/>
        </w:rPr>
      </w:pPr>
      <w:r>
        <w:rPr>
          <w:rFonts w:ascii="Times New Roman" w:hAnsi="Times New Roman" w:cs="Times New Roman"/>
          <w:b/>
          <w:bCs/>
          <w:sz w:val="28"/>
          <w:szCs w:val="28"/>
        </w:rPr>
        <w:br w:type="page"/>
      </w:r>
    </w:p>
    <w:p w14:paraId="134DBB26" w14:textId="0A5147D1" w:rsidR="003847D8" w:rsidRPr="00946385" w:rsidRDefault="003847D8" w:rsidP="00946385">
      <w:pPr>
        <w:pStyle w:val="ListParagraph"/>
        <w:numPr>
          <w:ilvl w:val="0"/>
          <w:numId w:val="2"/>
        </w:numPr>
        <w:spacing w:after="240" w:line="360" w:lineRule="auto"/>
        <w:ind w:left="357" w:hanging="357"/>
        <w:contextualSpacing w:val="0"/>
        <w:rPr>
          <w:rFonts w:ascii="Times New Roman" w:hAnsi="Times New Roman" w:cs="Times New Roman"/>
          <w:b/>
          <w:bCs/>
          <w:sz w:val="28"/>
          <w:szCs w:val="28"/>
        </w:rPr>
      </w:pPr>
      <w:r w:rsidRPr="00946385">
        <w:rPr>
          <w:rFonts w:ascii="Times New Roman" w:hAnsi="Times New Roman" w:cs="Times New Roman"/>
          <w:b/>
          <w:bCs/>
          <w:sz w:val="28"/>
          <w:szCs w:val="28"/>
        </w:rPr>
        <w:lastRenderedPageBreak/>
        <w:t xml:space="preserve">PHARMACEUTICAL PARTICULARS  </w:t>
      </w:r>
    </w:p>
    <w:p w14:paraId="369DF010" w14:textId="77777777" w:rsidR="00946385" w:rsidRDefault="003847D8" w:rsidP="00946385">
      <w:pPr>
        <w:pStyle w:val="ListParagraph"/>
        <w:numPr>
          <w:ilvl w:val="1"/>
          <w:numId w:val="2"/>
        </w:numPr>
        <w:spacing w:after="240" w:line="360" w:lineRule="auto"/>
        <w:ind w:left="788" w:hanging="431"/>
        <w:contextualSpacing w:val="0"/>
        <w:rPr>
          <w:rFonts w:ascii="Times New Roman" w:hAnsi="Times New Roman" w:cs="Times New Roman"/>
          <w:b/>
          <w:bCs/>
          <w:sz w:val="28"/>
          <w:szCs w:val="28"/>
        </w:rPr>
      </w:pPr>
      <w:r w:rsidRPr="00946385">
        <w:rPr>
          <w:rFonts w:ascii="Times New Roman" w:hAnsi="Times New Roman" w:cs="Times New Roman"/>
          <w:b/>
          <w:bCs/>
          <w:sz w:val="28"/>
          <w:szCs w:val="28"/>
        </w:rPr>
        <w:t xml:space="preserve">List of excipients  </w:t>
      </w:r>
    </w:p>
    <w:p w14:paraId="132A4B3F" w14:textId="3353F2FF" w:rsidR="003847D8" w:rsidRPr="00946385" w:rsidRDefault="003847D8" w:rsidP="00946385">
      <w:pPr>
        <w:pStyle w:val="ListParagraph"/>
        <w:spacing w:after="240" w:line="360" w:lineRule="auto"/>
        <w:ind w:left="794"/>
        <w:contextualSpacing w:val="0"/>
        <w:rPr>
          <w:rFonts w:ascii="Times New Roman" w:hAnsi="Times New Roman" w:cs="Times New Roman"/>
          <w:b/>
          <w:bCs/>
          <w:color w:val="FF0000"/>
          <w:sz w:val="28"/>
          <w:szCs w:val="28"/>
        </w:rPr>
      </w:pPr>
      <w:r w:rsidRPr="00946385">
        <w:rPr>
          <w:rFonts w:ascii="Times New Roman" w:hAnsi="Times New Roman" w:cs="Times New Roman"/>
          <w:color w:val="FF0000"/>
          <w:sz w:val="28"/>
          <w:szCs w:val="28"/>
        </w:rPr>
        <w:t xml:space="preserve">&lt;Regarding the approval&gt; </w:t>
      </w:r>
    </w:p>
    <w:p w14:paraId="74617DA0" w14:textId="77777777" w:rsidR="00946385" w:rsidRPr="00946385" w:rsidRDefault="003847D8" w:rsidP="003847D8">
      <w:pPr>
        <w:pStyle w:val="ListParagraph"/>
        <w:numPr>
          <w:ilvl w:val="1"/>
          <w:numId w:val="2"/>
        </w:numPr>
        <w:rPr>
          <w:rFonts w:ascii="Times New Roman" w:hAnsi="Times New Roman" w:cs="Times New Roman"/>
          <w:b/>
          <w:bCs/>
          <w:sz w:val="28"/>
          <w:szCs w:val="28"/>
        </w:rPr>
      </w:pPr>
      <w:r w:rsidRPr="00946385">
        <w:rPr>
          <w:rFonts w:ascii="Times New Roman" w:hAnsi="Times New Roman" w:cs="Times New Roman"/>
          <w:b/>
          <w:bCs/>
          <w:sz w:val="28"/>
          <w:szCs w:val="28"/>
        </w:rPr>
        <w:t xml:space="preserve">Incompatibilities  </w:t>
      </w:r>
    </w:p>
    <w:p w14:paraId="40839DFC" w14:textId="3066D761" w:rsidR="003847D8" w:rsidRPr="00946385" w:rsidRDefault="003847D8" w:rsidP="00946385">
      <w:pPr>
        <w:pStyle w:val="ListParagraph"/>
        <w:spacing w:before="240" w:after="240"/>
        <w:ind w:left="794"/>
        <w:contextualSpacing w:val="0"/>
        <w:rPr>
          <w:rFonts w:ascii="Times New Roman" w:hAnsi="Times New Roman" w:cs="Times New Roman"/>
          <w:sz w:val="28"/>
          <w:szCs w:val="28"/>
        </w:rPr>
      </w:pPr>
      <w:r w:rsidRPr="00946385">
        <w:rPr>
          <w:rFonts w:ascii="Times New Roman" w:hAnsi="Times New Roman" w:cs="Times New Roman"/>
          <w:sz w:val="28"/>
          <w:szCs w:val="28"/>
        </w:rPr>
        <w:t xml:space="preserve">None known  </w:t>
      </w:r>
    </w:p>
    <w:p w14:paraId="51ACF889" w14:textId="77777777" w:rsidR="00946385" w:rsidRDefault="003847D8" w:rsidP="003847D8">
      <w:pPr>
        <w:pStyle w:val="ListParagraph"/>
        <w:numPr>
          <w:ilvl w:val="1"/>
          <w:numId w:val="2"/>
        </w:numPr>
        <w:rPr>
          <w:rFonts w:ascii="Times New Roman" w:hAnsi="Times New Roman" w:cs="Times New Roman"/>
          <w:b/>
          <w:bCs/>
          <w:sz w:val="28"/>
          <w:szCs w:val="28"/>
        </w:rPr>
      </w:pPr>
      <w:r w:rsidRPr="00946385">
        <w:rPr>
          <w:rFonts w:ascii="Times New Roman" w:hAnsi="Times New Roman" w:cs="Times New Roman"/>
          <w:b/>
          <w:bCs/>
          <w:sz w:val="28"/>
          <w:szCs w:val="28"/>
        </w:rPr>
        <w:t xml:space="preserve">Shelf life  </w:t>
      </w:r>
    </w:p>
    <w:p w14:paraId="2B597689" w14:textId="77777777" w:rsidR="00946385" w:rsidRDefault="003847D8" w:rsidP="00946385">
      <w:pPr>
        <w:pStyle w:val="ListParagraph"/>
        <w:spacing w:before="240" w:after="240"/>
        <w:ind w:left="794"/>
        <w:contextualSpacing w:val="0"/>
        <w:rPr>
          <w:rFonts w:ascii="Times New Roman" w:hAnsi="Times New Roman" w:cs="Times New Roman"/>
          <w:color w:val="FF0000"/>
          <w:sz w:val="28"/>
          <w:szCs w:val="28"/>
        </w:rPr>
      </w:pPr>
      <w:r w:rsidRPr="00946385">
        <w:rPr>
          <w:rFonts w:ascii="Times New Roman" w:hAnsi="Times New Roman" w:cs="Times New Roman"/>
          <w:color w:val="FF0000"/>
          <w:sz w:val="28"/>
          <w:szCs w:val="28"/>
        </w:rPr>
        <w:t xml:space="preserve">&lt;Regarding the approval&gt; </w:t>
      </w:r>
    </w:p>
    <w:p w14:paraId="027E8B15" w14:textId="77777777" w:rsidR="00946385" w:rsidRPr="00946385" w:rsidRDefault="003847D8" w:rsidP="003847D8">
      <w:pPr>
        <w:pStyle w:val="ListParagraph"/>
        <w:numPr>
          <w:ilvl w:val="1"/>
          <w:numId w:val="2"/>
        </w:numPr>
        <w:spacing w:before="240" w:after="240"/>
        <w:contextualSpacing w:val="0"/>
        <w:rPr>
          <w:rFonts w:ascii="Times New Roman" w:hAnsi="Times New Roman" w:cs="Times New Roman"/>
          <w:b/>
          <w:bCs/>
          <w:color w:val="000000" w:themeColor="text1"/>
          <w:sz w:val="28"/>
          <w:szCs w:val="28"/>
        </w:rPr>
      </w:pPr>
      <w:r w:rsidRPr="00946385">
        <w:rPr>
          <w:rFonts w:ascii="Times New Roman" w:hAnsi="Times New Roman" w:cs="Times New Roman"/>
          <w:b/>
          <w:bCs/>
          <w:color w:val="000000" w:themeColor="text1"/>
          <w:sz w:val="28"/>
          <w:szCs w:val="28"/>
        </w:rPr>
        <w:t xml:space="preserve">Special precautions for storage  </w:t>
      </w:r>
    </w:p>
    <w:p w14:paraId="42A60643" w14:textId="6FE6C0C7" w:rsidR="003847D8" w:rsidRPr="00946385" w:rsidRDefault="003847D8" w:rsidP="00946385">
      <w:pPr>
        <w:pStyle w:val="ListParagraph"/>
        <w:spacing w:before="240" w:after="240"/>
        <w:ind w:left="792"/>
        <w:contextualSpacing w:val="0"/>
        <w:rPr>
          <w:rFonts w:ascii="Times New Roman" w:hAnsi="Times New Roman" w:cs="Times New Roman"/>
          <w:b/>
          <w:bCs/>
          <w:color w:val="FF0000"/>
          <w:sz w:val="28"/>
          <w:szCs w:val="28"/>
        </w:rPr>
      </w:pPr>
      <w:r w:rsidRPr="00946385">
        <w:rPr>
          <w:rFonts w:ascii="Times New Roman" w:hAnsi="Times New Roman" w:cs="Times New Roman"/>
          <w:color w:val="FF0000"/>
          <w:sz w:val="28"/>
          <w:szCs w:val="28"/>
        </w:rPr>
        <w:t xml:space="preserve">&lt;Regarding the approval&gt; </w:t>
      </w:r>
    </w:p>
    <w:p w14:paraId="1D3B512A" w14:textId="77777777" w:rsidR="00946385" w:rsidRDefault="003847D8" w:rsidP="003847D8">
      <w:pPr>
        <w:pStyle w:val="ListParagraph"/>
        <w:numPr>
          <w:ilvl w:val="1"/>
          <w:numId w:val="2"/>
        </w:numPr>
        <w:rPr>
          <w:rFonts w:ascii="Times New Roman" w:hAnsi="Times New Roman" w:cs="Times New Roman"/>
          <w:b/>
          <w:bCs/>
          <w:sz w:val="28"/>
          <w:szCs w:val="28"/>
        </w:rPr>
      </w:pPr>
      <w:r w:rsidRPr="00946385">
        <w:rPr>
          <w:rFonts w:ascii="Times New Roman" w:hAnsi="Times New Roman" w:cs="Times New Roman"/>
          <w:b/>
          <w:bCs/>
          <w:sz w:val="28"/>
          <w:szCs w:val="28"/>
        </w:rPr>
        <w:t xml:space="preserve">Nature and contents of container  </w:t>
      </w:r>
    </w:p>
    <w:p w14:paraId="4417034B" w14:textId="25613502" w:rsidR="003847D8" w:rsidRPr="00946385" w:rsidRDefault="003847D8" w:rsidP="00946385">
      <w:pPr>
        <w:pStyle w:val="ListParagraph"/>
        <w:spacing w:before="240" w:after="240"/>
        <w:ind w:left="794"/>
        <w:contextualSpacing w:val="0"/>
        <w:rPr>
          <w:rFonts w:ascii="Times New Roman" w:hAnsi="Times New Roman" w:cs="Times New Roman"/>
          <w:b/>
          <w:bCs/>
          <w:color w:val="FF0000"/>
          <w:sz w:val="28"/>
          <w:szCs w:val="28"/>
        </w:rPr>
      </w:pPr>
      <w:r w:rsidRPr="00946385">
        <w:rPr>
          <w:rFonts w:ascii="Times New Roman" w:hAnsi="Times New Roman" w:cs="Times New Roman"/>
          <w:color w:val="FF0000"/>
          <w:sz w:val="28"/>
          <w:szCs w:val="28"/>
        </w:rPr>
        <w:t xml:space="preserve">&lt;Regarding the approval&gt; </w:t>
      </w:r>
    </w:p>
    <w:p w14:paraId="6A942A27" w14:textId="77777777" w:rsidR="00946385" w:rsidRDefault="003847D8" w:rsidP="003847D8">
      <w:pPr>
        <w:pStyle w:val="ListParagraph"/>
        <w:numPr>
          <w:ilvl w:val="1"/>
          <w:numId w:val="2"/>
        </w:numPr>
        <w:rPr>
          <w:rFonts w:ascii="Times New Roman" w:hAnsi="Times New Roman" w:cs="Times New Roman"/>
          <w:b/>
          <w:bCs/>
          <w:sz w:val="28"/>
          <w:szCs w:val="28"/>
        </w:rPr>
      </w:pPr>
      <w:r w:rsidRPr="00946385">
        <w:rPr>
          <w:rFonts w:ascii="Times New Roman" w:hAnsi="Times New Roman" w:cs="Times New Roman"/>
          <w:b/>
          <w:bCs/>
          <w:sz w:val="28"/>
          <w:szCs w:val="28"/>
        </w:rPr>
        <w:t xml:space="preserve">Special precautions for disposal and other handling  </w:t>
      </w:r>
    </w:p>
    <w:p w14:paraId="5066C842" w14:textId="430D26BE" w:rsidR="003847D8" w:rsidRPr="00946385" w:rsidRDefault="003847D8" w:rsidP="00946385">
      <w:pPr>
        <w:pStyle w:val="ListParagraph"/>
        <w:spacing w:before="240" w:after="240"/>
        <w:ind w:left="794"/>
        <w:contextualSpacing w:val="0"/>
        <w:rPr>
          <w:rFonts w:ascii="Times New Roman" w:hAnsi="Times New Roman" w:cs="Times New Roman"/>
          <w:b/>
          <w:bCs/>
          <w:color w:val="FF0000"/>
          <w:sz w:val="28"/>
          <w:szCs w:val="28"/>
        </w:rPr>
      </w:pPr>
      <w:r w:rsidRPr="00946385">
        <w:rPr>
          <w:rFonts w:ascii="Times New Roman" w:hAnsi="Times New Roman" w:cs="Times New Roman"/>
          <w:color w:val="FF0000"/>
          <w:sz w:val="28"/>
          <w:szCs w:val="28"/>
        </w:rPr>
        <w:t xml:space="preserve">&lt;Regarding the approval&gt; </w:t>
      </w:r>
    </w:p>
    <w:p w14:paraId="524C1F4E" w14:textId="77777777" w:rsidR="00946385" w:rsidRDefault="003847D8" w:rsidP="003847D8">
      <w:pPr>
        <w:pStyle w:val="ListParagraph"/>
        <w:numPr>
          <w:ilvl w:val="0"/>
          <w:numId w:val="2"/>
        </w:numPr>
        <w:rPr>
          <w:rFonts w:ascii="Times New Roman" w:hAnsi="Times New Roman" w:cs="Times New Roman"/>
          <w:b/>
          <w:bCs/>
          <w:sz w:val="28"/>
          <w:szCs w:val="28"/>
        </w:rPr>
      </w:pPr>
      <w:r w:rsidRPr="00946385">
        <w:rPr>
          <w:rFonts w:ascii="Times New Roman" w:hAnsi="Times New Roman" w:cs="Times New Roman"/>
          <w:b/>
          <w:bCs/>
          <w:sz w:val="28"/>
          <w:szCs w:val="28"/>
        </w:rPr>
        <w:t xml:space="preserve">MARKETING AUTHORISATION HOLDER  </w:t>
      </w:r>
    </w:p>
    <w:p w14:paraId="0F7AC894" w14:textId="5C0BF894" w:rsidR="003847D8" w:rsidRPr="00946385" w:rsidRDefault="003847D8" w:rsidP="00946385">
      <w:pPr>
        <w:pStyle w:val="ListParagraph"/>
        <w:spacing w:before="240" w:after="240"/>
        <w:ind w:left="357"/>
        <w:contextualSpacing w:val="0"/>
        <w:rPr>
          <w:rFonts w:ascii="Times New Roman" w:hAnsi="Times New Roman" w:cs="Times New Roman"/>
          <w:b/>
          <w:bCs/>
          <w:color w:val="FF0000"/>
          <w:sz w:val="28"/>
          <w:szCs w:val="28"/>
        </w:rPr>
      </w:pPr>
      <w:r w:rsidRPr="00946385">
        <w:rPr>
          <w:rFonts w:ascii="Times New Roman" w:hAnsi="Times New Roman" w:cs="Times New Roman"/>
          <w:color w:val="FF0000"/>
          <w:sz w:val="28"/>
          <w:szCs w:val="28"/>
        </w:rPr>
        <w:t xml:space="preserve">&lt;Regarding the approval&gt; </w:t>
      </w:r>
    </w:p>
    <w:p w14:paraId="1F56FF3D" w14:textId="77777777" w:rsidR="00946385" w:rsidRPr="00946385" w:rsidRDefault="003847D8" w:rsidP="003847D8">
      <w:pPr>
        <w:pStyle w:val="ListParagraph"/>
        <w:numPr>
          <w:ilvl w:val="0"/>
          <w:numId w:val="2"/>
        </w:numPr>
        <w:rPr>
          <w:rFonts w:ascii="Times New Roman" w:hAnsi="Times New Roman" w:cs="Times New Roman"/>
          <w:b/>
          <w:bCs/>
          <w:sz w:val="28"/>
          <w:szCs w:val="28"/>
        </w:rPr>
      </w:pPr>
      <w:r w:rsidRPr="00946385">
        <w:rPr>
          <w:rFonts w:ascii="Times New Roman" w:hAnsi="Times New Roman" w:cs="Times New Roman"/>
          <w:b/>
          <w:bCs/>
          <w:sz w:val="28"/>
          <w:szCs w:val="28"/>
        </w:rPr>
        <w:t xml:space="preserve">MARKETING AUTHORISATION NUMBER(S) </w:t>
      </w:r>
    </w:p>
    <w:p w14:paraId="1D735B90" w14:textId="6F2952B6" w:rsidR="003847D8" w:rsidRPr="00946385" w:rsidRDefault="003847D8" w:rsidP="00946385">
      <w:pPr>
        <w:pStyle w:val="ListParagraph"/>
        <w:spacing w:before="240" w:after="240"/>
        <w:ind w:left="357"/>
        <w:contextualSpacing w:val="0"/>
        <w:rPr>
          <w:rFonts w:ascii="Times New Roman" w:hAnsi="Times New Roman" w:cs="Times New Roman"/>
          <w:color w:val="FF0000"/>
          <w:sz w:val="28"/>
          <w:szCs w:val="28"/>
        </w:rPr>
      </w:pPr>
      <w:r w:rsidRPr="00946385">
        <w:rPr>
          <w:rFonts w:ascii="Times New Roman" w:hAnsi="Times New Roman" w:cs="Times New Roman"/>
          <w:color w:val="FF0000"/>
          <w:sz w:val="28"/>
          <w:szCs w:val="28"/>
        </w:rPr>
        <w:t xml:space="preserve">&lt;Regarding the approval&gt; </w:t>
      </w:r>
    </w:p>
    <w:p w14:paraId="13F706BB" w14:textId="77777777" w:rsidR="00946385" w:rsidRDefault="003847D8" w:rsidP="003847D8">
      <w:pPr>
        <w:pStyle w:val="ListParagraph"/>
        <w:numPr>
          <w:ilvl w:val="0"/>
          <w:numId w:val="2"/>
        </w:numPr>
        <w:spacing w:line="360" w:lineRule="auto"/>
        <w:rPr>
          <w:rFonts w:ascii="Times New Roman" w:hAnsi="Times New Roman" w:cs="Times New Roman"/>
          <w:b/>
          <w:bCs/>
          <w:sz w:val="28"/>
          <w:szCs w:val="28"/>
        </w:rPr>
      </w:pPr>
      <w:r w:rsidRPr="00946385">
        <w:rPr>
          <w:rFonts w:ascii="Times New Roman" w:hAnsi="Times New Roman" w:cs="Times New Roman"/>
          <w:b/>
          <w:bCs/>
          <w:sz w:val="28"/>
          <w:szCs w:val="28"/>
        </w:rPr>
        <w:t xml:space="preserve">DATE OF FIRST AUTHORISATION/RENEWAL OF THE AUTHORISATION  </w:t>
      </w:r>
    </w:p>
    <w:p w14:paraId="45ABF62E" w14:textId="77777777" w:rsidR="00946385" w:rsidRDefault="003847D8" w:rsidP="00946385">
      <w:pPr>
        <w:pStyle w:val="ListParagraph"/>
        <w:spacing w:before="240" w:after="240" w:line="360" w:lineRule="auto"/>
        <w:ind w:left="357"/>
        <w:contextualSpacing w:val="0"/>
        <w:rPr>
          <w:rFonts w:ascii="Times New Roman" w:hAnsi="Times New Roman" w:cs="Times New Roman"/>
          <w:color w:val="FF0000"/>
          <w:sz w:val="28"/>
          <w:szCs w:val="28"/>
        </w:rPr>
      </w:pPr>
      <w:r w:rsidRPr="00946385">
        <w:rPr>
          <w:rFonts w:ascii="Times New Roman" w:hAnsi="Times New Roman" w:cs="Times New Roman"/>
          <w:color w:val="FF0000"/>
          <w:sz w:val="28"/>
          <w:szCs w:val="28"/>
        </w:rPr>
        <w:t xml:space="preserve">&lt;Regarding the approval&gt; </w:t>
      </w:r>
    </w:p>
    <w:p w14:paraId="2A306D3F" w14:textId="77777777" w:rsidR="00946385" w:rsidRDefault="003847D8" w:rsidP="003847D8">
      <w:pPr>
        <w:pStyle w:val="ListParagraph"/>
        <w:numPr>
          <w:ilvl w:val="0"/>
          <w:numId w:val="2"/>
        </w:numPr>
        <w:spacing w:before="240" w:after="240" w:line="360" w:lineRule="auto"/>
        <w:contextualSpacing w:val="0"/>
        <w:rPr>
          <w:rFonts w:ascii="Times New Roman" w:hAnsi="Times New Roman" w:cs="Times New Roman"/>
          <w:b/>
          <w:bCs/>
          <w:color w:val="000000" w:themeColor="text1"/>
          <w:sz w:val="28"/>
          <w:szCs w:val="28"/>
        </w:rPr>
      </w:pPr>
      <w:r w:rsidRPr="00946385">
        <w:rPr>
          <w:rFonts w:ascii="Times New Roman" w:hAnsi="Times New Roman" w:cs="Times New Roman"/>
          <w:b/>
          <w:bCs/>
          <w:color w:val="000000" w:themeColor="text1"/>
          <w:sz w:val="28"/>
          <w:szCs w:val="28"/>
        </w:rPr>
        <w:lastRenderedPageBreak/>
        <w:t xml:space="preserve">DATE OF REVISION OF THE TEXT   </w:t>
      </w:r>
    </w:p>
    <w:p w14:paraId="131B348E" w14:textId="1A117133" w:rsidR="003847D8" w:rsidRPr="00946385" w:rsidRDefault="003847D8" w:rsidP="00946385">
      <w:pPr>
        <w:pStyle w:val="ListParagraph"/>
        <w:spacing w:before="240" w:after="240" w:line="360" w:lineRule="auto"/>
        <w:ind w:left="357"/>
        <w:contextualSpacing w:val="0"/>
        <w:rPr>
          <w:rFonts w:ascii="Times New Roman" w:hAnsi="Times New Roman" w:cs="Times New Roman"/>
          <w:b/>
          <w:bCs/>
          <w:color w:val="FF0000"/>
          <w:sz w:val="28"/>
          <w:szCs w:val="28"/>
        </w:rPr>
      </w:pPr>
      <w:r w:rsidRPr="00946385">
        <w:rPr>
          <w:rFonts w:ascii="Times New Roman" w:hAnsi="Times New Roman" w:cs="Times New Roman"/>
          <w:color w:val="FF0000"/>
          <w:sz w:val="28"/>
          <w:szCs w:val="28"/>
        </w:rPr>
        <w:t xml:space="preserve">&lt;Regarding the approval&gt; </w:t>
      </w:r>
    </w:p>
    <w:p w14:paraId="15BBF445" w14:textId="77777777" w:rsidR="003847D8" w:rsidRPr="003847D8" w:rsidRDefault="003847D8" w:rsidP="003847D8">
      <w:pPr>
        <w:rPr>
          <w:rFonts w:ascii="Times New Roman" w:hAnsi="Times New Roman" w:cs="Times New Roman"/>
          <w:sz w:val="28"/>
          <w:szCs w:val="28"/>
        </w:rPr>
      </w:pPr>
      <w:r w:rsidRPr="003847D8">
        <w:rPr>
          <w:rFonts w:ascii="Times New Roman" w:hAnsi="Times New Roman" w:cs="Times New Roman"/>
          <w:sz w:val="28"/>
          <w:szCs w:val="28"/>
        </w:rPr>
        <w:t xml:space="preserve"> </w:t>
      </w:r>
    </w:p>
    <w:p w14:paraId="5F18FFED" w14:textId="6696B5E2" w:rsidR="00796B46" w:rsidRDefault="003847D8" w:rsidP="003847D8">
      <w:pPr>
        <w:rPr>
          <w:rFonts w:ascii="Times New Roman" w:hAnsi="Times New Roman" w:cs="Times New Roman"/>
          <w:sz w:val="28"/>
          <w:szCs w:val="28"/>
        </w:rPr>
      </w:pPr>
      <w:r w:rsidRPr="003847D8">
        <w:rPr>
          <w:rFonts w:ascii="Times New Roman" w:hAnsi="Times New Roman" w:cs="Times New Roman"/>
          <w:sz w:val="28"/>
          <w:szCs w:val="28"/>
        </w:rPr>
        <w:t xml:space="preserve">  </w:t>
      </w:r>
    </w:p>
    <w:p w14:paraId="0D68794F" w14:textId="77777777" w:rsidR="00946385" w:rsidRDefault="00946385" w:rsidP="003847D8">
      <w:pPr>
        <w:rPr>
          <w:rFonts w:ascii="Times New Roman" w:hAnsi="Times New Roman" w:cs="Times New Roman"/>
          <w:sz w:val="28"/>
          <w:szCs w:val="28"/>
        </w:rPr>
      </w:pPr>
    </w:p>
    <w:p w14:paraId="0742EE1C" w14:textId="77777777" w:rsidR="00946385" w:rsidRDefault="00946385" w:rsidP="003847D8">
      <w:pPr>
        <w:rPr>
          <w:rFonts w:ascii="Times New Roman" w:hAnsi="Times New Roman" w:cs="Times New Roman"/>
          <w:sz w:val="28"/>
          <w:szCs w:val="28"/>
        </w:rPr>
      </w:pPr>
    </w:p>
    <w:p w14:paraId="20FFC730" w14:textId="77777777" w:rsidR="00946385" w:rsidRDefault="00946385" w:rsidP="003847D8">
      <w:pPr>
        <w:rPr>
          <w:rFonts w:ascii="Times New Roman" w:hAnsi="Times New Roman" w:cs="Times New Roman"/>
          <w:sz w:val="28"/>
          <w:szCs w:val="28"/>
        </w:rPr>
      </w:pPr>
    </w:p>
    <w:p w14:paraId="1DD4AC1D" w14:textId="77777777" w:rsidR="00946385" w:rsidRDefault="00946385" w:rsidP="003847D8">
      <w:pPr>
        <w:rPr>
          <w:rFonts w:ascii="Times New Roman" w:hAnsi="Times New Roman" w:cs="Times New Roman"/>
          <w:sz w:val="28"/>
          <w:szCs w:val="28"/>
        </w:rPr>
      </w:pPr>
    </w:p>
    <w:p w14:paraId="3B372A2D" w14:textId="77777777" w:rsidR="00946385" w:rsidRDefault="00946385" w:rsidP="003847D8">
      <w:pPr>
        <w:rPr>
          <w:rFonts w:ascii="Times New Roman" w:hAnsi="Times New Roman" w:cs="Times New Roman"/>
          <w:sz w:val="28"/>
          <w:szCs w:val="28"/>
        </w:rPr>
      </w:pPr>
    </w:p>
    <w:p w14:paraId="672896B7" w14:textId="77777777" w:rsidR="00946385" w:rsidRDefault="00946385" w:rsidP="003847D8">
      <w:pPr>
        <w:rPr>
          <w:rFonts w:ascii="Times New Roman" w:hAnsi="Times New Roman" w:cs="Times New Roman"/>
          <w:sz w:val="28"/>
          <w:szCs w:val="28"/>
        </w:rPr>
      </w:pPr>
    </w:p>
    <w:p w14:paraId="55F34A58" w14:textId="77777777" w:rsidR="00946385" w:rsidRDefault="00946385" w:rsidP="003847D8">
      <w:pPr>
        <w:rPr>
          <w:rFonts w:ascii="Times New Roman" w:hAnsi="Times New Roman" w:cs="Times New Roman"/>
          <w:sz w:val="28"/>
          <w:szCs w:val="28"/>
        </w:rPr>
      </w:pPr>
    </w:p>
    <w:p w14:paraId="21870B66" w14:textId="77777777" w:rsidR="00946385" w:rsidRDefault="00946385" w:rsidP="003847D8">
      <w:pPr>
        <w:rPr>
          <w:rFonts w:ascii="Times New Roman" w:hAnsi="Times New Roman" w:cs="Times New Roman"/>
          <w:sz w:val="28"/>
          <w:szCs w:val="28"/>
        </w:rPr>
      </w:pPr>
    </w:p>
    <w:p w14:paraId="5883CEF0" w14:textId="77777777" w:rsidR="00946385" w:rsidRDefault="00946385" w:rsidP="003847D8">
      <w:pPr>
        <w:rPr>
          <w:rFonts w:ascii="Times New Roman" w:hAnsi="Times New Roman" w:cs="Times New Roman"/>
          <w:sz w:val="28"/>
          <w:szCs w:val="28"/>
        </w:rPr>
      </w:pPr>
    </w:p>
    <w:p w14:paraId="3BE6C344" w14:textId="77777777" w:rsidR="00946385" w:rsidRDefault="00946385" w:rsidP="003847D8">
      <w:pPr>
        <w:rPr>
          <w:rFonts w:ascii="Times New Roman" w:hAnsi="Times New Roman" w:cs="Times New Roman"/>
          <w:sz w:val="28"/>
          <w:szCs w:val="28"/>
        </w:rPr>
      </w:pPr>
    </w:p>
    <w:p w14:paraId="41676010" w14:textId="77777777" w:rsidR="00946385" w:rsidRDefault="00946385" w:rsidP="003847D8">
      <w:pPr>
        <w:rPr>
          <w:rFonts w:ascii="Times New Roman" w:hAnsi="Times New Roman" w:cs="Times New Roman"/>
          <w:sz w:val="28"/>
          <w:szCs w:val="28"/>
        </w:rPr>
      </w:pPr>
    </w:p>
    <w:p w14:paraId="016FC02F" w14:textId="77777777" w:rsidR="00946385" w:rsidRDefault="00946385" w:rsidP="003847D8">
      <w:pPr>
        <w:rPr>
          <w:rFonts w:ascii="Times New Roman" w:hAnsi="Times New Roman" w:cs="Times New Roman"/>
          <w:sz w:val="28"/>
          <w:szCs w:val="28"/>
        </w:rPr>
      </w:pPr>
    </w:p>
    <w:p w14:paraId="43781C72" w14:textId="77777777" w:rsidR="00946385" w:rsidRDefault="00946385" w:rsidP="003847D8">
      <w:pPr>
        <w:rPr>
          <w:rFonts w:ascii="Times New Roman" w:hAnsi="Times New Roman" w:cs="Times New Roman"/>
          <w:sz w:val="28"/>
          <w:szCs w:val="28"/>
        </w:rPr>
      </w:pPr>
    </w:p>
    <w:p w14:paraId="6E6D952C" w14:textId="77777777" w:rsidR="00946385" w:rsidRDefault="00946385" w:rsidP="003847D8">
      <w:pPr>
        <w:rPr>
          <w:rFonts w:ascii="Times New Roman" w:hAnsi="Times New Roman" w:cs="Times New Roman"/>
          <w:sz w:val="28"/>
          <w:szCs w:val="28"/>
        </w:rPr>
      </w:pPr>
    </w:p>
    <w:p w14:paraId="1FD2F7EE" w14:textId="77777777" w:rsidR="00946385" w:rsidRDefault="00946385" w:rsidP="003847D8">
      <w:pPr>
        <w:rPr>
          <w:rFonts w:ascii="Times New Roman" w:hAnsi="Times New Roman" w:cs="Times New Roman"/>
          <w:sz w:val="28"/>
          <w:szCs w:val="28"/>
        </w:rPr>
      </w:pPr>
    </w:p>
    <w:p w14:paraId="2F5043B5" w14:textId="77777777" w:rsidR="00946385" w:rsidRDefault="00946385" w:rsidP="003847D8">
      <w:pPr>
        <w:pBdr>
          <w:bottom w:val="single" w:sz="12" w:space="1" w:color="auto"/>
        </w:pBdr>
        <w:rPr>
          <w:rFonts w:ascii="Times New Roman" w:hAnsi="Times New Roman" w:cs="Times New Roman"/>
          <w:sz w:val="28"/>
          <w:szCs w:val="28"/>
        </w:rPr>
      </w:pPr>
    </w:p>
    <w:p w14:paraId="604C41B6" w14:textId="77777777" w:rsidR="00946385" w:rsidRDefault="00946385" w:rsidP="00946385">
      <w:pPr>
        <w:pStyle w:val="footnotedescription"/>
        <w:ind w:left="0"/>
      </w:pPr>
      <w:r>
        <w:rPr>
          <w:rStyle w:val="footnotemark"/>
        </w:rPr>
        <w:footnoteRef/>
      </w:r>
      <w:r>
        <w:t xml:space="preserve"> Ref: Klaricid, MHRA, </w:t>
      </w:r>
      <w:r>
        <w:rPr>
          <w:sz w:val="24"/>
        </w:rPr>
        <w:t xml:space="preserve">16/05/2022 </w:t>
      </w:r>
      <w:r>
        <w:t xml:space="preserve"> </w:t>
      </w:r>
    </w:p>
    <w:p w14:paraId="76BF16B6" w14:textId="77777777" w:rsidR="00946385" w:rsidRPr="003847D8" w:rsidRDefault="00946385" w:rsidP="00946385">
      <w:pPr>
        <w:jc w:val="both"/>
        <w:rPr>
          <w:rFonts w:ascii="Times New Roman" w:hAnsi="Times New Roman" w:cs="Times New Roman"/>
          <w:sz w:val="28"/>
          <w:szCs w:val="28"/>
        </w:rPr>
      </w:pPr>
    </w:p>
    <w:sectPr w:rsidR="00946385" w:rsidRPr="003847D8" w:rsidSect="003847D8">
      <w:pgSz w:w="12240" w:h="15840"/>
      <w:pgMar w:top="1985" w:right="1418"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725"/>
    <w:multiLevelType w:val="hybridMultilevel"/>
    <w:tmpl w:val="C0C4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474BB"/>
    <w:multiLevelType w:val="hybridMultilevel"/>
    <w:tmpl w:val="B2D087C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273110"/>
    <w:multiLevelType w:val="multilevel"/>
    <w:tmpl w:val="3ADA2982"/>
    <w:lvl w:ilvl="0">
      <w:start w:val="1"/>
      <w:numFmt w:val="decimal"/>
      <w:lvlText w:val="%1."/>
      <w:lvlJc w:val="left"/>
      <w:pPr>
        <w:ind w:left="360" w:hanging="360"/>
      </w:p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955FC9"/>
    <w:multiLevelType w:val="hybridMultilevel"/>
    <w:tmpl w:val="C026011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1B20634C"/>
    <w:multiLevelType w:val="multilevel"/>
    <w:tmpl w:val="4A04F446"/>
    <w:lvl w:ilvl="0">
      <w:start w:val="1"/>
      <w:numFmt w:val="decimal"/>
      <w:lvlText w:val="%1."/>
      <w:lvlJc w:val="left"/>
      <w:pPr>
        <w:ind w:left="1080" w:hanging="360"/>
      </w:pPr>
    </w:lvl>
    <w:lvl w:ilvl="1">
      <w:start w:val="1"/>
      <w:numFmt w:val="decimal"/>
      <w:lvlText w:val="%1.%2."/>
      <w:lvlJc w:val="left"/>
      <w:pPr>
        <w:ind w:left="1512" w:hanging="432"/>
      </w:pPr>
      <w:rPr>
        <w:b/>
        <w:bCs/>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23D1493C"/>
    <w:multiLevelType w:val="multilevel"/>
    <w:tmpl w:val="4A04F44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9B5547"/>
    <w:multiLevelType w:val="hybridMultilevel"/>
    <w:tmpl w:val="6D165CCC"/>
    <w:lvl w:ilvl="0" w:tplc="04090001">
      <w:start w:val="1"/>
      <w:numFmt w:val="bullet"/>
      <w:lvlText w:val=""/>
      <w:lvlJc w:val="left"/>
      <w:pPr>
        <w:ind w:left="1512" w:hanging="360"/>
      </w:pPr>
      <w:rPr>
        <w:rFonts w:ascii="Symbol" w:hAnsi="Symbol" w:hint="default"/>
      </w:rPr>
    </w:lvl>
    <w:lvl w:ilvl="1" w:tplc="76D41BC0">
      <w:start w:val="4"/>
      <w:numFmt w:val="bullet"/>
      <w:lvlText w:val="•"/>
      <w:lvlJc w:val="left"/>
      <w:pPr>
        <w:ind w:left="2592" w:hanging="720"/>
      </w:pPr>
      <w:rPr>
        <w:rFonts w:ascii="Times New Roman" w:eastAsiaTheme="minorHAnsi" w:hAnsi="Times New Roman" w:cs="Times New Roma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5452086B"/>
    <w:multiLevelType w:val="hybridMultilevel"/>
    <w:tmpl w:val="3B8848C8"/>
    <w:lvl w:ilvl="0" w:tplc="75780388">
      <w:start w:val="1"/>
      <w:numFmt w:val="bullet"/>
      <w:lvlText w:val="•"/>
      <w:lvlJc w:val="left"/>
      <w:pPr>
        <w:ind w:left="2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1E6F7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9EBCE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82B8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68DD2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C65A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FCDE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6E629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8A447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E960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230858"/>
    <w:multiLevelType w:val="hybridMultilevel"/>
    <w:tmpl w:val="A532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A50CE"/>
    <w:multiLevelType w:val="hybridMultilevel"/>
    <w:tmpl w:val="7254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B4F70"/>
    <w:multiLevelType w:val="multilevel"/>
    <w:tmpl w:val="4A04F446"/>
    <w:lvl w:ilvl="0">
      <w:start w:val="1"/>
      <w:numFmt w:val="decimal"/>
      <w:lvlText w:val="%1."/>
      <w:lvlJc w:val="left"/>
      <w:pPr>
        <w:ind w:left="1080" w:hanging="360"/>
      </w:pPr>
    </w:lvl>
    <w:lvl w:ilvl="1">
      <w:start w:val="1"/>
      <w:numFmt w:val="decimal"/>
      <w:lvlText w:val="%1.%2."/>
      <w:lvlJc w:val="left"/>
      <w:pPr>
        <w:ind w:left="1512" w:hanging="432"/>
      </w:pPr>
      <w:rPr>
        <w:b/>
        <w:bCs/>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6E905C27"/>
    <w:multiLevelType w:val="hybridMultilevel"/>
    <w:tmpl w:val="FD4E4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F852B6"/>
    <w:multiLevelType w:val="multilevel"/>
    <w:tmpl w:val="4A04F446"/>
    <w:lvl w:ilvl="0">
      <w:start w:val="1"/>
      <w:numFmt w:val="decimal"/>
      <w:lvlText w:val="%1."/>
      <w:lvlJc w:val="left"/>
      <w:pPr>
        <w:ind w:left="1080" w:hanging="360"/>
      </w:pPr>
    </w:lvl>
    <w:lvl w:ilvl="1">
      <w:start w:val="1"/>
      <w:numFmt w:val="decimal"/>
      <w:lvlText w:val="%1.%2."/>
      <w:lvlJc w:val="left"/>
      <w:pPr>
        <w:ind w:left="1512" w:hanging="432"/>
      </w:pPr>
      <w:rPr>
        <w:b/>
        <w:bCs/>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763470E7"/>
    <w:multiLevelType w:val="hybridMultilevel"/>
    <w:tmpl w:val="4F70DE9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7A846335"/>
    <w:multiLevelType w:val="hybridMultilevel"/>
    <w:tmpl w:val="8DE63C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23261800">
    <w:abstractNumId w:val="2"/>
  </w:num>
  <w:num w:numId="2" w16cid:durableId="843589618">
    <w:abstractNumId w:val="5"/>
  </w:num>
  <w:num w:numId="3" w16cid:durableId="168260205">
    <w:abstractNumId w:val="3"/>
  </w:num>
  <w:num w:numId="4" w16cid:durableId="1604454005">
    <w:abstractNumId w:val="9"/>
  </w:num>
  <w:num w:numId="5" w16cid:durableId="1133329420">
    <w:abstractNumId w:val="8"/>
  </w:num>
  <w:num w:numId="6" w16cid:durableId="1218930802">
    <w:abstractNumId w:val="6"/>
  </w:num>
  <w:num w:numId="7" w16cid:durableId="1329140942">
    <w:abstractNumId w:val="10"/>
  </w:num>
  <w:num w:numId="8" w16cid:durableId="917128692">
    <w:abstractNumId w:val="14"/>
  </w:num>
  <w:num w:numId="9" w16cid:durableId="2089764347">
    <w:abstractNumId w:val="12"/>
  </w:num>
  <w:num w:numId="10" w16cid:durableId="1560819618">
    <w:abstractNumId w:val="15"/>
  </w:num>
  <w:num w:numId="11" w16cid:durableId="264188757">
    <w:abstractNumId w:val="1"/>
  </w:num>
  <w:num w:numId="12" w16cid:durableId="1626890466">
    <w:abstractNumId w:val="0"/>
  </w:num>
  <w:num w:numId="13" w16cid:durableId="710806954">
    <w:abstractNumId w:val="11"/>
  </w:num>
  <w:num w:numId="14" w16cid:durableId="837888795">
    <w:abstractNumId w:val="13"/>
  </w:num>
  <w:num w:numId="15" w16cid:durableId="310138195">
    <w:abstractNumId w:val="4"/>
  </w:num>
  <w:num w:numId="16" w16cid:durableId="15655294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attachedTemplate r:id="rId1"/>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D8"/>
    <w:rsid w:val="000414A9"/>
    <w:rsid w:val="00075C23"/>
    <w:rsid w:val="00135DD3"/>
    <w:rsid w:val="003847D8"/>
    <w:rsid w:val="00515FA7"/>
    <w:rsid w:val="00612F87"/>
    <w:rsid w:val="0063453C"/>
    <w:rsid w:val="006641C5"/>
    <w:rsid w:val="00796B46"/>
    <w:rsid w:val="007A1900"/>
    <w:rsid w:val="00800F90"/>
    <w:rsid w:val="00815E7B"/>
    <w:rsid w:val="008F34E3"/>
    <w:rsid w:val="00946385"/>
    <w:rsid w:val="00A0543D"/>
    <w:rsid w:val="00B51A5B"/>
    <w:rsid w:val="00BC6893"/>
    <w:rsid w:val="00C5591F"/>
    <w:rsid w:val="00C55DBC"/>
    <w:rsid w:val="00C64B0D"/>
    <w:rsid w:val="00F41E9D"/>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8BE2"/>
  <w15:chartTrackingRefBased/>
  <w15:docId w15:val="{843FD4EC-8FCE-A74B-8A8E-122AF107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fingSMPC">
    <w:name w:val="SubHeafing_SMPC"/>
    <w:basedOn w:val="ListParagraph"/>
    <w:qFormat/>
    <w:rsid w:val="00796B46"/>
    <w:pPr>
      <w:numPr>
        <w:ilvl w:val="1"/>
        <w:numId w:val="1"/>
      </w:numPr>
      <w:spacing w:before="240" w:after="0" w:line="360" w:lineRule="auto"/>
    </w:pPr>
    <w:rPr>
      <w:rFonts w:ascii="Times New Roman" w:eastAsia="Arial" w:hAnsi="Times New Roman" w:cs="Times New Roman"/>
      <w:b/>
      <w:bCs/>
      <w:kern w:val="0"/>
      <w:szCs w:val="28"/>
      <w14:ligatures w14:val="none"/>
    </w:rPr>
  </w:style>
  <w:style w:type="paragraph" w:styleId="ListParagraph">
    <w:name w:val="List Paragraph"/>
    <w:basedOn w:val="Normal"/>
    <w:uiPriority w:val="34"/>
    <w:qFormat/>
    <w:rsid w:val="00796B46"/>
    <w:pPr>
      <w:ind w:left="720"/>
      <w:contextualSpacing/>
    </w:pPr>
  </w:style>
  <w:style w:type="paragraph" w:customStyle="1" w:styleId="BodyTextSMPC">
    <w:name w:val="BodyText_SMPC"/>
    <w:basedOn w:val="BodyText"/>
    <w:qFormat/>
    <w:rsid w:val="00796B46"/>
    <w:pPr>
      <w:spacing w:after="240" w:line="360" w:lineRule="auto"/>
      <w:ind w:left="794"/>
    </w:pPr>
    <w:rPr>
      <w:rFonts w:ascii="Times New Roman" w:eastAsia="Arial" w:hAnsi="Times New Roman" w:cs="Times New Roman"/>
      <w:kern w:val="0"/>
      <w:sz w:val="28"/>
      <w:szCs w:val="28"/>
      <w14:ligatures w14:val="none"/>
    </w:rPr>
  </w:style>
  <w:style w:type="paragraph" w:styleId="BodyText">
    <w:name w:val="Body Text"/>
    <w:basedOn w:val="Normal"/>
    <w:link w:val="BodyTextChar"/>
    <w:uiPriority w:val="99"/>
    <w:semiHidden/>
    <w:unhideWhenUsed/>
    <w:rsid w:val="00796B46"/>
    <w:pPr>
      <w:spacing w:after="120"/>
    </w:pPr>
  </w:style>
  <w:style w:type="character" w:customStyle="1" w:styleId="BodyTextChar">
    <w:name w:val="Body Text Char"/>
    <w:basedOn w:val="DefaultParagraphFont"/>
    <w:link w:val="BodyText"/>
    <w:uiPriority w:val="99"/>
    <w:semiHidden/>
    <w:rsid w:val="00796B46"/>
    <w:rPr>
      <w:rFonts w:cs="Angsana New"/>
    </w:rPr>
  </w:style>
  <w:style w:type="table" w:customStyle="1" w:styleId="TableGrid">
    <w:name w:val="TableGrid"/>
    <w:rsid w:val="008F34E3"/>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946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946385"/>
    <w:pPr>
      <w:spacing w:after="0" w:line="259" w:lineRule="auto"/>
      <w:ind w:left="2518"/>
    </w:pPr>
    <w:rPr>
      <w:rFonts w:ascii="Times New Roman" w:eastAsia="Times New Roman" w:hAnsi="Times New Roman" w:cs="Times New Roman"/>
      <w:color w:val="000000"/>
      <w:sz w:val="22"/>
    </w:rPr>
  </w:style>
  <w:style w:type="character" w:customStyle="1" w:styleId="footnotedescriptionChar">
    <w:name w:val="footnote description Char"/>
    <w:link w:val="footnotedescription"/>
    <w:rsid w:val="00946385"/>
    <w:rPr>
      <w:rFonts w:ascii="Times New Roman" w:eastAsia="Times New Roman" w:hAnsi="Times New Roman" w:cs="Times New Roman"/>
      <w:color w:val="000000"/>
      <w:sz w:val="22"/>
    </w:rPr>
  </w:style>
  <w:style w:type="character" w:customStyle="1" w:styleId="footnotemark">
    <w:name w:val="footnote mark"/>
    <w:hidden/>
    <w:rsid w:val="00946385"/>
    <w:rPr>
      <w:rFonts w:ascii="Times New Roman" w:eastAsia="Times New Roman" w:hAnsi="Times New Roman" w:cs="Times New Roman"/>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43</Pages>
  <Words>7875</Words>
  <Characters>44892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Piyatida Panitsupakamol</dc:creator>
  <cp:keywords/>
  <dc:description/>
  <cp:lastModifiedBy>PIYATIDA PANITSUPAKAMOL</cp:lastModifiedBy>
  <cp:revision>1</cp:revision>
  <dcterms:created xsi:type="dcterms:W3CDTF">2024-09-06T09:27:00Z</dcterms:created>
  <dcterms:modified xsi:type="dcterms:W3CDTF">2024-09-06T12:48:00Z</dcterms:modified>
</cp:coreProperties>
</file>