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E9D58" w14:textId="77777777" w:rsidR="00951600" w:rsidRPr="000A1286" w:rsidRDefault="00951600" w:rsidP="00951600">
      <w:pPr>
        <w:pStyle w:val="TitleSMPC"/>
        <w:rPr>
          <w:sz w:val="28"/>
        </w:rPr>
      </w:pPr>
      <w:r w:rsidRPr="000A1286">
        <w:rPr>
          <w:sz w:val="28"/>
        </w:rPr>
        <w:t>SUMMARY OF PRODUCT CHARACTERISTICS</w:t>
      </w:r>
    </w:p>
    <w:p w14:paraId="026716DC" w14:textId="77777777" w:rsidR="00951600" w:rsidRDefault="00951600" w:rsidP="00951600">
      <w:pPr>
        <w:pStyle w:val="HEADING1SMPC"/>
      </w:pPr>
      <w:r w:rsidRPr="008F5678">
        <w:t>NAME OF THE MEDICINAL PRODUCT</w:t>
      </w:r>
    </w:p>
    <w:p w14:paraId="47E499E3" w14:textId="1E6B95B6" w:rsidR="00951600" w:rsidRPr="00A4294B" w:rsidRDefault="00230534" w:rsidP="00951600">
      <w:pPr>
        <w:pStyle w:val="ae"/>
        <w:spacing w:line="360" w:lineRule="auto"/>
        <w:ind w:left="567"/>
        <w:rPr>
          <w:rFonts w:ascii="Times New Roman" w:hAnsi="Times New Roman" w:cs="Times New Roman"/>
          <w:sz w:val="28"/>
        </w:rPr>
      </w:pPr>
      <w:r w:rsidRPr="00230534">
        <w:rPr>
          <w:rFonts w:ascii="Times New Roman" w:hAnsi="Times New Roman" w:cs="Times New Roman"/>
          <w:color w:val="FF0000"/>
          <w:sz w:val="28"/>
        </w:rPr>
        <w:t xml:space="preserve">&lt;Trade Name&gt; &lt;Strength&gt; </w:t>
      </w:r>
      <w:r>
        <w:rPr>
          <w:rFonts w:ascii="Times New Roman" w:hAnsi="Times New Roman" w:cs="Times New Roman"/>
          <w:sz w:val="28"/>
        </w:rPr>
        <w:t>s</w:t>
      </w:r>
      <w:r w:rsidRPr="00230534">
        <w:rPr>
          <w:rFonts w:ascii="Times New Roman" w:hAnsi="Times New Roman" w:cs="Times New Roman"/>
          <w:sz w:val="28"/>
        </w:rPr>
        <w:t>uppositories</w:t>
      </w:r>
    </w:p>
    <w:p w14:paraId="27F07A80" w14:textId="77777777" w:rsidR="00951600" w:rsidRDefault="00951600" w:rsidP="00951600">
      <w:pPr>
        <w:pStyle w:val="HEADING1SMPC"/>
        <w:rPr>
          <w:rFonts w:cstheme="minorBidi"/>
        </w:rPr>
      </w:pPr>
      <w:r w:rsidRPr="008F5678">
        <w:t>QUALITATIVE AND QUANTITATIVE COMPOSITION</w:t>
      </w:r>
    </w:p>
    <w:p w14:paraId="15874AC9" w14:textId="205B2EE7" w:rsidR="00951600" w:rsidRDefault="00951600" w:rsidP="00951600">
      <w:pPr>
        <w:pStyle w:val="ae"/>
        <w:spacing w:after="0" w:line="360" w:lineRule="auto"/>
        <w:ind w:left="567"/>
        <w:rPr>
          <w:rFonts w:ascii="Times New Roman" w:hAnsi="Times New Roman" w:cs="Times New Roman"/>
          <w:sz w:val="28"/>
        </w:rPr>
      </w:pPr>
      <w:r w:rsidRPr="00951600">
        <w:rPr>
          <w:rFonts w:ascii="Times New Roman" w:hAnsi="Times New Roman" w:cs="Times New Roman"/>
          <w:sz w:val="28"/>
        </w:rPr>
        <w:t>Each suppository contains 2800</w:t>
      </w:r>
      <w:r w:rsidR="00230534">
        <w:rPr>
          <w:rFonts w:ascii="Times New Roman" w:hAnsi="Times New Roman" w:cs="Times New Roman"/>
          <w:sz w:val="28"/>
        </w:rPr>
        <w:t xml:space="preserve"> </w:t>
      </w:r>
      <w:r w:rsidRPr="00951600">
        <w:rPr>
          <w:rFonts w:ascii="Times New Roman" w:hAnsi="Times New Roman" w:cs="Times New Roman"/>
          <w:sz w:val="28"/>
        </w:rPr>
        <w:t>mg Glycerol</w:t>
      </w:r>
    </w:p>
    <w:p w14:paraId="21CBD8EB" w14:textId="747A5E79" w:rsidR="00951600" w:rsidRPr="00230534" w:rsidRDefault="00951600" w:rsidP="00951600">
      <w:pPr>
        <w:pStyle w:val="ae"/>
        <w:spacing w:after="0" w:line="360" w:lineRule="auto"/>
        <w:ind w:left="567"/>
        <w:rPr>
          <w:rFonts w:ascii="Times New Roman" w:hAnsi="Times New Roman" w:cs="Times New Roman"/>
          <w:color w:val="FF0000"/>
          <w:sz w:val="28"/>
          <w:u w:val="single"/>
        </w:rPr>
      </w:pPr>
      <w:r w:rsidRPr="00230534">
        <w:rPr>
          <w:rFonts w:ascii="Times New Roman" w:hAnsi="Times New Roman" w:cs="Times New Roman"/>
          <w:sz w:val="28"/>
          <w:u w:val="single"/>
        </w:rPr>
        <w:t>Excipient(s) with known effect:</w:t>
      </w:r>
    </w:p>
    <w:p w14:paraId="244D7C06" w14:textId="77777777" w:rsidR="00951600" w:rsidRPr="0085460F" w:rsidRDefault="00951600" w:rsidP="00951600">
      <w:pPr>
        <w:pStyle w:val="ae"/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B9BC50D" w14:textId="77777777" w:rsidR="00951600" w:rsidRPr="000A1286" w:rsidRDefault="00951600" w:rsidP="00951600">
      <w:pPr>
        <w:pStyle w:val="ae"/>
        <w:spacing w:after="0" w:line="360" w:lineRule="auto"/>
        <w:ind w:left="567"/>
        <w:jc w:val="thaiDistribute"/>
        <w:rPr>
          <w:rFonts w:ascii="Times New Roman" w:hAnsi="Times New Roman" w:cs="Times New Roman"/>
          <w:sz w:val="28"/>
        </w:rPr>
      </w:pPr>
      <w:r w:rsidRPr="000A1286">
        <w:rPr>
          <w:rFonts w:ascii="Times New Roman" w:hAnsi="Times New Roman" w:cs="Times New Roman"/>
          <w:sz w:val="28"/>
        </w:rPr>
        <w:t xml:space="preserve">For a full list of excipients, see section </w:t>
      </w:r>
      <w:r w:rsidRPr="000A1286">
        <w:rPr>
          <w:rFonts w:ascii="Times New Roman" w:hAnsi="Times New Roman" w:cs="Times New Roman"/>
          <w:sz w:val="28"/>
          <w:cs/>
        </w:rPr>
        <w:t>6.1.</w:t>
      </w:r>
    </w:p>
    <w:p w14:paraId="31E35984" w14:textId="77777777" w:rsidR="00951600" w:rsidRDefault="00951600" w:rsidP="00951600">
      <w:pPr>
        <w:pStyle w:val="HEADING1SMPC"/>
        <w:rPr>
          <w:rFonts w:cstheme="minorBidi"/>
        </w:rPr>
      </w:pPr>
      <w:r w:rsidRPr="008F5678">
        <w:t xml:space="preserve">PHARMACEUTICAL FORM </w:t>
      </w:r>
    </w:p>
    <w:p w14:paraId="79EDF5F7" w14:textId="652307D7" w:rsidR="00951600" w:rsidRDefault="00951600" w:rsidP="00951600">
      <w:pPr>
        <w:pStyle w:val="ae"/>
        <w:spacing w:line="360" w:lineRule="auto"/>
        <w:ind w:left="567"/>
        <w:jc w:val="thaiDistribute"/>
        <w:rPr>
          <w:rFonts w:ascii="Times New Roman" w:hAnsi="Times New Roman" w:cs="Times New Roman"/>
          <w:color w:val="FF0000"/>
          <w:sz w:val="28"/>
        </w:rPr>
      </w:pPr>
      <w:r w:rsidRPr="00951600">
        <w:rPr>
          <w:rFonts w:ascii="Times New Roman" w:hAnsi="Times New Roman" w:cs="Times New Roman"/>
          <w:sz w:val="28"/>
        </w:rPr>
        <w:t>Amber coloured suppository, of nominal weight 4</w:t>
      </w:r>
      <w:r w:rsidR="00230534">
        <w:rPr>
          <w:rFonts w:ascii="Times New Roman" w:hAnsi="Times New Roman" w:cs="Times New Roman"/>
          <w:sz w:val="28"/>
        </w:rPr>
        <w:t xml:space="preserve"> </w:t>
      </w:r>
      <w:r w:rsidRPr="00951600">
        <w:rPr>
          <w:rFonts w:ascii="Times New Roman" w:hAnsi="Times New Roman" w:cs="Times New Roman"/>
          <w:sz w:val="28"/>
        </w:rPr>
        <w:t>g intended for rectal</w:t>
      </w:r>
      <w:r>
        <w:rPr>
          <w:rFonts w:ascii="Times New Roman" w:hAnsi="Times New Roman" w:cs="Times New Roman"/>
          <w:sz w:val="28"/>
        </w:rPr>
        <w:t xml:space="preserve"> </w:t>
      </w:r>
      <w:r w:rsidRPr="00951600">
        <w:rPr>
          <w:rFonts w:ascii="Times New Roman" w:hAnsi="Times New Roman" w:cs="Times New Roman"/>
          <w:sz w:val="28"/>
        </w:rPr>
        <w:t>administration.</w:t>
      </w:r>
    </w:p>
    <w:p w14:paraId="3901FCD7" w14:textId="77777777" w:rsidR="00951600" w:rsidRPr="0085460F" w:rsidRDefault="00951600" w:rsidP="00951600">
      <w:pPr>
        <w:pStyle w:val="ae"/>
        <w:spacing w:line="360" w:lineRule="auto"/>
        <w:jc w:val="center"/>
        <w:rPr>
          <w:rFonts w:ascii="Times New Roman" w:hAnsi="Times New Roman" w:cs="Times New Roman"/>
          <w:color w:val="FF0000"/>
          <w:sz w:val="28"/>
        </w:rPr>
      </w:pPr>
      <w:r w:rsidRPr="0085460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C4DA48A" w14:textId="77777777" w:rsidR="00951600" w:rsidRPr="008F5678" w:rsidRDefault="00951600" w:rsidP="00951600">
      <w:pPr>
        <w:pStyle w:val="HEADING1SMPC"/>
        <w:rPr>
          <w:szCs w:val="28"/>
        </w:rPr>
      </w:pPr>
      <w:r w:rsidRPr="008F5678">
        <w:t>CLINICAL PARTICULARS</w:t>
      </w:r>
    </w:p>
    <w:p w14:paraId="69AE1334" w14:textId="77777777" w:rsidR="00951600" w:rsidRDefault="00951600" w:rsidP="00951600">
      <w:pPr>
        <w:pStyle w:val="SubHeafingSMPC"/>
        <w:spacing w:before="0"/>
        <w:ind w:left="0" w:firstLine="0"/>
      </w:pPr>
      <w:r w:rsidRPr="007F158B">
        <w:t>Therapeutic indications</w:t>
      </w:r>
    </w:p>
    <w:p w14:paraId="5623A042" w14:textId="38365209" w:rsidR="00951600" w:rsidRPr="00A27C5D" w:rsidRDefault="00951600" w:rsidP="00951600">
      <w:pPr>
        <w:pStyle w:val="SubHeafingSMPC"/>
        <w:numPr>
          <w:ilvl w:val="0"/>
          <w:numId w:val="0"/>
        </w:numPr>
        <w:spacing w:before="0"/>
        <w:jc w:val="thaiDistribute"/>
      </w:pPr>
      <w:r>
        <w:tab/>
      </w:r>
      <w:r w:rsidRPr="00951600">
        <w:rPr>
          <w:rFonts w:cstheme="minorBidi"/>
          <w:b w:val="0"/>
          <w:bCs w:val="0"/>
        </w:rPr>
        <w:t>For</w:t>
      </w:r>
      <w:r w:rsidR="00230534">
        <w:rPr>
          <w:rFonts w:cstheme="minorBidi"/>
          <w:b w:val="0"/>
          <w:bCs w:val="0"/>
        </w:rPr>
        <w:t xml:space="preserve"> </w:t>
      </w:r>
      <w:r w:rsidRPr="00951600">
        <w:rPr>
          <w:rFonts w:cstheme="minorBidi"/>
          <w:b w:val="0"/>
          <w:bCs w:val="0"/>
        </w:rPr>
        <w:t>occasional use as a stimulant laxative for the treatment of</w:t>
      </w:r>
      <w:r w:rsidR="00230534">
        <w:rPr>
          <w:rFonts w:cstheme="minorBidi"/>
          <w:b w:val="0"/>
          <w:bCs w:val="0"/>
        </w:rPr>
        <w:t xml:space="preserve"> </w:t>
      </w:r>
      <w:r w:rsidR="00230534"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>constipation</w:t>
      </w:r>
      <w:r w:rsidRPr="004E6B0A">
        <w:rPr>
          <w:rFonts w:cstheme="minorBidi"/>
          <w:b w:val="0"/>
          <w:bCs w:val="0"/>
        </w:rPr>
        <w:t>.</w:t>
      </w:r>
      <w:r w:rsidRPr="004E6B0A">
        <w:rPr>
          <w:rFonts w:cstheme="minorBidi"/>
          <w:b w:val="0"/>
          <w:bCs w:val="0"/>
          <w:cs/>
        </w:rPr>
        <w:tab/>
      </w:r>
    </w:p>
    <w:p w14:paraId="2FC7F32C" w14:textId="77777777" w:rsidR="00951600" w:rsidRPr="00E26561" w:rsidRDefault="00951600" w:rsidP="00951600">
      <w:pPr>
        <w:pStyle w:val="SubHeafingSMPC"/>
        <w:spacing w:before="0"/>
        <w:ind w:left="57"/>
      </w:pPr>
      <w:r w:rsidRPr="008F5678">
        <w:t>Posology and method of administration</w:t>
      </w:r>
    </w:p>
    <w:p w14:paraId="79B13D9E" w14:textId="16F6013C" w:rsidR="00951600" w:rsidRPr="00230534" w:rsidRDefault="00951600" w:rsidP="00951600">
      <w:pPr>
        <w:pStyle w:val="SubHeafingSMPC"/>
        <w:numPr>
          <w:ilvl w:val="0"/>
          <w:numId w:val="0"/>
        </w:numPr>
        <w:spacing w:before="0"/>
        <w:rPr>
          <w:b w:val="0"/>
          <w:bCs w:val="0"/>
          <w:i/>
          <w:iCs/>
        </w:rPr>
      </w:pPr>
      <w:r>
        <w:rPr>
          <w:rFonts w:cstheme="minorBidi"/>
          <w:cs/>
        </w:rPr>
        <w:tab/>
      </w:r>
      <w:r w:rsidRPr="00230534">
        <w:rPr>
          <w:b w:val="0"/>
          <w:bCs w:val="0"/>
          <w:i/>
          <w:iCs/>
        </w:rPr>
        <w:t>Adults and the elderly</w:t>
      </w:r>
      <w:r w:rsidR="00230534">
        <w:rPr>
          <w:b w:val="0"/>
          <w:bCs w:val="0"/>
          <w:i/>
          <w:iCs/>
        </w:rPr>
        <w:t>:</w:t>
      </w:r>
    </w:p>
    <w:p w14:paraId="66CFCB4E" w14:textId="769A05BA" w:rsidR="00951600" w:rsidRDefault="00951600" w:rsidP="0095160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51600">
        <w:rPr>
          <w:b w:val="0"/>
          <w:bCs w:val="0"/>
        </w:rPr>
        <w:t>One 4</w:t>
      </w:r>
      <w:r w:rsidR="00230534">
        <w:rPr>
          <w:b w:val="0"/>
          <w:bCs w:val="0"/>
        </w:rPr>
        <w:t xml:space="preserve"> </w:t>
      </w:r>
      <w:r w:rsidRPr="00951600">
        <w:rPr>
          <w:b w:val="0"/>
          <w:bCs w:val="0"/>
        </w:rPr>
        <w:t xml:space="preserve">g suppository, to aid insertion the suppository tip should be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 xml:space="preserve">moistened with water before use. No reduction in adult dosage is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>necessary for elderly patients.</w:t>
      </w:r>
    </w:p>
    <w:p w14:paraId="1A32484D" w14:textId="77777777" w:rsidR="00230534" w:rsidRPr="00230534" w:rsidRDefault="00230534" w:rsidP="0095160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sz w:val="10"/>
          <w:szCs w:val="10"/>
        </w:rPr>
      </w:pPr>
    </w:p>
    <w:p w14:paraId="19CC2358" w14:textId="160C7BDB" w:rsidR="00951600" w:rsidRPr="00230534" w:rsidRDefault="00951600" w:rsidP="0095160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  <w:i/>
          <w:iCs/>
        </w:rPr>
      </w:pPr>
      <w:r>
        <w:rPr>
          <w:b w:val="0"/>
          <w:bCs w:val="0"/>
        </w:rPr>
        <w:tab/>
      </w:r>
      <w:r w:rsidRPr="00230534">
        <w:rPr>
          <w:b w:val="0"/>
          <w:bCs w:val="0"/>
          <w:i/>
          <w:iCs/>
        </w:rPr>
        <w:t>Infants and Children</w:t>
      </w:r>
      <w:r w:rsidR="00230534">
        <w:rPr>
          <w:b w:val="0"/>
          <w:bCs w:val="0"/>
          <w:i/>
          <w:iCs/>
        </w:rPr>
        <w:t>:</w:t>
      </w:r>
    </w:p>
    <w:p w14:paraId="35982279" w14:textId="4774A60F" w:rsidR="00951600" w:rsidRPr="00951600" w:rsidRDefault="00951600" w:rsidP="00951600">
      <w:pPr>
        <w:pStyle w:val="SubHeafingSMPC"/>
        <w:numPr>
          <w:ilvl w:val="0"/>
          <w:numId w:val="0"/>
        </w:numPr>
        <w:spacing w:before="0"/>
        <w:jc w:val="thaiDistribute"/>
        <w:rPr>
          <w:rFonts w:cstheme="minorBidi"/>
          <w:i/>
          <w:iCs/>
        </w:rPr>
      </w:pPr>
      <w:r>
        <w:rPr>
          <w:b w:val="0"/>
          <w:bCs w:val="0"/>
        </w:rPr>
        <w:tab/>
      </w:r>
      <w:r w:rsidRPr="00951600">
        <w:rPr>
          <w:b w:val="0"/>
          <w:bCs w:val="0"/>
        </w:rPr>
        <w:t>Not recommended.</w:t>
      </w:r>
    </w:p>
    <w:p w14:paraId="286F417E" w14:textId="77777777" w:rsidR="00951600" w:rsidRPr="004E6B0A" w:rsidRDefault="00951600" w:rsidP="00951600">
      <w:pPr>
        <w:pStyle w:val="SubHeafingSMPC"/>
        <w:numPr>
          <w:ilvl w:val="0"/>
          <w:numId w:val="0"/>
        </w:numPr>
        <w:spacing w:before="0"/>
        <w:rPr>
          <w:rFonts w:cstheme="minorBidi"/>
          <w:b w:val="0"/>
          <w:bCs w:val="0"/>
          <w:sz w:val="10"/>
          <w:szCs w:val="10"/>
        </w:rPr>
      </w:pPr>
    </w:p>
    <w:p w14:paraId="4F3047D4" w14:textId="77777777" w:rsidR="00951600" w:rsidRDefault="00951600" w:rsidP="00951600">
      <w:pPr>
        <w:pStyle w:val="SubHeafingSMPC"/>
        <w:numPr>
          <w:ilvl w:val="0"/>
          <w:numId w:val="0"/>
        </w:numPr>
        <w:rPr>
          <w:rFonts w:cstheme="minorBidi"/>
          <w:b w:val="0"/>
          <w:bCs w:val="0"/>
          <w:u w:val="single"/>
        </w:rPr>
      </w:pPr>
      <w:r>
        <w:rPr>
          <w:rFonts w:cstheme="minorBidi"/>
          <w:b w:val="0"/>
          <w:bCs w:val="0"/>
          <w:cs/>
        </w:rPr>
        <w:lastRenderedPageBreak/>
        <w:tab/>
      </w:r>
      <w:r w:rsidRPr="00E26561">
        <w:rPr>
          <w:b w:val="0"/>
          <w:bCs w:val="0"/>
          <w:u w:val="single"/>
        </w:rPr>
        <w:t>Method of administration</w:t>
      </w:r>
    </w:p>
    <w:p w14:paraId="0A406DAE" w14:textId="16E9071C" w:rsidR="00951600" w:rsidRPr="004E6B0A" w:rsidRDefault="00951600" w:rsidP="00951600">
      <w:pPr>
        <w:pStyle w:val="SubHeafingSMPC"/>
        <w:numPr>
          <w:ilvl w:val="0"/>
          <w:numId w:val="0"/>
        </w:numPr>
        <w:spacing w:before="0"/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  <w:cs/>
        </w:rPr>
        <w:tab/>
      </w:r>
      <w:r w:rsidRPr="00951600">
        <w:rPr>
          <w:b w:val="0"/>
          <w:bCs w:val="0"/>
        </w:rPr>
        <w:t>For rectal use.</w:t>
      </w:r>
    </w:p>
    <w:p w14:paraId="64BC61A2" w14:textId="77777777" w:rsidR="00951600" w:rsidRDefault="00951600" w:rsidP="00951600">
      <w:pPr>
        <w:pStyle w:val="SubHeafingSMPC"/>
        <w:ind w:left="57"/>
      </w:pPr>
      <w:r w:rsidRPr="008F5678">
        <w:t>Contraindications</w:t>
      </w:r>
    </w:p>
    <w:p w14:paraId="3397524F" w14:textId="77777777" w:rsidR="00951600" w:rsidRDefault="00951600" w:rsidP="00951600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51600">
        <w:rPr>
          <w:b w:val="0"/>
          <w:bCs w:val="0"/>
          <w:lang w:eastAsia="zh-CN"/>
        </w:rPr>
        <w:t>Hypersensitivity to the active substance or to any of the excipients.</w:t>
      </w:r>
    </w:p>
    <w:p w14:paraId="07D75F39" w14:textId="7EA24E00" w:rsidR="00951600" w:rsidRPr="004E6B0A" w:rsidRDefault="00951600" w:rsidP="00951600">
      <w:pPr>
        <w:pStyle w:val="SubHeafingSMPC"/>
        <w:numPr>
          <w:ilvl w:val="0"/>
          <w:numId w:val="2"/>
        </w:numPr>
        <w:jc w:val="thaiDistribute"/>
        <w:rPr>
          <w:b w:val="0"/>
          <w:bCs w:val="0"/>
          <w:lang w:eastAsia="zh-CN"/>
        </w:rPr>
      </w:pPr>
      <w:r w:rsidRPr="00951600">
        <w:rPr>
          <w:b w:val="0"/>
          <w:bCs w:val="0"/>
          <w:lang w:eastAsia="zh-CN"/>
        </w:rPr>
        <w:t>The product is contraindicated if there is intestinal obstruction or blockage</w:t>
      </w:r>
      <w:r w:rsidRPr="004E6B0A">
        <w:rPr>
          <w:b w:val="0"/>
          <w:bCs w:val="0"/>
          <w:lang w:eastAsia="zh-CN"/>
        </w:rPr>
        <w:t>.</w:t>
      </w:r>
    </w:p>
    <w:p w14:paraId="6C6CBF4F" w14:textId="77777777" w:rsidR="00951600" w:rsidRDefault="00951600" w:rsidP="00951600">
      <w:pPr>
        <w:pStyle w:val="SubHeafingSMPC"/>
        <w:ind w:left="57"/>
      </w:pPr>
      <w:r w:rsidRPr="008F5678">
        <w:t>Special warnings and precautions for use</w:t>
      </w:r>
    </w:p>
    <w:p w14:paraId="4A2B190F" w14:textId="0FA1D423" w:rsidR="00951600" w:rsidRPr="00091200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 xml:space="preserve">The product is intended for occasional use only. Prolonged or excessive </w:t>
      </w:r>
      <w:r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 xml:space="preserve">use of the product is not recommended as this may cause diarrhoea. Use </w:t>
      </w:r>
      <w:r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 xml:space="preserve">of this product may interfere with glucose control in diabetic patients. If </w:t>
      </w:r>
      <w:r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>symptoms persist consult a doctor</w:t>
      </w:r>
      <w:r w:rsidRPr="00091200">
        <w:rPr>
          <w:rFonts w:cstheme="minorBidi"/>
          <w:b w:val="0"/>
          <w:bCs w:val="0"/>
        </w:rPr>
        <w:t>.</w:t>
      </w:r>
      <w:r w:rsidRPr="00091200">
        <w:rPr>
          <w:rFonts w:cstheme="minorBidi"/>
          <w:b w:val="0"/>
          <w:bCs w:val="0"/>
          <w:cs/>
        </w:rPr>
        <w:tab/>
      </w:r>
    </w:p>
    <w:p w14:paraId="726D2957" w14:textId="77777777" w:rsidR="00951600" w:rsidRPr="002C2ECF" w:rsidRDefault="00951600" w:rsidP="00951600">
      <w:pPr>
        <w:pStyle w:val="SubHeafingSMPC"/>
        <w:ind w:left="57"/>
        <w:jc w:val="thaiDistribute"/>
      </w:pPr>
      <w:r w:rsidRPr="008F5678">
        <w:t>Interaction with other medicinal products and other forms of</w:t>
      </w:r>
      <w:r>
        <w:t xml:space="preserve"> </w:t>
      </w:r>
      <w:r w:rsidRPr="008F5678">
        <w:t>interaction</w:t>
      </w:r>
    </w:p>
    <w:p w14:paraId="60D7E717" w14:textId="77777777" w:rsidR="00951600" w:rsidRPr="006722FC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091200">
        <w:rPr>
          <w:b w:val="0"/>
          <w:bCs w:val="0"/>
        </w:rPr>
        <w:t>None stated</w:t>
      </w:r>
      <w:r w:rsidRPr="00D31F5A">
        <w:rPr>
          <w:b w:val="0"/>
          <w:bCs w:val="0"/>
        </w:rPr>
        <w:t>.</w:t>
      </w:r>
    </w:p>
    <w:p w14:paraId="55C93A31" w14:textId="77777777" w:rsidR="00951600" w:rsidRDefault="00951600" w:rsidP="00951600">
      <w:pPr>
        <w:pStyle w:val="SubHeafingSMPC"/>
        <w:ind w:left="57"/>
      </w:pPr>
      <w:r w:rsidRPr="008F5678">
        <w:t>Fertility, pregnancy and lactation</w:t>
      </w:r>
    </w:p>
    <w:p w14:paraId="0B21EB1C" w14:textId="00FE8292" w:rsidR="00951600" w:rsidRPr="009126B5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 w:rsidRPr="00951600">
        <w:rPr>
          <w:b w:val="0"/>
          <w:bCs w:val="0"/>
        </w:rPr>
        <w:tab/>
        <w:t>No evidence of harmful affects available. However, best avoided during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>the first trimester of pregnancy. May be used during breast feeding.</w:t>
      </w:r>
    </w:p>
    <w:p w14:paraId="2F454C97" w14:textId="77777777" w:rsidR="00951600" w:rsidRPr="009126B5" w:rsidRDefault="00951600" w:rsidP="00951600">
      <w:pPr>
        <w:pStyle w:val="SubHeafingSMPC"/>
        <w:ind w:left="57"/>
      </w:pPr>
      <w:r w:rsidRPr="008F5678">
        <w:t>Effects on ability to drive and use machines</w:t>
      </w:r>
    </w:p>
    <w:p w14:paraId="10981845" w14:textId="77777777" w:rsidR="00951600" w:rsidRPr="002D59FE" w:rsidRDefault="00951600" w:rsidP="00951600">
      <w:pPr>
        <w:pStyle w:val="SubHeafingSMPC"/>
        <w:numPr>
          <w:ilvl w:val="0"/>
          <w:numId w:val="0"/>
        </w:numPr>
        <w:jc w:val="thaiDistribute"/>
        <w:rPr>
          <w:rFonts w:ascii="Angsana New" w:hAnsi="Angsana New" w:cs="Angsana New"/>
          <w:b w:val="0"/>
          <w:bCs w:val="0"/>
          <w:lang w:eastAsia="zh-CN"/>
        </w:rPr>
      </w:pPr>
      <w:r>
        <w:rPr>
          <w:b w:val="0"/>
          <w:bCs w:val="0"/>
          <w:lang w:eastAsia="zh-CN"/>
        </w:rPr>
        <w:tab/>
      </w:r>
      <w:r w:rsidRPr="00091200">
        <w:rPr>
          <w:b w:val="0"/>
          <w:bCs w:val="0"/>
          <w:lang w:eastAsia="zh-CN"/>
        </w:rPr>
        <w:t>None stated.</w:t>
      </w:r>
      <w:r>
        <w:rPr>
          <w:b w:val="0"/>
          <w:bCs w:val="0"/>
          <w:lang w:eastAsia="zh-CN"/>
        </w:rPr>
        <w:tab/>
      </w:r>
    </w:p>
    <w:p w14:paraId="35E7D99F" w14:textId="77777777" w:rsidR="00951600" w:rsidRDefault="00951600" w:rsidP="00951600">
      <w:pPr>
        <w:pStyle w:val="SubHeafingSMPC"/>
        <w:ind w:left="57"/>
      </w:pPr>
      <w:r w:rsidRPr="008F5678">
        <w:t>Undesirable effects</w:t>
      </w:r>
    </w:p>
    <w:p w14:paraId="7A332CD3" w14:textId="581487A7" w:rsidR="00951600" w:rsidRPr="00951600" w:rsidRDefault="00951600" w:rsidP="00951600">
      <w:pPr>
        <w:pStyle w:val="SubHeafingSMPC"/>
        <w:numPr>
          <w:ilvl w:val="0"/>
          <w:numId w:val="0"/>
        </w:numPr>
        <w:jc w:val="thaiDistribute"/>
        <w:rPr>
          <w:sz w:val="10"/>
          <w:szCs w:val="10"/>
          <w:cs/>
        </w:rPr>
      </w:pPr>
      <w:r>
        <w:tab/>
      </w:r>
      <w:r w:rsidRPr="00951600">
        <w:rPr>
          <w:b w:val="0"/>
          <w:bCs w:val="0"/>
        </w:rPr>
        <w:t>Use of the product may occasionally cause abdominal cramps. Glycerol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>can cause irritation when given rectally.</w:t>
      </w:r>
    </w:p>
    <w:p w14:paraId="184BA2E0" w14:textId="77777777" w:rsidR="00951600" w:rsidRDefault="00951600" w:rsidP="00951600">
      <w:pPr>
        <w:pStyle w:val="SubHeafingSMPC"/>
        <w:ind w:left="0" w:firstLine="0"/>
      </w:pPr>
      <w:r w:rsidRPr="008F5678">
        <w:t>Overdose</w:t>
      </w:r>
    </w:p>
    <w:p w14:paraId="0495B35C" w14:textId="144F9290" w:rsidR="00951600" w:rsidRPr="00951600" w:rsidRDefault="00951600" w:rsidP="00951600">
      <w:pPr>
        <w:pStyle w:val="SubHeafingSMPC"/>
        <w:numPr>
          <w:ilvl w:val="0"/>
          <w:numId w:val="0"/>
        </w:numPr>
        <w:jc w:val="thaiDistribute"/>
        <w:rPr>
          <w:rFonts w:cstheme="minorBidi"/>
          <w:b w:val="0"/>
          <w:bCs w:val="0"/>
        </w:rPr>
      </w:pPr>
      <w:r>
        <w:tab/>
      </w:r>
      <w:r w:rsidRPr="00951600">
        <w:rPr>
          <w:rFonts w:cstheme="minorBidi"/>
          <w:b w:val="0"/>
          <w:bCs w:val="0"/>
        </w:rPr>
        <w:t>Overdosage via rectal route is unlikely. However, if ingested treat</w:t>
      </w:r>
      <w:r>
        <w:rPr>
          <w:rFonts w:cstheme="minorBidi"/>
          <w:b w:val="0"/>
          <w:bCs w:val="0"/>
        </w:rPr>
        <w:t xml:space="preserve"> </w:t>
      </w:r>
      <w:r>
        <w:rPr>
          <w:rFonts w:cstheme="minorBidi"/>
          <w:b w:val="0"/>
          <w:bCs w:val="0"/>
        </w:rPr>
        <w:tab/>
      </w:r>
      <w:r w:rsidRPr="00951600">
        <w:rPr>
          <w:rFonts w:cstheme="minorBidi"/>
          <w:b w:val="0"/>
          <w:bCs w:val="0"/>
        </w:rPr>
        <w:t>symptomatically.</w:t>
      </w:r>
    </w:p>
    <w:p w14:paraId="7E0E7D60" w14:textId="77777777" w:rsidR="00951600" w:rsidRPr="008F5678" w:rsidRDefault="00951600" w:rsidP="00951600">
      <w:pPr>
        <w:pStyle w:val="HEADING1SMPC"/>
      </w:pPr>
      <w:r w:rsidRPr="008F5678">
        <w:t xml:space="preserve">PHARMACOLOGICAL PROPERTIES </w:t>
      </w:r>
    </w:p>
    <w:p w14:paraId="0CECCB7B" w14:textId="77777777" w:rsidR="00951600" w:rsidRDefault="00951600" w:rsidP="00951600">
      <w:pPr>
        <w:pStyle w:val="SubHeafingSMPC"/>
        <w:ind w:left="57"/>
      </w:pPr>
      <w:r w:rsidRPr="008F5678">
        <w:t>Pharmacodynamic properties</w:t>
      </w:r>
    </w:p>
    <w:p w14:paraId="78002740" w14:textId="77777777" w:rsidR="00951600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lastRenderedPageBreak/>
        <w:tab/>
      </w:r>
      <w:r w:rsidRPr="00951600">
        <w:rPr>
          <w:b w:val="0"/>
          <w:bCs w:val="0"/>
        </w:rPr>
        <w:t>ATC code A06AX01</w:t>
      </w:r>
    </w:p>
    <w:p w14:paraId="0880C87B" w14:textId="77777777" w:rsidR="00230534" w:rsidRPr="00230534" w:rsidRDefault="00230534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  <w:sz w:val="10"/>
          <w:szCs w:val="10"/>
        </w:rPr>
      </w:pPr>
    </w:p>
    <w:p w14:paraId="44F29092" w14:textId="4A7ACDA0" w:rsidR="00951600" w:rsidRPr="00951600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51600">
        <w:rPr>
          <w:b w:val="0"/>
          <w:bCs w:val="0"/>
        </w:rPr>
        <w:t xml:space="preserve">Glycerol is commonly classified as an osmotic laxative but may act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 xml:space="preserve">additionally or alternatively by promoting peristalsis and evacuation of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 xml:space="preserve">the lower bowel by virtue of a mild irritant effect. Glycerol suppositories </w:t>
      </w:r>
      <w:r>
        <w:rPr>
          <w:b w:val="0"/>
          <w:bCs w:val="0"/>
        </w:rPr>
        <w:tab/>
      </w:r>
      <w:r w:rsidRPr="00951600">
        <w:rPr>
          <w:b w:val="0"/>
          <w:bCs w:val="0"/>
        </w:rPr>
        <w:t>possess also lubricating and faecal softening actions.</w:t>
      </w:r>
    </w:p>
    <w:p w14:paraId="28A11AFD" w14:textId="77777777" w:rsidR="00951600" w:rsidRDefault="00951600" w:rsidP="00951600">
      <w:pPr>
        <w:pStyle w:val="SubHeafingSMPC"/>
        <w:ind w:left="57"/>
      </w:pPr>
      <w:r w:rsidRPr="008F5678">
        <w:t>Pharmacokinetic properties</w:t>
      </w:r>
    </w:p>
    <w:p w14:paraId="4DB6496D" w14:textId="18F32C8B" w:rsidR="00951600" w:rsidRPr="00951600" w:rsidRDefault="00951600" w:rsidP="00951600">
      <w:pPr>
        <w:pStyle w:val="SubHeafingSMPC"/>
        <w:numPr>
          <w:ilvl w:val="0"/>
          <w:numId w:val="0"/>
        </w:numPr>
        <w:rPr>
          <w:b w:val="0"/>
          <w:bCs w:val="0"/>
        </w:rPr>
      </w:pPr>
      <w:r>
        <w:tab/>
      </w:r>
      <w:r w:rsidRPr="00951600">
        <w:rPr>
          <w:b w:val="0"/>
          <w:bCs w:val="0"/>
        </w:rPr>
        <w:t>Glycerol following rectal administration is poorly absorbed.</w:t>
      </w:r>
    </w:p>
    <w:p w14:paraId="652BBB54" w14:textId="77777777" w:rsidR="00951600" w:rsidRPr="00F82D07" w:rsidRDefault="00951600" w:rsidP="00951600">
      <w:pPr>
        <w:pStyle w:val="SubHeafingSMPC"/>
        <w:ind w:left="57"/>
      </w:pPr>
      <w:r w:rsidRPr="008F5678">
        <w:t xml:space="preserve">Preclinical safety data </w:t>
      </w:r>
    </w:p>
    <w:p w14:paraId="59BE7276" w14:textId="40EBD00C" w:rsidR="00951600" w:rsidRDefault="00951600" w:rsidP="00951600">
      <w:pPr>
        <w:pStyle w:val="SubHeafingSMPC"/>
        <w:numPr>
          <w:ilvl w:val="0"/>
          <w:numId w:val="0"/>
        </w:numPr>
        <w:jc w:val="thaiDistribute"/>
        <w:rPr>
          <w:b w:val="0"/>
          <w:bCs w:val="0"/>
        </w:rPr>
      </w:pPr>
      <w:r>
        <w:rPr>
          <w:b w:val="0"/>
          <w:bCs w:val="0"/>
        </w:rPr>
        <w:tab/>
      </w:r>
      <w:r w:rsidRPr="00951600">
        <w:rPr>
          <w:b w:val="0"/>
          <w:bCs w:val="0"/>
        </w:rPr>
        <w:t>No additional pre-clinical data of relevance to the prescriber</w:t>
      </w:r>
      <w:r w:rsidRPr="00D84F3B">
        <w:rPr>
          <w:b w:val="0"/>
          <w:bCs w:val="0"/>
        </w:rPr>
        <w:t>.</w:t>
      </w:r>
    </w:p>
    <w:p w14:paraId="7A39F6C0" w14:textId="77777777" w:rsidR="00951600" w:rsidRPr="008F5678" w:rsidRDefault="00951600" w:rsidP="00951600">
      <w:pPr>
        <w:pStyle w:val="HEADING1SMPC"/>
      </w:pPr>
      <w:r w:rsidRPr="008F5678">
        <w:t xml:space="preserve">PHARMACEUTICAL PARTICULARS </w:t>
      </w:r>
    </w:p>
    <w:p w14:paraId="1CBC1472" w14:textId="77777777" w:rsidR="00951600" w:rsidRPr="008F5678" w:rsidRDefault="00951600" w:rsidP="00951600">
      <w:pPr>
        <w:pStyle w:val="SubHeafingSMPC"/>
        <w:ind w:left="57"/>
        <w:rPr>
          <w:szCs w:val="48"/>
        </w:rPr>
      </w:pPr>
      <w:r w:rsidRPr="008F5678">
        <w:t>List of excipients</w:t>
      </w:r>
    </w:p>
    <w:p w14:paraId="76691414" w14:textId="77777777" w:rsidR="00951600" w:rsidRPr="000A71B4" w:rsidRDefault="00951600" w:rsidP="0095160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38344C16" w14:textId="77777777" w:rsidR="00951600" w:rsidRPr="00F527B4" w:rsidRDefault="00951600" w:rsidP="00951600">
      <w:pPr>
        <w:pStyle w:val="SubHeafingSMPC"/>
        <w:ind w:left="57"/>
      </w:pPr>
      <w:r w:rsidRPr="008F5678">
        <w:t xml:space="preserve">Incompatibilities </w:t>
      </w:r>
    </w:p>
    <w:p w14:paraId="4957B58B" w14:textId="53027272" w:rsidR="00951600" w:rsidRPr="000A71B4" w:rsidRDefault="00951600" w:rsidP="00230534">
      <w:pPr>
        <w:pStyle w:val="SubHeafingSMPC"/>
        <w:numPr>
          <w:ilvl w:val="0"/>
          <w:numId w:val="0"/>
        </w:numPr>
        <w:ind w:left="57"/>
      </w:pPr>
      <w:r>
        <w:rPr>
          <w:b w:val="0"/>
          <w:bCs w:val="0"/>
        </w:rPr>
        <w:tab/>
      </w:r>
      <w:r w:rsidR="00230534" w:rsidRPr="00230534">
        <w:rPr>
          <w:b w:val="0"/>
          <w:bCs w:val="0"/>
        </w:rPr>
        <w:t>None stated</w:t>
      </w:r>
      <w:r w:rsidR="00230534">
        <w:rPr>
          <w:b w:val="0"/>
          <w:bCs w:val="0"/>
        </w:rPr>
        <w:t>.</w:t>
      </w:r>
    </w:p>
    <w:p w14:paraId="44DC6F43" w14:textId="77777777" w:rsidR="00951600" w:rsidRPr="000A71B4" w:rsidRDefault="00951600" w:rsidP="00951600">
      <w:pPr>
        <w:pStyle w:val="SubHeafingSMPC"/>
        <w:ind w:left="57"/>
      </w:pPr>
      <w:r w:rsidRPr="008F5678">
        <w:t xml:space="preserve">Shelf life </w:t>
      </w:r>
    </w:p>
    <w:p w14:paraId="57A5280B" w14:textId="77777777" w:rsidR="00951600" w:rsidRPr="000A71B4" w:rsidRDefault="00951600" w:rsidP="00951600">
      <w:pPr>
        <w:pStyle w:val="SubHeafingSMPC"/>
        <w:numPr>
          <w:ilvl w:val="0"/>
          <w:numId w:val="0"/>
        </w:numPr>
        <w:ind w:left="57"/>
        <w:jc w:val="center"/>
        <w:rPr>
          <w:b w:val="0"/>
          <w:bCs w:val="0"/>
          <w:color w:val="FF0000"/>
        </w:rPr>
      </w:pPr>
      <w:r w:rsidRPr="000A71B4">
        <w:rPr>
          <w:b w:val="0"/>
          <w:bCs w:val="0"/>
          <w:color w:val="FF0000"/>
        </w:rPr>
        <w:t>&lt;Regarding the approval&gt;</w:t>
      </w:r>
    </w:p>
    <w:p w14:paraId="75FE0B81" w14:textId="77777777" w:rsidR="00951600" w:rsidRPr="008F5678" w:rsidRDefault="00951600" w:rsidP="00951600">
      <w:pPr>
        <w:pStyle w:val="SubHeafingSMPC"/>
        <w:ind w:left="57"/>
      </w:pPr>
      <w:r w:rsidRPr="008F5678">
        <w:t xml:space="preserve">Special precautions for storage </w:t>
      </w:r>
    </w:p>
    <w:p w14:paraId="2E0C4814" w14:textId="77777777" w:rsidR="00951600" w:rsidRPr="000A71B4" w:rsidRDefault="00951600" w:rsidP="0095160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2835F69E" w14:textId="77777777" w:rsidR="00951600" w:rsidRPr="008F5678" w:rsidRDefault="00951600" w:rsidP="00951600">
      <w:pPr>
        <w:pStyle w:val="SubHeafingSMPC"/>
        <w:ind w:left="57"/>
      </w:pPr>
      <w:r w:rsidRPr="008F5678">
        <w:t xml:space="preserve">Nature and contents of container </w:t>
      </w:r>
    </w:p>
    <w:p w14:paraId="3942CC96" w14:textId="77777777" w:rsidR="00951600" w:rsidRPr="000A71B4" w:rsidRDefault="00951600" w:rsidP="0095160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52AF7161" w14:textId="77777777" w:rsidR="00951600" w:rsidRPr="000A71B4" w:rsidRDefault="00951600" w:rsidP="00951600">
      <w:pPr>
        <w:pStyle w:val="SubHeafingSMPC"/>
        <w:ind w:left="57"/>
      </w:pPr>
      <w:r w:rsidRPr="008F5678">
        <w:t xml:space="preserve">Special precautions for disposal </w:t>
      </w:r>
    </w:p>
    <w:p w14:paraId="2F9D7CBE" w14:textId="77777777" w:rsidR="00951600" w:rsidRPr="000A71B4" w:rsidRDefault="00951600" w:rsidP="00951600">
      <w:pPr>
        <w:pStyle w:val="SubHeafingSMPC"/>
        <w:numPr>
          <w:ilvl w:val="0"/>
          <w:numId w:val="0"/>
        </w:numPr>
        <w:ind w:left="57"/>
        <w:jc w:val="center"/>
      </w:pPr>
      <w:r w:rsidRPr="000A71B4">
        <w:rPr>
          <w:b w:val="0"/>
          <w:bCs w:val="0"/>
          <w:color w:val="FF0000"/>
        </w:rPr>
        <w:t>&lt;Regarding the approval&gt;</w:t>
      </w:r>
    </w:p>
    <w:p w14:paraId="47C74B15" w14:textId="77777777" w:rsidR="00951600" w:rsidRDefault="00951600" w:rsidP="00951600">
      <w:pPr>
        <w:pStyle w:val="HEADING1SMPC"/>
      </w:pPr>
      <w:r w:rsidRPr="008F5678">
        <w:t xml:space="preserve">MARKETING AUTHORISATION HOLDER </w:t>
      </w:r>
    </w:p>
    <w:p w14:paraId="43983819" w14:textId="77777777" w:rsidR="00951600" w:rsidRPr="00D741D1" w:rsidRDefault="00951600" w:rsidP="0095160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D741D1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41ACFE42" w14:textId="77777777" w:rsidR="00951600" w:rsidRDefault="00951600" w:rsidP="00951600">
      <w:pPr>
        <w:pStyle w:val="HEADING1SMPC"/>
        <w:rPr>
          <w:rFonts w:eastAsia="Times"/>
          <w:color w:val="000000" w:themeColor="text1"/>
        </w:rPr>
      </w:pPr>
      <w:r w:rsidRPr="008F5678">
        <w:rPr>
          <w:color w:val="000000" w:themeColor="text1"/>
        </w:rPr>
        <w:lastRenderedPageBreak/>
        <w:t xml:space="preserve">MARKETING AUTHORISATION NUMBER(S) </w:t>
      </w:r>
    </w:p>
    <w:p w14:paraId="24A30863" w14:textId="77777777" w:rsidR="00951600" w:rsidRPr="002270FF" w:rsidRDefault="00951600" w:rsidP="0095160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1D8592B6" w14:textId="77777777" w:rsidR="00951600" w:rsidRDefault="00951600" w:rsidP="00951600">
      <w:pPr>
        <w:pStyle w:val="HEADING1SMPC"/>
        <w:rPr>
          <w:color w:val="000000" w:themeColor="text1"/>
        </w:rPr>
      </w:pPr>
      <w:r w:rsidRPr="008F5678">
        <w:rPr>
          <w:color w:val="000000" w:themeColor="text1"/>
        </w:rPr>
        <w:t xml:space="preserve">DATE OF FIRST AUTHORISATION/RENEWAL OF THE AUTHORISATION </w:t>
      </w:r>
    </w:p>
    <w:p w14:paraId="285A144E" w14:textId="77777777" w:rsidR="00951600" w:rsidRPr="002270FF" w:rsidRDefault="00951600" w:rsidP="00951600">
      <w:pPr>
        <w:pStyle w:val="ae"/>
        <w:jc w:val="center"/>
        <w:rPr>
          <w:rFonts w:ascii="Times New Roman" w:hAnsi="Times New Roman" w:cs="Times New Roman"/>
          <w:color w:val="FF0000"/>
          <w:sz w:val="28"/>
        </w:rPr>
      </w:pPr>
      <w:r w:rsidRPr="002270FF">
        <w:rPr>
          <w:rFonts w:ascii="Times New Roman" w:hAnsi="Times New Roman" w:cs="Times New Roman"/>
          <w:color w:val="FF0000"/>
          <w:sz w:val="28"/>
        </w:rPr>
        <w:t>&lt;Regarding the approval&gt;</w:t>
      </w:r>
    </w:p>
    <w:p w14:paraId="22C9B30E" w14:textId="77777777" w:rsidR="00951600" w:rsidRPr="008F5678" w:rsidRDefault="00951600" w:rsidP="00951600">
      <w:pPr>
        <w:pStyle w:val="HEADING1SMPC"/>
        <w:rPr>
          <w:rFonts w:eastAsia="Times"/>
          <w:color w:val="FF0000"/>
        </w:rPr>
      </w:pPr>
      <w:r w:rsidRPr="008F5678">
        <w:rPr>
          <w:color w:val="000000" w:themeColor="text1"/>
        </w:rPr>
        <w:t xml:space="preserve">DATE </w:t>
      </w:r>
      <w:r w:rsidRPr="008F5678">
        <w:t>OF REVISION OF THE TEXT</w:t>
      </w:r>
      <w:r w:rsidRPr="008F5678">
        <w:rPr>
          <w:sz w:val="27"/>
          <w:szCs w:val="27"/>
          <w:vertAlign w:val="superscript"/>
        </w:rPr>
        <w:t>1</w:t>
      </w:r>
      <w:r w:rsidRPr="008F5678">
        <w:rPr>
          <w:sz w:val="16"/>
          <w:szCs w:val="16"/>
        </w:rPr>
        <w:t xml:space="preserve"> </w:t>
      </w:r>
    </w:p>
    <w:p w14:paraId="2EE6D4D6" w14:textId="77777777" w:rsidR="00951600" w:rsidRPr="002270FF" w:rsidRDefault="00951600" w:rsidP="00951600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270FF">
        <w:rPr>
          <w:rFonts w:ascii="Times New Roman" w:hAnsi="Times New Roman" w:cs="Times New Roman"/>
          <w:color w:val="FF0000"/>
          <w:sz w:val="28"/>
          <w:szCs w:val="28"/>
        </w:rPr>
        <w:t>&lt;Regarding the approval&gt;</w:t>
      </w:r>
    </w:p>
    <w:p w14:paraId="687FEAC9" w14:textId="77777777" w:rsidR="00951600" w:rsidRPr="004E6B0A" w:rsidRDefault="00951600" w:rsidP="00951600">
      <w:pPr>
        <w:rPr>
          <w:rFonts w:ascii="Times New Roman" w:hAnsi="Times New Roman" w:cs="Times New Roman"/>
          <w:sz w:val="28"/>
          <w:szCs w:val="28"/>
        </w:rPr>
      </w:pPr>
    </w:p>
    <w:p w14:paraId="121AC920" w14:textId="77777777" w:rsidR="00CD0A94" w:rsidRDefault="00CD0A94"/>
    <w:sectPr w:rsidR="00CD0A94" w:rsidSect="00951600">
      <w:footerReference w:type="even" r:id="rId7"/>
      <w:footerReference w:type="default" r:id="rId8"/>
      <w:pgSz w:w="11920" w:h="16840"/>
      <w:pgMar w:top="1418" w:right="1418" w:bottom="1985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31AD2" w14:textId="77777777" w:rsidR="004F5F1F" w:rsidRDefault="004F5F1F" w:rsidP="002A2E47">
      <w:pPr>
        <w:spacing w:line="240" w:lineRule="auto"/>
      </w:pPr>
      <w:r>
        <w:separator/>
      </w:r>
    </w:p>
  </w:endnote>
  <w:endnote w:type="continuationSeparator" w:id="0">
    <w:p w14:paraId="0B394888" w14:textId="77777777" w:rsidR="004F5F1F" w:rsidRDefault="004F5F1F" w:rsidP="002A2E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">
    <w:altName w:val="Times New Roman"/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cs/>
      </w:rPr>
      <w:id w:val="-645354915"/>
      <w:docPartObj>
        <w:docPartGallery w:val="Page Numbers (Bottom of Page)"/>
        <w:docPartUnique/>
      </w:docPartObj>
    </w:sdtPr>
    <w:sdtContent>
      <w:p w14:paraId="0E5F0115" w14:textId="77777777" w:rsidR="00CD4AEA" w:rsidRDefault="00000000" w:rsidP="00050BE3">
        <w:pPr>
          <w:pStyle w:val="af"/>
          <w:framePr w:wrap="none" w:vAnchor="text" w:hAnchor="margin" w:xAlign="center" w:y="1"/>
          <w:rPr>
            <w:rStyle w:val="af1"/>
          </w:rPr>
        </w:pPr>
        <w:r>
          <w:rPr>
            <w:rStyle w:val="af1"/>
            <w:cs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  <w:cs/>
          </w:rPr>
          <w:fldChar w:fldCharType="end"/>
        </w:r>
      </w:p>
    </w:sdtContent>
  </w:sdt>
  <w:p w14:paraId="6DB930DB" w14:textId="77777777" w:rsidR="00CD4AEA" w:rsidRDefault="00CD4AE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f1"/>
        <w:rFonts w:ascii="Times New Roman" w:hAnsi="Times New Roman" w:cs="Times New Roman"/>
        <w:sz w:val="24"/>
        <w:szCs w:val="32"/>
        <w:cs/>
      </w:rPr>
      <w:id w:val="599765865"/>
      <w:docPartObj>
        <w:docPartGallery w:val="Page Numbers (Bottom of Page)"/>
        <w:docPartUnique/>
      </w:docPartObj>
    </w:sdtPr>
    <w:sdtContent>
      <w:p w14:paraId="771602B9" w14:textId="77777777" w:rsidR="00CD4AEA" w:rsidRPr="008F5678" w:rsidRDefault="00000000" w:rsidP="007567E8">
        <w:pPr>
          <w:pStyle w:val="af"/>
          <w:framePr w:wrap="none" w:vAnchor="text" w:hAnchor="page" w:x="10396" w:y="8"/>
          <w:rPr>
            <w:rStyle w:val="af1"/>
            <w:rFonts w:ascii="Times New Roman" w:hAnsi="Times New Roman" w:cs="Times New Roman"/>
            <w:sz w:val="24"/>
            <w:szCs w:val="32"/>
          </w:rPr>
        </w:pP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begin"/>
        </w:r>
        <w:r w:rsidRPr="007567E8">
          <w:rPr>
            <w:rStyle w:val="af1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separate"/>
        </w:r>
        <w:r w:rsidRPr="007567E8">
          <w:rPr>
            <w:rStyle w:val="af1"/>
            <w:rFonts w:ascii="Times New Roman" w:hAnsi="Times New Roman" w:cs="Times New Roman"/>
            <w:noProof/>
            <w:sz w:val="24"/>
            <w:szCs w:val="24"/>
          </w:rPr>
          <w:t>6</w:t>
        </w:r>
        <w:r w:rsidRPr="007567E8">
          <w:rPr>
            <w:rStyle w:val="af1"/>
            <w:rFonts w:ascii="Times New Roman" w:hAnsi="Times New Roman" w:cs="Times New Roman"/>
            <w:sz w:val="24"/>
            <w:szCs w:val="24"/>
            <w:cs/>
          </w:rPr>
          <w:fldChar w:fldCharType="end"/>
        </w:r>
      </w:p>
    </w:sdtContent>
  </w:sdt>
  <w:p w14:paraId="22737403" w14:textId="5614DC81" w:rsidR="00CD4AEA" w:rsidRPr="00A40C77" w:rsidRDefault="00000000" w:rsidP="008F5678">
    <w:pPr>
      <w:rPr>
        <w:rFonts w:ascii="Times New Roman" w:hAnsi="Times New Roman" w:cstheme="minorBidi"/>
        <w:color w:val="FF0000"/>
        <w:sz w:val="32"/>
        <w:szCs w:val="24"/>
      </w:rPr>
    </w:pPr>
    <w:r w:rsidRPr="008F5678">
      <w:rPr>
        <w:rFonts w:ascii="Times New Roman" w:eastAsia="Times New Roman" w:hAnsi="Times New Roman" w:cs="Times New Roman"/>
        <w:sz w:val="24"/>
        <w:szCs w:val="24"/>
        <w:vertAlign w:val="superscript"/>
      </w:rPr>
      <w:t xml:space="preserve">1 </w:t>
    </w:r>
    <w:r w:rsidR="002A2E47" w:rsidRPr="002A2E47">
      <w:rPr>
        <w:rFonts w:ascii="Times New Roman" w:hAnsi="Times New Roman" w:cs="Times New Roman"/>
        <w:sz w:val="24"/>
        <w:szCs w:val="24"/>
      </w:rPr>
      <w:t>Ref: Glycerol, MHRA, 02/10/2013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6E4E3" w14:textId="77777777" w:rsidR="004F5F1F" w:rsidRDefault="004F5F1F" w:rsidP="002A2E47">
      <w:pPr>
        <w:spacing w:line="240" w:lineRule="auto"/>
      </w:pPr>
      <w:r>
        <w:separator/>
      </w:r>
    </w:p>
  </w:footnote>
  <w:footnote w:type="continuationSeparator" w:id="0">
    <w:p w14:paraId="33267D02" w14:textId="77777777" w:rsidR="004F5F1F" w:rsidRDefault="004F5F1F" w:rsidP="002A2E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73110"/>
    <w:multiLevelType w:val="multilevel"/>
    <w:tmpl w:val="51664FC0"/>
    <w:lvl w:ilvl="0">
      <w:start w:val="1"/>
      <w:numFmt w:val="decimal"/>
      <w:pStyle w:val="HEADING1SMPC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pStyle w:val="SubHeafingSMPC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D76403"/>
    <w:multiLevelType w:val="hybridMultilevel"/>
    <w:tmpl w:val="053ACAA4"/>
    <w:lvl w:ilvl="0" w:tplc="86D4D366">
      <w:start w:val="1"/>
      <w:numFmt w:val="bullet"/>
      <w:lvlText w:val="-"/>
      <w:lvlJc w:val="left"/>
      <w:pPr>
        <w:ind w:left="144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8729891">
    <w:abstractNumId w:val="0"/>
  </w:num>
  <w:num w:numId="2" w16cid:durableId="306205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00"/>
    <w:rsid w:val="00230534"/>
    <w:rsid w:val="002A2E47"/>
    <w:rsid w:val="00454EC5"/>
    <w:rsid w:val="00466663"/>
    <w:rsid w:val="004F5F1F"/>
    <w:rsid w:val="00610BC8"/>
    <w:rsid w:val="007665F7"/>
    <w:rsid w:val="0083274C"/>
    <w:rsid w:val="00920590"/>
    <w:rsid w:val="00951600"/>
    <w:rsid w:val="009F5322"/>
    <w:rsid w:val="00A710F6"/>
    <w:rsid w:val="00B06764"/>
    <w:rsid w:val="00B268E1"/>
    <w:rsid w:val="00CD0A94"/>
    <w:rsid w:val="00CD4AEA"/>
    <w:rsid w:val="00D442F5"/>
    <w:rsid w:val="00D8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F9360D"/>
  <w15:chartTrackingRefBased/>
  <w15:docId w15:val="{CBDB1540-9D2A-41B8-9943-CB833879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60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160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160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60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1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16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16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16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16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5160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5160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5160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5160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5160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5160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5160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5160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516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160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5160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51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5160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5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51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1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16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1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9516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51600"/>
    <w:rPr>
      <w:b/>
      <w:bCs/>
      <w:smallCaps/>
      <w:color w:val="0F4761" w:themeColor="accent1" w:themeShade="BF"/>
      <w:spacing w:val="5"/>
    </w:rPr>
  </w:style>
  <w:style w:type="paragraph" w:customStyle="1" w:styleId="HEADING1SMPC">
    <w:name w:val="HEADING1_SMPC"/>
    <w:basedOn w:val="1"/>
    <w:next w:val="ae"/>
    <w:qFormat/>
    <w:rsid w:val="00951600"/>
    <w:pPr>
      <w:numPr>
        <w:numId w:val="1"/>
      </w:numPr>
      <w:spacing w:before="240" w:after="120" w:line="360" w:lineRule="auto"/>
      <w:ind w:left="357" w:hanging="357"/>
    </w:pPr>
    <w:rPr>
      <w:rFonts w:ascii="Times New Roman" w:eastAsia="Arial" w:hAnsi="Times New Roman" w:cs="Times New Roman"/>
      <w:b/>
      <w:bCs/>
      <w:color w:val="auto"/>
      <w:sz w:val="28"/>
      <w:szCs w:val="48"/>
    </w:rPr>
  </w:style>
  <w:style w:type="paragraph" w:customStyle="1" w:styleId="SubHeafingSMPC">
    <w:name w:val="SubHeafing_SMPC"/>
    <w:basedOn w:val="a9"/>
    <w:qFormat/>
    <w:rsid w:val="00951600"/>
    <w:pPr>
      <w:numPr>
        <w:ilvl w:val="1"/>
        <w:numId w:val="1"/>
      </w:numPr>
      <w:spacing w:before="240" w:line="360" w:lineRule="auto"/>
      <w:ind w:left="114" w:hanging="57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TitleSMPC">
    <w:name w:val="Title_SMPC"/>
    <w:basedOn w:val="a"/>
    <w:qFormat/>
    <w:rsid w:val="00951600"/>
    <w:pPr>
      <w:spacing w:line="480" w:lineRule="auto"/>
      <w:jc w:val="center"/>
    </w:pPr>
    <w:rPr>
      <w:rFonts w:ascii="Times New Roman" w:hAnsi="Times New Roman" w:cs="Times New Roman"/>
      <w:b/>
      <w:bCs/>
      <w:sz w:val="32"/>
      <w:szCs w:val="28"/>
    </w:rPr>
  </w:style>
  <w:style w:type="paragraph" w:styleId="af">
    <w:name w:val="footer"/>
    <w:basedOn w:val="a"/>
    <w:link w:val="af0"/>
    <w:uiPriority w:val="99"/>
    <w:unhideWhenUsed/>
    <w:rsid w:val="00951600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af0">
    <w:name w:val="ท้ายกระดาษ อักขระ"/>
    <w:basedOn w:val="a0"/>
    <w:link w:val="af"/>
    <w:uiPriority w:val="99"/>
    <w:rsid w:val="0095160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character" w:styleId="af1">
    <w:name w:val="page number"/>
    <w:basedOn w:val="a0"/>
    <w:uiPriority w:val="99"/>
    <w:semiHidden/>
    <w:unhideWhenUsed/>
    <w:rsid w:val="00951600"/>
  </w:style>
  <w:style w:type="paragraph" w:styleId="ae">
    <w:name w:val="Body Text"/>
    <w:basedOn w:val="a"/>
    <w:link w:val="af2"/>
    <w:uiPriority w:val="99"/>
    <w:unhideWhenUsed/>
    <w:rsid w:val="00951600"/>
    <w:pPr>
      <w:spacing w:after="120"/>
    </w:pPr>
    <w:rPr>
      <w:rFonts w:cs="Cordia New"/>
      <w:szCs w:val="28"/>
    </w:rPr>
  </w:style>
  <w:style w:type="character" w:customStyle="1" w:styleId="af2">
    <w:name w:val="เนื้อความ อักขระ"/>
    <w:basedOn w:val="a0"/>
    <w:link w:val="ae"/>
    <w:uiPriority w:val="99"/>
    <w:rsid w:val="00951600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  <w:style w:type="paragraph" w:styleId="af3">
    <w:name w:val="header"/>
    <w:basedOn w:val="a"/>
    <w:link w:val="af4"/>
    <w:uiPriority w:val="99"/>
    <w:unhideWhenUsed/>
    <w:rsid w:val="002A2E47"/>
    <w:pPr>
      <w:tabs>
        <w:tab w:val="center" w:pos="4513"/>
        <w:tab w:val="right" w:pos="9026"/>
      </w:tabs>
      <w:spacing w:line="240" w:lineRule="auto"/>
    </w:pPr>
    <w:rPr>
      <w:rFonts w:cs="Cordia New"/>
      <w:szCs w:val="28"/>
    </w:rPr>
  </w:style>
  <w:style w:type="character" w:customStyle="1" w:styleId="af4">
    <w:name w:val="หัวกระดาษ อักขระ"/>
    <w:basedOn w:val="a0"/>
    <w:link w:val="af3"/>
    <w:uiPriority w:val="99"/>
    <w:rsid w:val="002A2E47"/>
    <w:rPr>
      <w:rFonts w:ascii="Arial" w:eastAsia="Arial" w:hAnsi="Arial" w:cs="Cordia New"/>
      <w:kern w:val="0"/>
      <w:sz w:val="22"/>
      <w:szCs w:val="28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2024-08-12T09:55:00Z</dcterms:created>
  <dcterms:modified xsi:type="dcterms:W3CDTF">2024-08-15T14:44:00Z</dcterms:modified>
</cp:coreProperties>
</file>